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Documentation de la base de données</w:t>
      </w:r>
    </w:p>
    <w:p>
      <w:pPr>
        <w:jc w:val="center"/>
      </w:pPr>
      <w:r>
        <w:rPr>
          <w:color w:val="2E6DA4"/>
          <w:sz w:val="28"/>
        </w:rPr>
        <w:t>Application Fond de Caisse — npg_gestion_caisse</w:t>
      </w:r>
    </w:p>
    <w:p>
      <w:pPr>
        <w:jc w:val="center"/>
      </w:pPr>
      <w:r>
        <w:rPr>
          <w:i/>
          <w:color w:val="555555"/>
          <w:sz w:val="21"/>
        </w:rPr>
        <w:t>NPG Gandour  ·  Microsoft SQL Server  ·  Backend NestJS + TypeORM</w:t>
      </w:r>
    </w:p>
    <w:p/>
    <w:p>
      <w:pPr>
        <w:jc w:val="center"/>
      </w:pPr>
      <w:r>
        <w:rPr>
          <w:color w:val="555555"/>
          <w:sz w:val="18"/>
        </w:rPr>
        <w:t>Source faisant foi : db_init_gestion_caisse.sql</w:t>
        <w:br/>
        <w:t>Références : MCD_Fond_de_Caisse_v2.svg · Dossier_Conception_Fond_de_Caisse.docx · MODEL_FORMEL_PROJET_CAISSE_WALLET.docx</w:t>
      </w:r>
    </w:p>
    <w:p>
      <w:r>
        <w:br w:type="page"/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1. Vue d’ensemble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480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Valeur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SGBD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Microsoft SQL Server 2019+ (cible 2022)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Base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npg_gestion_caisse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Collation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French_CI_AS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Isolation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READ_COMMITTED_SNAPSHOT ON (lecture non bloquante)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Nombre de tables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46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Domaines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 (13) · ref_ (8) · fin_ (7) · trx_ (9) · aud_ (9)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Accès applicatif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Backend NestJS 10 + TypeORM 0.3 (driver mssql)</w:t>
            </w:r>
          </w:p>
        </w:tc>
      </w:tr>
    </w:tbl>
    <w:p/>
    <w:p>
      <w:r>
        <w:rPr>
          <w:i w:val="0"/>
          <w:sz w:val="21"/>
        </w:rPr>
        <w:t>Le modèle repose sur le principe MCD v2 : le Bon (trx_bon) est une enveloppe légère tandis que le Sous-bon (trx_sous_bon) porte le cœur métier (montant, partenaire, caisse, portefeuille, imputation comptable). Un bon contient un ou plusieurs sous-bons.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2. Conventions de modélisation</w:t>
      </w:r>
    </w:p>
    <w:p>
      <w:r>
        <w:rPr>
          <w:i w:val="0"/>
          <w:sz w:val="21"/>
        </w:rPr>
        <w:t>Ces conventions sont appliquées uniformément sur toutes les tables métier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Convention</w:t>
            </w:r>
          </w:p>
        </w:tc>
        <w:tc>
          <w:tcPr>
            <w:tcW w:type="dxa" w:w="6480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Implémentation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Clé primaire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 BIGINT IDENTITY(1,1)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Identifiant public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uuid UNIQUEIDENTIFIER DEFAULT NEWSEQUENTIALID()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Montants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DECIMAL(19,4)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Taux de change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DECIMAL(19,8)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Dates / horodatage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DATETIME2(3), valeur SYSUTCDATETIME() (UTC)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Booléens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BIT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Texte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NVARCHAR (Unicode partout)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JSON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NVARCHAR(MAX) + CHECK (ISJSON(...) = 1)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Énumérations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CHECK (colonne IN (...))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Traçabilité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created_at, created_by_id, updated_at, updated_by_id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Suppression logique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deleted_at, deleted_by_id (soft delete)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Verrou optimiste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colonne version INT (défaut 1)</w:t>
            </w:r>
          </w:p>
        </w:tc>
      </w:tr>
      <w:tr>
        <w:tc>
          <w:tcPr>
            <w:tcW w:type="dxa" w:w="259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Idempotence DDL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IF NOT EXISTS / IF OBJECT_ID(...) IS NULL</w:t>
            </w:r>
          </w:p>
        </w:tc>
      </w:tr>
    </w:tbl>
    <w:p/>
    <w:p>
      <w:r>
        <w:rPr>
          <w:i/>
          <w:color w:val="555555"/>
          <w:sz w:val="21"/>
        </w:rPr>
        <w:t>Remarque : les tables purement événementielles ou append-only (aud_journal, aud_evenement_bon, trx_ecriture_comptable, tables de liaison…) n’ont pas toutes les colonnes d’audit/soft-delete ni la colonne version.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3. Domaine sec_ — Sécurité (13 tables)</w:t>
      </w:r>
    </w:p>
    <w:p>
      <w:r>
        <w:rPr>
          <w:i w:val="0"/>
          <w:sz w:val="21"/>
        </w:rPr>
        <w:t>Gestion des utilisateurs, de l’autorisation (rôles, profils, permissions), des accès aux caisses, des centres de coût et de l’intérim.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5904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sec_direction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Directions de l’entreprise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sec_role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Rôles système (liste fermée)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sec_permission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Permissions atomiques (rattachées à un module)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sec_profil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Profils par catégorie (VALIDATEUR, DEMANDEUR, CAISSIER, INTERIM)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sec_user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Utilisateurs (matricule, email, hash mdp, direction, CC principal)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sec_user_role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Liaison user ↔ rôle (PK composite)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sec_role_permission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Liaison rôle ↔ permission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sec_user_profil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Liaison user ↔ profil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sec_profil_permission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Liaison profil ↔ permission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sec_user_caisse_access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Accès user → caisse (LECTURE / ECRITURE / ADMIN)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sec_user_cost_center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Centres de coût d’un user (dont un est_principal)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sec_user_permission_extra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Permissions additionnelles ponctuelles (scope + validité)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sec_interim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Délégation temporaire (rôle/profil/permission) initiateur → remplaçant</w:t>
            </w:r>
          </w:p>
        </w:tc>
      </w:tr>
    </w:tbl>
    <w:p/>
    <w:p>
      <w:r>
        <w:rPr>
          <w:i w:val="0"/>
          <w:sz w:val="21"/>
        </w:rPr>
        <w:t>Rôles autorisés (CK_sec_role_code) : SUPER_ADMIN, ADMINISTRATEUR, VALIDATEUR, DEMANDEUR, CAISSIER.</w:t>
      </w:r>
    </w:p>
    <w:p>
      <w:pPr>
        <w:spacing w:before="200" w:after="60"/>
      </w:pPr>
      <w:r>
        <w:rPr>
          <w:b/>
          <w:color w:val="2E6DA4"/>
          <w:sz w:val="24"/>
        </w:rPr>
        <w:t>Modèle d’autorisation</w:t>
      </w:r>
    </w:p>
    <w:p>
      <w:r>
        <w:rPr>
          <w:i w:val="0"/>
          <w:sz w:val="21"/>
        </w:rPr>
        <w:t>Un utilisateur cumule des permissions via 3 canaux : ses rôles (role → permission), ses profils (profil → permission) et ses permissions extra (sec_user_permission_extra, éventuellement bornées dans le temps et limitées à un scope_type : CAISSE, BON, PORTEFEUILLE, SOUS_BON, PARTENAIRE). L’intérim (sec_interim) transfère temporairement des droits ; il est contraint (date_fin &gt; date_debut, initiateur ≠ remplaçant, statut ACTIF/EXPIRE/REVOQUE).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4. Domaine ref_ — Référentiel (8 tables)</w:t>
      </w:r>
    </w:p>
    <w:p>
      <w:r>
        <w:rPr>
          <w:i w:val="0"/>
          <w:sz w:val="21"/>
        </w:rPr>
        <w:t>Données de référence relativement stables, partiellement synchronisées avec SAP.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5616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ref_plan_comptable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Plan comptable hiérarchique (parent_id auto-référencé)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ref_cost_center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Centres de coût (budget annuel, rattachés à une direction)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ref_nature_operation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Natures d’opération (→ cost center + plan comptable)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ref_nature_comptable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Natures comptables (cache local SAP, code_comptable_sap)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ref_partenaire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Tiers unifié client + fournisseur (CLIENT/FOURNISSEUR/MIXTE)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ref_partenaire_nature_comptable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Liaison partenaire ↔ nature comptable (est_par_defaut)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ref_site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Sites / implantations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ref_type_bon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Types de bon et exigences (numero_client, partenaire, BL)</w:t>
            </w:r>
          </w:p>
        </w:tc>
      </w:tr>
    </w:tbl>
    <w:p/>
    <w:p>
      <w:r>
        <w:rPr>
          <w:i/>
          <w:color w:val="555555"/>
          <w:sz w:val="21"/>
        </w:rPr>
        <w:t>ref_partenaire possède un index unique filtré UX_ref_partenaire_numero_client : unicité du numéro client uniquement quand il est renseigné.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5. Domaine fin_ — Financier (7 tables)</w:t>
      </w:r>
    </w:p>
    <w:p>
      <w:r>
        <w:rPr>
          <w:i w:val="0"/>
          <w:sz w:val="21"/>
        </w:rPr>
        <w:t>Caisses, sessions, portefeuilles (wallets), devises, taux de change et comptes techniques de gain/perte de change.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5904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fin_devise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Devises (XOF, EUR, USD…), nb de décimales 0–8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fin_taux_echange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Taux entre deux devises, validité + source (FIXE_DB/API)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fin_caisse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Caisses physiques (devise, caissier, site, statut OUVERTE/FERMEE)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fin_session_caisse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Sessions ouverture/clôture (soldes, type_cloture AUTO_20H/MANUEL)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fin_portefeuille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Wallets (propriétaire USER ou DIRECTION, caisse source)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fin_compte_gain_change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Compte technique de gain de change (1 par devise)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fin_compte_perte_change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Compte technique de perte de change (1 par devise)</w:t>
            </w:r>
          </w:p>
        </w:tc>
      </w:tr>
    </w:tbl>
    <w:p/>
    <w:p>
      <w:pPr>
        <w:spacing w:before="200" w:after="60"/>
      </w:pPr>
      <w:r>
        <w:rPr>
          <w:b/>
          <w:color w:val="2E6DA4"/>
          <w:sz w:val="24"/>
        </w:rPr>
        <w:t>Règles fortes</w:t>
      </w:r>
    </w:p>
    <w:p>
      <w:pPr>
        <w:pStyle w:val="ListBullet"/>
      </w:pPr>
      <w:r>
        <w:t>Une seule session OUVERTE par caisse : index unique filtré UX_fin_session_caisse_ouverte.</w:t>
      </w:r>
    </w:p>
    <w:p>
      <w:pPr>
        <w:pStyle w:val="ListBullet"/>
      </w:pPr>
      <w:r>
        <w:t>Un taux exige taux &gt; 0, devise_source ≠ devise_cible et une période cohérente.</w:t>
      </w:r>
    </w:p>
    <w:p>
      <w:pPr>
        <w:pStyle w:val="ListBullet"/>
      </w:pPr>
      <w:r>
        <w:t>Un portefeuille est polymorphe via (proprietaire_type, proprietaire_id).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6. Domaine trx_ — Transactionnel (9 tables)</w:t>
      </w:r>
    </w:p>
    <w:p>
      <w:r>
        <w:rPr>
          <w:i w:val="0"/>
          <w:sz w:val="21"/>
        </w:rPr>
        <w:t>Cœur métier : cycle de vie des bons, décaissements, opérations, transferts inter-caisses et écritures comptables.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5904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trx_bon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Enveloppe du bon (numéro, demandeur, type, statut, récurrence, total)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trx_sous_bon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Cœur métier : montant, partenaire, BL, imputation, caisse, portefeuille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trx_validation_bon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Validations/signatures (bon OU sous-bon, multi-niveaux)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trx_impression_bon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Traçabilité des impressions et signatures papier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trx_bon_caisse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Duplication au décaissement (snapshot, contenu_modifie JSON)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trx_decaissement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Décaissement effectif (bénéficiaire, pièce, montant, portefeuille)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trx_operation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Journal des mouvements (RECHARGE/DECAISSEMENT/TRANSFERT/AJUSTEMENT)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trx_transfert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Transfert inter-caisses avec conversion et calcul gain/perte</w:t>
            </w:r>
          </w:p>
        </w:tc>
      </w:tr>
      <w:tr>
        <w:tc>
          <w:tcPr>
            <w:tcW w:type="dxa" w:w="3168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trx_ecriture_comptable</w:t>
            </w:r>
          </w:p>
        </w:tc>
        <w:tc>
          <w:tcPr>
            <w:tcW w:type="dxa" w:w="5904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Écritures partie double, immuables et chaînées par hash</w:t>
            </w:r>
          </w:p>
        </w:tc>
      </w:tr>
    </w:tbl>
    <w:p/>
    <w:p>
      <w:r>
        <w:rPr>
          <w:i w:val="0"/>
          <w:sz w:val="21"/>
        </w:rPr>
        <w:t>Cycle de vie d’un bon/sous-bon (statut) : CREE → VALIDE → DECAISSE → COMPTABILISE, avec branches ANNULE / REFUSE.</w:t>
      </w:r>
    </w:p>
    <w:p>
      <w:pPr>
        <w:spacing w:before="200" w:after="60"/>
      </w:pPr>
      <w:r>
        <w:rPr>
          <w:b/>
          <w:color w:val="2E6DA4"/>
          <w:sz w:val="24"/>
        </w:rPr>
        <w:t>Intégrité notable</w:t>
      </w:r>
    </w:p>
    <w:p>
      <w:pPr>
        <w:pStyle w:val="ListBullet"/>
      </w:pPr>
      <w:r>
        <w:t>trx_sous_bon : montant &gt; 0, unicité (bon_id, numero_sous_bon).</w:t>
      </w:r>
    </w:p>
    <w:p>
      <w:pPr>
        <w:pStyle w:val="ListBullet"/>
      </w:pPr>
      <w:r>
        <w:t>trx_validation_bon : cible exactement un bon OU un sous-bon (CK_trx_vb_target).</w:t>
      </w:r>
    </w:p>
    <w:p>
      <w:pPr>
        <w:pStyle w:val="ListBullet"/>
      </w:pPr>
      <w:r>
        <w:t>trx_transfert : statuts décrivant une saga (INITIE → DEBIT_SOURCE_OK → CREDIT_CIBLE_OK → ECRITURE_CHANGE_OK → TERMINE, plus COMPENSATION/ANNULE).</w:t>
      </w:r>
    </w:p>
    <w:p>
      <w:pPr>
        <w:pStyle w:val="ListBullet"/>
      </w:pPr>
      <w:r>
        <w:t>trx_ecriture_comptable : chaque ligne est débit XOR crédit, porte un hash_integrite et un hash_precedent → chaînage type blockchain garantissant l’inaltérabilité du grand livre.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7. Domaine aud_ — Audit &amp; Intégration (9 tables)</w:t>
      </w:r>
    </w:p>
    <w:p>
      <w:r>
        <w:rPr>
          <w:i w:val="0"/>
          <w:sz w:val="21"/>
        </w:rPr>
        <w:t>Traçabilité, event sourcing, fiabilité d’intégration SAP et notifications.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Table</w:t>
            </w:r>
          </w:p>
        </w:tc>
        <w:tc>
          <w:tcPr>
            <w:tcW w:type="dxa" w:w="5616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Rôle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aud_journal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Journal d’audit générique append-only (JSON avant/après, IP, user-agent)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aud_evenement_bon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Event sourcing des bons (CREE, VALIDE, SIGNE, DECAISSE…)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aud_outbox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Pattern Outbox pour publication fiable (statut, retries, idempotence)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aud_log_sap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Journal des envois vers SAP (session et/ou message outbox)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aud_idempotency_key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Clés d’idempotence des requêtes API (réponse cachée, expiration)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aud_snapshot_journalier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Réconciliation journalière (écritures vs caisse vs SAP, écart)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aud_planification_recurrence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Planification des bons récurrents (fréquence, prochaine exéc.)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aud_changement_permission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Historique des changements de permissions (ROLE/PROFIL/EXTRA/INTERIM)</w:t>
            </w:r>
          </w:p>
        </w:tc>
      </w:tr>
      <w:tr>
        <w:tc>
          <w:tcPr>
            <w:tcW w:type="dxa" w:w="345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aud_notification</w:t>
            </w:r>
          </w:p>
        </w:tc>
        <w:tc>
          <w:tcPr>
            <w:tcW w:type="dxa" w:w="5616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Notifications (canal PUSH/EMAIL/IN_APP, statut de lecture)</w:t>
            </w:r>
          </w:p>
        </w:tc>
      </w:tr>
    </w:tbl>
    <w:p/>
    <w:p>
      <w:r>
        <w:rPr>
          <w:i w:val="0"/>
          <w:sz w:val="21"/>
        </w:rPr>
        <w:t>Réconciliation (aud_snapshot_journalier) : compare le solde recalculé depuis les écritures, le solde porté en table caisse et le solde SAP ; statut_reconciliation = CONFORME, ECART_FAIBLE, ECART_CRITIQUE ou NON_RECONCILIE. Unicité (date_snapshot, caisse_id).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8. Relations principales</w:t>
      </w:r>
    </w:p>
    <w:p>
      <w:pPr>
        <w:ind w:left="216"/>
        <w:shd w:val="clear" w:fill="F2F4F7"/>
      </w:pPr>
      <w:r>
        <w:rPr>
          <w:rFonts w:ascii="Consolas" w:hAnsi="Consolas"/>
          <w:color w:val="1A1A1A"/>
          <w:sz w:val="17"/>
        </w:rPr>
        <w:t>sec_direction ─&lt; sec_user &gt;─ ref_cost_center (CC principal)</w:t>
        <w:br/>
        <w:t xml:space="preserve">      sec_user ─&lt; sec_user_role &gt;── sec_role ──&lt; sec_role_permission &gt;── sec_permission</w:t>
        <w:br/>
        <w:t xml:space="preserve">                  sec_profil ─&lt; sec_profil_permission &gt;─────────────────────┘</w:t>
        <w:br/>
        <w:br/>
        <w:t>ref_type_bon ──&lt; trx_bon &gt;──&lt; trx_sous_bon &gt;─── ref_partenaire</w:t>
        <w:br/>
        <w:t xml:space="preserve">   (1 bon = N sous-bons)            ├── ref_cost_center / ref_nature_comptable / nature_operation</w:t>
        <w:br/>
        <w:t xml:space="preserve">                                    ├── fin_caisse / fin_portefeuille / fin_devise</w:t>
        <w:br/>
        <w:t xml:space="preserve">                                    └─&lt; trx_validation_bon, trx_impression_bon</w:t>
        <w:br/>
        <w:br/>
        <w:t>trx_bon/sous_bon ──&lt; trx_bon_caisse &gt;──&lt; trx_decaissement &gt;── fin_portefeuille</w:t>
        <w:br/>
        <w:t>fin_caisse ──&lt; fin_session_caisse        fin_caisse ──&lt; fin_portefeuille</w:t>
        <w:br/>
        <w:t>fin_devise ──&lt; fin_taux_echange (source, cible)</w:t>
        <w:br/>
        <w:t>fin_caisse/portefeuille ──&lt; trx_operation, trx_transfert</w:t>
        <w:br/>
        <w:t>trx_ecriture_comptable ── ref_plan_comptable / fin_devise / trx_bon / trx_sous_bon</w:t>
        <w:br/>
        <w:br/>
        <w:t>trx_bon/sous_bon ──&lt; aud_evenement_bon ;  aud_outbox ──&lt; aud_log_sap</w:t>
        <w:br/>
        <w:t>fin_caisse ──&lt; aud_snapshot_journalier</w:t>
      </w:r>
    </w:p>
    <w:p>
      <w:r>
        <w:rPr>
          <w:i w:val="0"/>
          <w:sz w:val="21"/>
        </w:rPr>
        <w:t>Le DDL crée l’ensemble des clés étrangères en fin de script, de façon idempotente. Les domaines sont volontairement croisés (ex. sec_user.cost_center_id → ref_cost_center, fin_caisse.caissier_id → sec_user), d’où la création des FK après toutes les tables.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9. Index de performance</w:t>
      </w:r>
    </w:p>
    <w:p>
      <w:r>
        <w:rPr>
          <w:i w:val="0"/>
          <w:sz w:val="21"/>
        </w:rPr>
        <w:t>Outre les PK clustered et les contraintes d’unicité, le schéma définit des index secondaires ciblant les accès fréquents :</w:t>
      </w:r>
    </w:p>
    <w:p>
      <w:pPr>
        <w:pStyle w:val="ListBullet"/>
      </w:pPr>
      <w:r>
        <w:t>Soft-delete aware (WHERE deleted_at IS NULL) : IX_sec_user_direction, IX_trx_bon_demandeur, IX_trx_bon_statut (statut, created_at DESC).</w:t>
      </w:r>
    </w:p>
    <w:p>
      <w:pPr>
        <w:pStyle w:val="ListBullet"/>
      </w:pPr>
      <w:r>
        <w:t>Recherche de bons : IX_trx_bon_type ; sous-bons : IX_trx_sb_bon, IX_trx_sb_partenaire, IX_trx_sb_caisse, IX_trx_sb_portefeuille.</w:t>
      </w:r>
    </w:p>
    <w:p>
      <w:pPr>
        <w:pStyle w:val="ListBullet"/>
      </w:pPr>
      <w:r>
        <w:t>Grand livre : IX_trx_ec_transaction (transaction_uuid), IX_trx_ec_compte (compte_id, type_compte, date_ecriture).</w:t>
      </w:r>
    </w:p>
    <w:p>
      <w:pPr>
        <w:pStyle w:val="ListBullet"/>
      </w:pPr>
      <w:r>
        <w:t>Intégration / UX : IX_aud_outbox_statut (messages à traiter), IX_aud_notif_destinataire (file de notifications), IX_aud_ik_expire (purge des clés).</w:t>
      </w:r>
    </w:p>
    <w:p>
      <w:pPr>
        <w:pStyle w:val="ListBullet"/>
      </w:pPr>
      <w:r>
        <w:t>Index uniques filtrés : UX_ref_partenaire_numero_client, UX_fin_session_caisse_ouverte.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10. Données de référence (seed)</w:t>
      </w:r>
    </w:p>
    <w:p>
      <w:r>
        <w:rPr>
          <w:i w:val="0"/>
          <w:sz w:val="21"/>
        </w:rPr>
        <w:t>Le script initialise (de façon idempotente) :</w:t>
      </w:r>
    </w:p>
    <w:p>
      <w:pPr>
        <w:pStyle w:val="ListBullet"/>
      </w:pPr>
      <w:r>
        <w:t>Devises : XOF (FCFA, 0 décimale), EUR, USD.</w:t>
      </w:r>
    </w:p>
    <w:p>
      <w:pPr>
        <w:pStyle w:val="ListBullet"/>
      </w:pPr>
      <w:r>
        <w:t>Rôles système : SUPER_ADMIN, ADMINISTRATEUR, VALIDATEUR, DEMANDEUR, CAISSIER.</w:t>
      </w:r>
    </w:p>
    <w:p>
      <w:pPr>
        <w:pStyle w:val="ListBullet"/>
      </w:pPr>
      <w:r>
        <w:t>Profils : CAT_VALIDATEUR, CAT_DEMANDEUR, CAT_CAISSIER, CAT_INTERIM.</w:t>
      </w:r>
    </w:p>
    <w:p>
      <w:pPr>
        <w:pStyle w:val="ListBullet"/>
      </w:pPr>
      <w:r>
        <w:t>Types de bon : RESTITUTION_CLIENT, ACHAT, AVANCE, REMBOURSEMENT.</w:t>
      </w:r>
    </w:p>
    <w:p>
      <w:pPr>
        <w:pStyle w:val="ListBullet"/>
      </w:pPr>
      <w:r>
        <w:t>Permissions : BON_CREER, BON_VALIDER, BON_SIGNER, BON_DECAISSER, BON_MULTI_CC, CAISSE_OUVRIR, CAISSE_CLOTURER, CAISSE_PRINCIPAL_CHOISIR, BON_MODIFIER_SPEC, TRANSFERT_INITIER, INTERIM_DECLARER, ADMIN_USER, ADMIN_ROLE.</w:t>
      </w:r>
    </w:p>
    <w:p>
      <w:pPr>
        <w:spacing w:before="280" w:after="120"/>
        <w:pBdr>
          <w:bottom w:val="single" w:sz="6" w:space="2" w:color="2E6DA4"/>
        </w:pBdr>
      </w:pPr>
      <w:r>
        <w:rPr>
          <w:b/>
          <w:color w:val="1F3A5F"/>
          <w:sz w:val="30"/>
        </w:rPr>
        <w:t>11. Concepts transverses à retenir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5760"/>
            <w:shd w:val="clear" w:fill="1F3A5F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9"/>
              </w:rPr>
              <w:t>Où / comment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Bon léger / sous-bon métier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trx_bon (enveloppe) → trx_sous_bon (montant, imputation, caisse)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Partie double immuable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trx_ecriture_comptable : débit XOR crédit, chaînage par hash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Saga de transfert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trx_transfert.statut (débit/crédit/écriture change/compensation)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Gain &amp; perte de change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fin_compte_gain_change / fin_compte_perte_change (1 par devise)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Fiabilité d’intégration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aud_outbox (Outbox) + aud_log_sap + aud_idempotency_key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Réconciliation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aud_snapshot_journalier (écritures vs caisse vs SAP)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Event sourcing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aud_evenement_bon + aud_journal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Autorisation multi-canal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rôles + profils + permissions extra (scopées) + intérim</w:t>
            </w:r>
          </w:p>
        </w:tc>
      </w:tr>
      <w:tr>
        <w:tc>
          <w:tcPr>
            <w:tcW w:type="dxa" w:w="3312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Soft delete + verrou optimiste</w:t>
            </w:r>
          </w:p>
        </w:tc>
        <w:tc>
          <w:tcPr>
            <w:tcW w:type="dxa" w:w="5760"/>
          </w:tcPr>
          <w:p>
            <w:pPr>
              <w:spacing w:after="40" w:before="40"/>
            </w:pPr>
            <w:r/>
            <w:r>
              <w:rPr>
                <w:b w:val="0"/>
                <w:sz w:val="19"/>
              </w:rPr>
              <w:t>deleted_at/deleted_by_id + version</w:t>
            </w:r>
          </w:p>
        </w:tc>
      </w:tr>
    </w:tbl>
    <w:p/>
    <w:p>
      <w:r>
        <w:rPr>
          <w:i/>
          <w:color w:val="555555"/>
          <w:sz w:val="18"/>
        </w:rPr>
        <w:t>Document généré à partir du DDL db_init_gestion_caisse.sql (faisant autorité). En cas de divergence entre cette documentation et le script SQL, le script prime.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