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Fond de Caisse — Besoins d'intégration SAP</w:t>
      </w:r>
    </w:p>
    <w:p>
      <w:r>
        <w:rPr>
          <w:b w:val="0"/>
          <w:i/>
          <w:color w:val="595959"/>
        </w:rPr>
        <w:t>Application de gestion de fond de caisse (NPG Gandour) — document destiné à l'équipe SAP</w:t>
      </w:r>
    </w:p>
    <w:p>
      <w:r>
        <w:rPr>
          <w:b w:val="0"/>
          <w:i w:val="0"/>
          <w:color w:val="595959"/>
        </w:rPr>
        <w:t>Date : 8 juillet 2026</w:t>
      </w:r>
    </w:p>
    <w:p/>
    <w:p>
      <w:pPr>
        <w:pStyle w:val="Heading1"/>
      </w:pPr>
      <w:r>
        <w:rPr>
          <w:color w:val="1F4E79"/>
        </w:rPr>
        <w:t>1. Contexte et objectif</w:t>
      </w:r>
    </w:p>
    <w:p>
      <w:r>
        <w:rPr>
          <w:b w:val="0"/>
          <w:i w:val="0"/>
        </w:rPr>
        <w:t>L'application « Fond de Caisse » (FDC) gère le décaissement d'espèces (bons, caisses, portefeuilles) avec une comptabilité en partie double. Elle doit s'interfacer avec SAP dans deux sens :</w:t>
      </w:r>
    </w:p>
    <w:p>
      <w:pPr>
        <w:pStyle w:val="ListBullet"/>
      </w:pPr>
      <w:r>
        <w:rPr>
          <w:b/>
        </w:rPr>
        <w:t xml:space="preserve">Entrant (SAP → FDC) : </w:t>
      </w:r>
      <w:r>
        <w:t>recevoir de SAP les référentiels comptables (comptes / natures comptables, centres de coût, plan comptable) ;</w:t>
      </w:r>
    </w:p>
    <w:p>
      <w:pPr>
        <w:pStyle w:val="ListBullet"/>
      </w:pPr>
      <w:r>
        <w:rPr>
          <w:b/>
        </w:rPr>
        <w:t xml:space="preserve">Sortant (FDC → SAP) : </w:t>
      </w:r>
      <w:r>
        <w:t>envoyer à SAP les mouvements comptables du jour (journal de clôture de caisse) et se réconcilier.</w:t>
      </w:r>
    </w:p>
    <w:p>
      <w:r>
        <w:rPr>
          <w:b w:val="0"/>
          <w:i w:val="0"/>
        </w:rPr>
        <w:t>Ce document liste précisément ce dont l'application a besoin de la part de SAP, puis une liste de questions techniques à adresser à l'équipe SAP pour cadrer l'intégration.</w:t>
      </w:r>
    </w:p>
    <w:p>
      <w:pPr>
        <w:pStyle w:val="Heading2"/>
      </w:pPr>
      <w:r>
        <w:rPr>
          <w:color w:val="1F4E79"/>
        </w:rPr>
        <w:t>État côté application : prêt</w:t>
      </w:r>
    </w:p>
    <w:p>
      <w:r>
        <w:rPr>
          <w:b/>
          <w:i w:val="0"/>
        </w:rPr>
        <w:t>Côté application, tout ce qui pouvait être préparé sans SAP est en place :</w:t>
      </w:r>
    </w:p>
    <w:p>
      <w:pPr>
        <w:pStyle w:val="ListBullet"/>
      </w:pPr>
      <w:r>
        <w:t>le modèle de données comptable (comptes, natures comptables, centres de coût, écritures en partie double) ;</w:t>
      </w:r>
    </w:p>
    <w:p>
      <w:pPr>
        <w:pStyle w:val="ListBullet"/>
      </w:pPr>
      <w:r>
        <w:t>la file d'envoi fiable (pattern Outbox) avec ré-essais automatiques et idempotence ;</w:t>
      </w:r>
    </w:p>
    <w:p>
      <w:pPr>
        <w:pStyle w:val="ListBullet"/>
      </w:pPr>
      <w:r>
        <w:t>la traçabilité des envois vers SAP et la réconciliation quotidienne des soldes.</w:t>
      </w:r>
    </w:p>
    <w:p>
      <w:r>
        <w:rPr>
          <w:b w:val="0"/>
          <w:i w:val="0"/>
          <w:color w:val="B06A00"/>
        </w:rPr>
        <w:t>Il ne reste plus qu'à brancher le connecteur SAP (envoi réel + lecture des référentiels), ce qui nécessite les informations de la section 5 (endpoints, format de payload, accès à l'environnement de test). Dès réception de ces éléments, l'intégration peut être finalisée rapidement — la balle est côté SAP.</w:t>
      </w:r>
    </w:p>
    <w:p>
      <w:pPr>
        <w:pStyle w:val="Heading1"/>
      </w:pPr>
      <w:r>
        <w:rPr>
          <w:color w:val="1F4E79"/>
        </w:rPr>
        <w:t>2. Ce que l'application doit RECEVOIR de SAP (référentiels)</w:t>
      </w:r>
    </w:p>
    <w:p>
      <w:r>
        <w:rPr>
          <w:b w:val="0"/>
          <w:i w:val="0"/>
        </w:rPr>
        <w:t>Ces données alimentent les référentiels de l'application et servent à l'imputation comptable des décaissements. Aujourd'hui, la table des natures comptables est vide (cache SAP non alimenté) — c'est un point bloquant à résoudre en priorité.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Référentiel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Contenu attendu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Usage dans FDC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Table cible (FDC)</w:t>
            </w:r>
          </w:p>
        </w:tc>
      </w:tr>
      <w:tr>
        <w:tc>
          <w:tcPr>
            <w:tcW w:type="dxa" w:w="2160"/>
          </w:tcPr>
          <w:p>
            <w:r>
              <w:t>Natures comptables / comptes</w:t>
            </w:r>
          </w:p>
        </w:tc>
        <w:tc>
          <w:tcPr>
            <w:tcW w:type="dxa" w:w="2160"/>
          </w:tcPr>
          <w:p>
            <w:r>
              <w:t>Libellé, code compte SAP, (centre de coût, compte du plan comptable associés)</w:t>
            </w:r>
          </w:p>
        </w:tc>
        <w:tc>
          <w:tcPr>
            <w:tcW w:type="dxa" w:w="2160"/>
          </w:tcPr>
          <w:p>
            <w:r>
              <w:t>Imputation comptable de chaque décaissement</w:t>
            </w:r>
          </w:p>
        </w:tc>
        <w:tc>
          <w:tcPr>
            <w:tcW w:type="dxa" w:w="2160"/>
          </w:tcPr>
          <w:p>
            <w:r>
              <w:t>ref_nature_comptable</w:t>
            </w:r>
          </w:p>
        </w:tc>
      </w:tr>
      <w:tr>
        <w:tc>
          <w:tcPr>
            <w:tcW w:type="dxa" w:w="2160"/>
          </w:tcPr>
          <w:p>
            <w:r>
              <w:t>Plan comptable</w:t>
            </w:r>
          </w:p>
        </w:tc>
        <w:tc>
          <w:tcPr>
            <w:tcW w:type="dxa" w:w="2160"/>
          </w:tcPr>
          <w:p>
            <w:r>
              <w:t>N° de compte, type (charge / produit / actif / passif), libellé</w:t>
            </w:r>
          </w:p>
        </w:tc>
        <w:tc>
          <w:tcPr>
            <w:tcW w:type="dxa" w:w="2160"/>
          </w:tcPr>
          <w:p>
            <w:r>
              <w:t>Comptes d'imputation (charges)</w:t>
            </w:r>
          </w:p>
        </w:tc>
        <w:tc>
          <w:tcPr>
            <w:tcW w:type="dxa" w:w="2160"/>
          </w:tcPr>
          <w:p>
            <w:r>
              <w:t>ref_plan_comptable</w:t>
            </w:r>
          </w:p>
        </w:tc>
      </w:tr>
      <w:tr>
        <w:tc>
          <w:tcPr>
            <w:tcW w:type="dxa" w:w="2160"/>
          </w:tcPr>
          <w:p>
            <w:r>
              <w:t>Centres de coût</w:t>
            </w:r>
          </w:p>
        </w:tc>
        <w:tc>
          <w:tcPr>
            <w:tcW w:type="dxa" w:w="2160"/>
          </w:tcPr>
          <w:p>
            <w:r>
              <w:t>Code + libellé (+ rattachement direction si possible)</w:t>
            </w:r>
          </w:p>
        </w:tc>
        <w:tc>
          <w:tcPr>
            <w:tcW w:type="dxa" w:w="2160"/>
          </w:tcPr>
          <w:p>
            <w:r>
              <w:t>Imputation budgétaire (budget mensuel par centre de coût)</w:t>
            </w:r>
          </w:p>
        </w:tc>
        <w:tc>
          <w:tcPr>
            <w:tcW w:type="dxa" w:w="2160"/>
          </w:tcPr>
          <w:p>
            <w:r>
              <w:t>ref_cost_center</w:t>
            </w:r>
          </w:p>
        </w:tc>
      </w:tr>
      <w:tr>
        <w:tc>
          <w:tcPr>
            <w:tcW w:type="dxa" w:w="2160"/>
          </w:tcPr>
          <w:p>
            <w:r>
              <w:t>Mapping partenaire ↔ nature comptable (optionnel)</w:t>
            </w:r>
          </w:p>
        </w:tc>
        <w:tc>
          <w:tcPr>
            <w:tcW w:type="dxa" w:w="2160"/>
          </w:tcPr>
          <w:p>
            <w:r>
              <w:t>Association fournisseur/client ↔ nature comptable</w:t>
            </w:r>
          </w:p>
        </w:tc>
        <w:tc>
          <w:tcPr>
            <w:tcW w:type="dxa" w:w="2160"/>
          </w:tcPr>
          <w:p>
            <w:r>
              <w:t>Pré-remplissage à la saisie d'un bon</w:t>
            </w:r>
          </w:p>
        </w:tc>
        <w:tc>
          <w:tcPr>
            <w:tcW w:type="dxa" w:w="2160"/>
          </w:tcPr>
          <w:p>
            <w:r>
              <w:t>ref_partenaire_nature_comptable</w:t>
            </w:r>
          </w:p>
        </w:tc>
      </w:tr>
    </w:tbl>
    <w:p/>
    <w:p>
      <w:r>
        <w:rPr>
          <w:b w:val="0"/>
          <w:i w:val="0"/>
        </w:rPr>
        <w:t>Besoin clé : un moyen de mise à disposition de ces référentiels (API de lecture, export de fichier périodique…) avec une clé unique stable (le code compte SAP) pour la synchronisation.</w:t>
      </w:r>
    </w:p>
    <w:p>
      <w:pPr>
        <w:pStyle w:val="Heading1"/>
      </w:pPr>
      <w:r>
        <w:rPr>
          <w:color w:val="1F4E79"/>
        </w:rPr>
        <w:t>3. Ce que l'application doit ENVOYER à SAP (écritures)</w:t>
      </w:r>
    </w:p>
    <w:p>
      <w:r>
        <w:rPr>
          <w:b w:val="0"/>
          <w:i w:val="0"/>
        </w:rPr>
        <w:t>À la clôture quotidienne de la caisse (automatique à 20h), l'application constitue le journal des opérations du jour (décaissements, recharges, ajustements) sous forme d'écritures comptables, et l'envoie à SAP via un mécanisme fiable (file d'attente Outbox avec ré-essais et idempotence, déjà prévu côté application : tables aud_outbox / aud_log_sap).</w:t>
      </w:r>
    </w:p>
    <w:p>
      <w:r>
        <w:rPr>
          <w:b w:val="0"/>
          <w:i w:val="0"/>
        </w:rPr>
        <w:t>Contenu attendu par écriture (à confirmer / compléter selon le format SAP) :</w:t>
      </w:r>
    </w:p>
    <w:p>
      <w:pPr>
        <w:pStyle w:val="ListBullet"/>
      </w:pPr>
      <w:r>
        <w:t>Date de pièce / date comptable</w:t>
      </w:r>
    </w:p>
    <w:p>
      <w:pPr>
        <w:pStyle w:val="ListBullet"/>
      </w:pPr>
      <w:r>
        <w:t>Montant et devise (code ISO)</w:t>
      </w:r>
    </w:p>
    <w:p>
      <w:pPr>
        <w:pStyle w:val="ListBullet"/>
      </w:pPr>
      <w:r>
        <w:t>Compte à débiter / créditer (code compte SAP)</w:t>
      </w:r>
    </w:p>
    <w:p>
      <w:pPr>
        <w:pStyle w:val="ListBullet"/>
      </w:pPr>
      <w:r>
        <w:t>Centre de coût (code SAP)</w:t>
      </w:r>
    </w:p>
    <w:p>
      <w:pPr>
        <w:pStyle w:val="ListBullet"/>
      </w:pPr>
      <w:r>
        <w:t>Référence (n° de bon / n° de session de caisse) et libellé</w:t>
      </w:r>
    </w:p>
    <w:p>
      <w:pPr>
        <w:pStyle w:val="ListBullet"/>
      </w:pPr>
      <w:r>
        <w:t>Société / exercice / période comptable</w:t>
      </w:r>
    </w:p>
    <w:p>
      <w:pPr>
        <w:pStyle w:val="Heading1"/>
      </w:pPr>
      <w:r>
        <w:rPr>
          <w:color w:val="1F4E79"/>
        </w:rPr>
        <w:t>4. Réconciliation des soldes</w:t>
      </w:r>
    </w:p>
    <w:p>
      <w:r>
        <w:rPr>
          <w:b w:val="0"/>
          <w:i w:val="0"/>
        </w:rPr>
        <w:t>Chaque jour, l'application calcule un instantané par caisse (solde calculé depuis les écritures vs solde en base) et souhaite le comparer au SOLDE côté SAP (champ prévu : aud_snapshot_journalier.solde_sap). Besoin : un moyen de lire, par caisse et par date, le solde correspondant côté SAP (API de lecture ou requête).</w:t>
      </w:r>
    </w:p>
    <w:p>
      <w:pPr>
        <w:pStyle w:val="Heading1"/>
      </w:pPr>
      <w:r>
        <w:rPr>
          <w:color w:val="1F4E79"/>
        </w:rPr>
        <w:t>5. Questions techniques à l'équipe SAP</w:t>
      </w:r>
    </w:p>
    <w:p>
      <w:r>
        <w:rPr>
          <w:b/>
          <w:i w:val="0"/>
        </w:rPr>
        <w:t>Ce sont les points à clarifier pour démarrer l'intégration :</w:t>
      </w:r>
    </w:p>
    <w:p>
      <w:pPr>
        <w:pStyle w:val="ListNumber"/>
      </w:pPr>
      <w:r>
        <w:rPr>
          <w:b/>
        </w:rPr>
        <w:t xml:space="preserve">Endpoints &amp; environnements : </w:t>
      </w:r>
      <w:r>
        <w:t>URL(s) des environnements de TEST (QAS) et de PRODUCTION, et méthode d'appel.</w:t>
      </w:r>
    </w:p>
    <w:p>
      <w:pPr>
        <w:pStyle w:val="ListNumber"/>
      </w:pPr>
      <w:r>
        <w:rPr>
          <w:b/>
        </w:rPr>
        <w:t xml:space="preserve">Protocole : </w:t>
      </w:r>
      <w:r>
        <w:t>Protocole attendu : REST/JSON, SOAP/BAPI, IDoc, OData… ?</w:t>
      </w:r>
    </w:p>
    <w:p>
      <w:pPr>
        <w:pStyle w:val="ListNumber"/>
      </w:pPr>
      <w:r>
        <w:rPr>
          <w:b/>
        </w:rPr>
        <w:t xml:space="preserve">Authentification : </w:t>
      </w:r>
      <w:r>
        <w:t>OAuth2 / clé d'API / certificat / utilisateur technique SAP ? Où obtenir les identifiants ?</w:t>
      </w:r>
    </w:p>
    <w:p>
      <w:pPr>
        <w:pStyle w:val="ListNumber"/>
      </w:pPr>
      <w:r>
        <w:rPr>
          <w:b/>
        </w:rPr>
        <w:t xml:space="preserve">Format des données : </w:t>
      </w:r>
      <w:r>
        <w:t>JSON ou XML ; encodage ; format des dates (ISO 8601 ?) ; format des montants (décimales, séparateur) ; code devise (ISO).</w:t>
      </w:r>
    </w:p>
    <w:p>
      <w:pPr>
        <w:pStyle w:val="ListNumber"/>
      </w:pPr>
      <w:r>
        <w:rPr>
          <w:b/>
        </w:rPr>
        <w:t xml:space="preserve">Spécification du payload : </w:t>
      </w:r>
      <w:r>
        <w:t>Structure exacte du message attendu pour une écriture / un journal de clôture : liste des champs OBLIGATOIRES (ex. société/BUKRS, compte/HKONT, centre de coût/KOSTL, montant, devise, date, texte, référence…) + un exemple de payload valide.</w:t>
      </w:r>
    </w:p>
    <w:p>
      <w:pPr>
        <w:pStyle w:val="ListNumber"/>
      </w:pPr>
      <w:r>
        <w:rPr>
          <w:b/>
        </w:rPr>
        <w:t xml:space="preserve">Référentiels : </w:t>
      </w:r>
      <w:r>
        <w:t>Comment récupérer les comptes / natures comptables / centres de coût (API de lecture, export périodique, fichier) ? Clé de synchronisation et fréquence de rafraîchissement ?</w:t>
      </w:r>
    </w:p>
    <w:p>
      <w:pPr>
        <w:pStyle w:val="ListNumber"/>
      </w:pPr>
      <w:r>
        <w:rPr>
          <w:b/>
        </w:rPr>
        <w:t xml:space="preserve">Idempotence &amp; rejeu : </w:t>
      </w:r>
      <w:r>
        <w:t>SAP accepte-t-il une clé d'idempotence (identifiant unique de message) pour éviter les doublons en cas de ré-essai / rejeu ?</w:t>
      </w:r>
    </w:p>
    <w:p>
      <w:pPr>
        <w:pStyle w:val="ListNumber"/>
      </w:pPr>
      <w:r>
        <w:rPr>
          <w:b/>
        </w:rPr>
        <w:t xml:space="preserve">Réponses &amp; erreurs : </w:t>
      </w:r>
      <w:r>
        <w:t>Structure de la réponse (succès / erreur), codes retour, et message d'erreur exploitable côté application (pour tracer dans aud_log_sap).</w:t>
      </w:r>
    </w:p>
    <w:p>
      <w:pPr>
        <w:pStyle w:val="ListNumber"/>
      </w:pPr>
      <w:r>
        <w:rPr>
          <w:b/>
        </w:rPr>
        <w:t xml:space="preserve">Réconciliation : </w:t>
      </w:r>
      <w:r>
        <w:t>Existe-t-il un service pour lire le solde de caisse côté SAP (par caisse et par date) pour la réconciliation ?</w:t>
      </w:r>
    </w:p>
    <w:p>
      <w:pPr>
        <w:pStyle w:val="ListNumber"/>
      </w:pPr>
      <w:r>
        <w:rPr>
          <w:b/>
        </w:rPr>
        <w:t xml:space="preserve">Planning &amp; volumétrie : </w:t>
      </w:r>
      <w:r>
        <w:t>Fenêtre d'envoi : ~1 clôture par jour et par caisse, déclenchée après 20h. Contraintes horaires / volumétrie côté SAP ?</w:t>
      </w:r>
    </w:p>
    <w:p>
      <w:pPr>
        <w:pStyle w:val="ListNumber"/>
      </w:pPr>
      <w:r>
        <w:rPr>
          <w:b/>
        </w:rPr>
        <w:t xml:space="preserve">Accès &amp; contact : </w:t>
      </w:r>
      <w:r>
        <w:t>Contact technique SAP dédié, et plages d'adresses IP / pare-feu à autoriser entre les deux systèmes.</w:t>
      </w:r>
    </w:p>
    <w:p>
      <w:pPr>
        <w:pStyle w:val="Heading1"/>
      </w:pPr>
      <w:r>
        <w:rPr>
          <w:color w:val="1F4E79"/>
        </w:rPr>
        <w:t>6. Annexe — éléments déjà prévus côté application</w:t>
      </w:r>
    </w:p>
    <w:p>
      <w:r>
        <w:rPr>
          <w:b w:val="0"/>
          <w:i w:val="0"/>
        </w:rPr>
        <w:t>Pour information, l'application a déjà modélisé les structures d'intégration ; il ne manque que la spécification SAP pour les brancher :</w:t>
      </w:r>
    </w:p>
    <w:p>
      <w:pPr>
        <w:pStyle w:val="ListBullet"/>
      </w:pPr>
      <w:r>
        <w:rPr>
          <w:b/>
        </w:rPr>
        <w:t xml:space="preserve">ref_nature_comptable : </w:t>
      </w:r>
      <w:r>
        <w:t>code_comptable_sap, cost_center_id, plan_comptable_id — cache local des natures comptables.</w:t>
      </w:r>
    </w:p>
    <w:p>
      <w:pPr>
        <w:pStyle w:val="ListBullet"/>
      </w:pPr>
      <w:r>
        <w:rPr>
          <w:b/>
        </w:rPr>
        <w:t xml:space="preserve">aud_outbox : </w:t>
      </w:r>
      <w:r>
        <w:t>file d'envoi fiable (type_message, payload JSON, statut, nb_tentatives, clé d'idempotence externe).</w:t>
      </w:r>
    </w:p>
    <w:p>
      <w:pPr>
        <w:pStyle w:val="ListBullet"/>
      </w:pPr>
      <w:r>
        <w:rPr>
          <w:b/>
        </w:rPr>
        <w:t xml:space="preserve">aud_log_sap : </w:t>
      </w:r>
      <w:r>
        <w:t>trace des envois vers SAP (payload, statut SUCCES/ECHEC, message de retour, nb tentatives).</w:t>
      </w:r>
    </w:p>
    <w:p>
      <w:pPr>
        <w:pStyle w:val="ListBullet"/>
      </w:pPr>
      <w:r>
        <w:rPr>
          <w:b/>
        </w:rPr>
        <w:t xml:space="preserve">aud_snapshot_journalier : </w:t>
      </w:r>
      <w:r>
        <w:t>réconciliation quotidienne par caisse, avec un champ solde_sap à alimenter.</w:t>
      </w:r>
    </w:p>
    <w:p/>
    <w:p>
      <w:r>
        <w:rPr>
          <w:b/>
          <w:i w:val="0"/>
          <w:color w:val="B06A00"/>
        </w:rPr>
        <w:t>Merci de compléter la section 5 (questions techniques) et de fournir un exemple de payload attendu ainsi qu'un accès à l'environnement de test 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