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E7EC" w14:textId="77777777" w:rsidR="00B446EE" w:rsidRDefault="00000000">
      <w:pPr>
        <w:jc w:val="center"/>
      </w:pPr>
      <w:r>
        <w:rPr>
          <w:b/>
          <w:color w:val="0F4C81"/>
          <w:sz w:val="48"/>
        </w:rPr>
        <w:t>FOND DE CAISSE — NPG GANDOUR</w:t>
      </w:r>
    </w:p>
    <w:p w14:paraId="142B4711" w14:textId="77777777" w:rsidR="00B446EE" w:rsidRDefault="00000000">
      <w:pPr>
        <w:jc w:val="center"/>
      </w:pPr>
      <w:r>
        <w:rPr>
          <w:color w:val="475569"/>
          <w:sz w:val="30"/>
        </w:rPr>
        <w:t>Documentation des flux de l’application</w:t>
      </w:r>
    </w:p>
    <w:p w14:paraId="5B52143E" w14:textId="77777777" w:rsidR="00B446EE" w:rsidRDefault="00000000">
      <w:pPr>
        <w:jc w:val="center"/>
      </w:pPr>
      <w:r>
        <w:rPr>
          <w:i/>
          <w:color w:val="475569"/>
        </w:rPr>
        <w:t>Application de gestion de caisse : bons, décaissements, portefeuilles,</w:t>
      </w:r>
      <w:r>
        <w:rPr>
          <w:i/>
          <w:color w:val="475569"/>
        </w:rPr>
        <w:br/>
        <w:t>recharges, transferts et traçabilité comptable.</w:t>
      </w:r>
    </w:p>
    <w:p w14:paraId="76DF69C8" w14:textId="77777777" w:rsidR="00B446EE" w:rsidRDefault="00B446EE"/>
    <w:p w14:paraId="73EA26FF" w14:textId="77777777" w:rsidR="00B446EE" w:rsidRDefault="00000000">
      <w:pPr>
        <w:jc w:val="center"/>
      </w:pPr>
      <w:r>
        <w:rPr>
          <w:color w:val="475569"/>
          <w:sz w:val="19"/>
        </w:rPr>
        <w:t>Backend NestJS + TypeORM + SQL Server   •   Frontend React 19 + Vite   •   Mobile Expo</w:t>
      </w:r>
    </w:p>
    <w:p w14:paraId="78E702E3" w14:textId="77777777" w:rsidR="00B446EE" w:rsidRDefault="00000000">
      <w:r>
        <w:br w:type="page"/>
      </w:r>
    </w:p>
    <w:p w14:paraId="5166C137" w14:textId="77777777" w:rsidR="00B446EE" w:rsidRDefault="00000000">
      <w:pPr>
        <w:pStyle w:val="Titre1"/>
      </w:pPr>
      <w:r>
        <w:rPr>
          <w:color w:val="0F4C81"/>
          <w:sz w:val="32"/>
        </w:rPr>
        <w:lastRenderedPageBreak/>
        <w:t>Sommaire</w:t>
      </w:r>
    </w:p>
    <w:p w14:paraId="6E0F3378" w14:textId="77777777" w:rsidR="00B446EE" w:rsidRDefault="00000000">
      <w:pPr>
        <w:pStyle w:val="Listenumros"/>
      </w:pPr>
      <w:r>
        <w:t>Vue d’ensemble</w:t>
      </w:r>
    </w:p>
    <w:p w14:paraId="5836704A" w14:textId="77777777" w:rsidR="00B446EE" w:rsidRDefault="00000000">
      <w:pPr>
        <w:pStyle w:val="Listenumros"/>
      </w:pPr>
      <w:r>
        <w:t>Les acteurs (rôles)</w:t>
      </w:r>
    </w:p>
    <w:p w14:paraId="3B7E9DBA" w14:textId="77777777" w:rsidR="00B446EE" w:rsidRDefault="00000000">
      <w:pPr>
        <w:pStyle w:val="Listenumros"/>
      </w:pPr>
      <w:r>
        <w:t>Flux d’authentification</w:t>
      </w:r>
    </w:p>
    <w:p w14:paraId="0375B00E" w14:textId="77777777" w:rsidR="00B446EE" w:rsidRDefault="00000000">
      <w:pPr>
        <w:pStyle w:val="Listenumros"/>
      </w:pPr>
      <w:r>
        <w:t>Flux principal — Cycle de vie d’un bon</w:t>
      </w:r>
    </w:p>
    <w:p w14:paraId="54EFC780" w14:textId="77777777" w:rsidR="00B446EE" w:rsidRDefault="00000000">
      <w:pPr>
        <w:pStyle w:val="Listenumros"/>
      </w:pPr>
      <w:r>
        <w:t>Flux de décaissement (workflow caissier)</w:t>
      </w:r>
    </w:p>
    <w:p w14:paraId="0DC55F1B" w14:textId="77777777" w:rsidR="00B446EE" w:rsidRDefault="00000000">
      <w:pPr>
        <w:pStyle w:val="Listenumros"/>
      </w:pPr>
      <w:r>
        <w:t>Flux de demande de recharge de portefeuille</w:t>
      </w:r>
    </w:p>
    <w:p w14:paraId="67DE4DF9" w14:textId="77777777" w:rsidR="00B446EE" w:rsidRDefault="00000000">
      <w:pPr>
        <w:pStyle w:val="Listenumros"/>
      </w:pPr>
      <w:r>
        <w:t>Flux de demande de transfert</w:t>
      </w:r>
    </w:p>
    <w:p w14:paraId="56622804" w14:textId="77777777" w:rsidR="00B446EE" w:rsidRDefault="00000000">
      <w:pPr>
        <w:pStyle w:val="Listenumros"/>
      </w:pPr>
      <w:r>
        <w:t>Flux d’extension de budget</w:t>
      </w:r>
    </w:p>
    <w:p w14:paraId="0EA60423" w14:textId="77777777" w:rsidR="00B446EE" w:rsidRDefault="00000000">
      <w:pPr>
        <w:pStyle w:val="Listenumros"/>
      </w:pPr>
      <w:r>
        <w:t>Flux d’intérim (délégation de droits)</w:t>
      </w:r>
    </w:p>
    <w:p w14:paraId="11F96EA9" w14:textId="77777777" w:rsidR="00B446EE" w:rsidRDefault="00000000">
      <w:pPr>
        <w:pStyle w:val="Listenumros"/>
      </w:pPr>
      <w:r>
        <w:t>Flux d’ouverture / clôture de caisse</w:t>
      </w:r>
    </w:p>
    <w:p w14:paraId="291708DC" w14:textId="77777777" w:rsidR="00B446EE" w:rsidRDefault="00000000">
      <w:pPr>
        <w:pStyle w:val="Listenumros"/>
      </w:pPr>
      <w:r>
        <w:t>Bons manuels</w:t>
      </w:r>
    </w:p>
    <w:p w14:paraId="73BBB3FD" w14:textId="77777777" w:rsidR="00B446EE" w:rsidRDefault="00000000">
      <w:pPr>
        <w:pStyle w:val="Listenumros"/>
      </w:pPr>
      <w:r>
        <w:t>Traçabilité &amp; audit</w:t>
      </w:r>
    </w:p>
    <w:p w14:paraId="02F4E979" w14:textId="77777777" w:rsidR="00B446EE" w:rsidRDefault="00000000">
      <w:pPr>
        <w:pStyle w:val="Listenumros"/>
      </w:pPr>
      <w:r>
        <w:t>Récapitulatif des statuts</w:t>
      </w:r>
    </w:p>
    <w:p w14:paraId="08AD847A" w14:textId="77777777" w:rsidR="00B446EE" w:rsidRDefault="00000000">
      <w:pPr>
        <w:pStyle w:val="Listenumros"/>
      </w:pPr>
      <w:r>
        <w:t>Périmètres &amp; cloisonnement</w:t>
      </w:r>
    </w:p>
    <w:p w14:paraId="03BFF4AC" w14:textId="77777777" w:rsidR="00B446EE" w:rsidRDefault="00000000">
      <w:r>
        <w:br w:type="page"/>
      </w:r>
    </w:p>
    <w:p w14:paraId="761A255E" w14:textId="77777777" w:rsidR="00B446EE" w:rsidRDefault="00000000">
      <w:pPr>
        <w:pStyle w:val="Titre1"/>
      </w:pPr>
      <w:r>
        <w:rPr>
          <w:color w:val="0F4C81"/>
          <w:sz w:val="32"/>
        </w:rPr>
        <w:lastRenderedPageBreak/>
        <w:t>1. Vue d’ensemble</w:t>
      </w:r>
    </w:p>
    <w:p w14:paraId="64186F40" w14:textId="77777777" w:rsidR="00B446EE" w:rsidRDefault="00000000">
      <w:r>
        <w:t>L’application « Fond de Caisse » gère le circuit complet de décaissement d’espèces au sein de NPG Gandour : de la demande (bon) jusqu’au paiement effectif par un caissier, avec alimentation des caisses et portefeuilles (recharges, transferts) et une traçabilité comptable en partie double.</w:t>
      </w:r>
    </w:p>
    <w:p w14:paraId="1870D6F9" w14:textId="77777777" w:rsidR="00B446EE" w:rsidRDefault="00B446EE"/>
    <w:p w14:paraId="3BF3D770" w14:textId="77777777" w:rsidR="00B446EE" w:rsidRDefault="00000000">
      <w:r>
        <w:rPr>
          <w:b/>
        </w:rPr>
        <w:t>Chaîne de valeur globale :</w:t>
      </w:r>
    </w:p>
    <w:p w14:paraId="149CBA62" w14:textId="77777777" w:rsidR="00B446EE" w:rsidRDefault="00000000">
      <w:pPr>
        <w:jc w:val="center"/>
      </w:pPr>
      <w:r>
        <w:rPr>
          <w:b/>
          <w:color w:val="0F4C81"/>
          <w:sz w:val="22"/>
        </w:rPr>
        <w:t>Demande (Bon)  →  Validation  →  (Impression/Signature)  →  Décaissement  →  Comptabilisation</w:t>
      </w:r>
    </w:p>
    <w:p w14:paraId="5BA6FB25" w14:textId="77777777" w:rsidR="00B446EE" w:rsidRDefault="00B446EE"/>
    <w:p w14:paraId="2FFDA777" w14:textId="77777777" w:rsidR="00B446EE" w:rsidRDefault="00000000">
      <w:r>
        <w:rPr>
          <w:b/>
        </w:rPr>
        <w:t>Alimentation de la trésorerie (en parallèle) :</w:t>
      </w:r>
    </w:p>
    <w:p w14:paraId="310E3EB9" w14:textId="77777777" w:rsidR="00B446EE" w:rsidRDefault="00000000">
      <w:pPr>
        <w:jc w:val="center"/>
      </w:pPr>
      <w:r>
        <w:rPr>
          <w:b/>
          <w:color w:val="0F4C81"/>
          <w:sz w:val="22"/>
        </w:rPr>
        <w:t>Recharge caisse ↔ portefeuille   •   Transfert entre comptes   •   Extension de budget</w:t>
      </w:r>
    </w:p>
    <w:p w14:paraId="0A89056B" w14:textId="77777777" w:rsidR="00B446EE" w:rsidRDefault="00B446EE"/>
    <w:p w14:paraId="45A194EA" w14:textId="77777777" w:rsidR="00B446EE" w:rsidRDefault="00000000">
      <w:r>
        <w:rPr>
          <w:b/>
        </w:rPr>
        <w:t>Principes structurants :</w:t>
      </w:r>
    </w:p>
    <w:p w14:paraId="62DAB3F1" w14:textId="77777777" w:rsidR="00B446EE" w:rsidRDefault="00000000">
      <w:pPr>
        <w:pStyle w:val="Listepuces"/>
      </w:pPr>
      <w:r>
        <w:rPr>
          <w:b/>
        </w:rPr>
        <w:t xml:space="preserve">Bon / Sous-bon — </w:t>
      </w:r>
      <w:r>
        <w:t>un Bon est une enveloppe légère ; le Sous-bon porte les données métier (montant, imputation, bénéficiaire) ; un bon peut avoir plusieurs sous-bons.</w:t>
      </w:r>
    </w:p>
    <w:p w14:paraId="7B3603B5" w14:textId="77777777" w:rsidR="00B446EE" w:rsidRDefault="00000000">
      <w:pPr>
        <w:pStyle w:val="Listepuces"/>
      </w:pPr>
      <w:r>
        <w:rPr>
          <w:b/>
        </w:rPr>
        <w:t xml:space="preserve">Comptabilité — </w:t>
      </w:r>
      <w:r>
        <w:t>chaque mouvement génère des écritures comptables en partie double (débit = crédit), avec un hash d’intégrité chaîné.</w:t>
      </w:r>
    </w:p>
    <w:p w14:paraId="62392AD1" w14:textId="77777777" w:rsidR="00B446EE" w:rsidRDefault="00000000">
      <w:pPr>
        <w:pStyle w:val="Listepuces"/>
      </w:pPr>
      <w:r>
        <w:rPr>
          <w:b/>
        </w:rPr>
        <w:t xml:space="preserve">Traçabilité — </w:t>
      </w:r>
      <w:r>
        <w:t>rien n’est supprimé physiquement (soft-delete) ; toutes les actions sensibles sont journalisées.</w:t>
      </w:r>
    </w:p>
    <w:p w14:paraId="462C7BB4" w14:textId="77777777" w:rsidR="00B446EE" w:rsidRDefault="00000000">
      <w:pPr>
        <w:pStyle w:val="Listepuces"/>
      </w:pPr>
      <w:r>
        <w:rPr>
          <w:b/>
        </w:rPr>
        <w:t xml:space="preserve">Périmètres — </w:t>
      </w:r>
      <w:r>
        <w:t>l’accès aux données est cloisonné par direction, caisse, portefeuille et division.</w:t>
      </w:r>
    </w:p>
    <w:p w14:paraId="339271D2" w14:textId="77777777" w:rsidR="00B446EE" w:rsidRDefault="00000000">
      <w:pPr>
        <w:pStyle w:val="Titre1"/>
      </w:pPr>
      <w:r>
        <w:rPr>
          <w:color w:val="0F4C81"/>
          <w:sz w:val="32"/>
        </w:rPr>
        <w:t>2. Les acteurs (rôles)</w:t>
      </w:r>
    </w:p>
    <w:p w14:paraId="14255F6E" w14:textId="77777777" w:rsidR="00B446EE" w:rsidRDefault="00000000">
      <w:r>
        <w:t>Sept rôles structurent les droits. Un utilisateur peut cumuler plusieurs rôles (bascule de « persona » dans l’interface).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52"/>
        <w:gridCol w:w="6004"/>
      </w:tblGrid>
      <w:tr w:rsidR="00B446EE" w14:paraId="6E9E2021" w14:textId="77777777">
        <w:trPr>
          <w:jc w:val="center"/>
        </w:trPr>
        <w:tc>
          <w:tcPr>
            <w:tcW w:w="2880" w:type="dxa"/>
            <w:shd w:val="clear" w:color="auto" w:fill="0F4C81"/>
          </w:tcPr>
          <w:p w14:paraId="78CAC624" w14:textId="77777777" w:rsidR="00B446EE" w:rsidRDefault="00000000">
            <w:r>
              <w:rPr>
                <w:b/>
                <w:color w:val="FFFFFF"/>
                <w:sz w:val="19"/>
              </w:rPr>
              <w:t>Rôle</w:t>
            </w:r>
          </w:p>
        </w:tc>
        <w:tc>
          <w:tcPr>
            <w:tcW w:w="6480" w:type="dxa"/>
            <w:shd w:val="clear" w:color="auto" w:fill="0F4C81"/>
          </w:tcPr>
          <w:p w14:paraId="16204259" w14:textId="77777777" w:rsidR="00B446EE" w:rsidRDefault="00000000">
            <w:r>
              <w:rPr>
                <w:b/>
                <w:color w:val="FFFFFF"/>
                <w:sz w:val="19"/>
              </w:rPr>
              <w:t>Vocation dans les flux</w:t>
            </w:r>
          </w:p>
        </w:tc>
      </w:tr>
      <w:tr w:rsidR="00B446EE" w14:paraId="2888734A" w14:textId="77777777">
        <w:trPr>
          <w:jc w:val="center"/>
        </w:trPr>
        <w:tc>
          <w:tcPr>
            <w:tcW w:w="2880" w:type="dxa"/>
          </w:tcPr>
          <w:p w14:paraId="43437CFC" w14:textId="77777777" w:rsidR="00B446EE" w:rsidRDefault="00000000">
            <w:r>
              <w:rPr>
                <w:sz w:val="19"/>
              </w:rPr>
              <w:t>DEMANDEUR</w:t>
            </w:r>
          </w:p>
        </w:tc>
        <w:tc>
          <w:tcPr>
            <w:tcW w:w="6480" w:type="dxa"/>
          </w:tcPr>
          <w:p w14:paraId="0F1EB813" w14:textId="77777777" w:rsidR="00B446EE" w:rsidRDefault="00000000">
            <w:r>
              <w:rPr>
                <w:sz w:val="19"/>
              </w:rPr>
              <w:t>Crée les bons de caisse (enveloppe + sous-bons).</w:t>
            </w:r>
          </w:p>
        </w:tc>
      </w:tr>
      <w:tr w:rsidR="00B446EE" w14:paraId="078851D9" w14:textId="77777777">
        <w:trPr>
          <w:jc w:val="center"/>
        </w:trPr>
        <w:tc>
          <w:tcPr>
            <w:tcW w:w="2880" w:type="dxa"/>
          </w:tcPr>
          <w:p w14:paraId="15BBB52D" w14:textId="77777777" w:rsidR="00B446EE" w:rsidRDefault="00000000">
            <w:r>
              <w:rPr>
                <w:sz w:val="19"/>
              </w:rPr>
              <w:t>VALIDATEUR</w:t>
            </w:r>
          </w:p>
        </w:tc>
        <w:tc>
          <w:tcPr>
            <w:tcW w:w="6480" w:type="dxa"/>
          </w:tcPr>
          <w:p w14:paraId="5D224A46" w14:textId="77777777" w:rsidR="00B446EE" w:rsidRDefault="00000000">
            <w:r>
              <w:rPr>
                <w:sz w:val="19"/>
              </w:rPr>
              <w:t>Valide/refuse les bons de sa direction ; arbitre les extensions de budget.</w:t>
            </w:r>
          </w:p>
        </w:tc>
      </w:tr>
      <w:tr w:rsidR="00B446EE" w14:paraId="123A0475" w14:textId="77777777">
        <w:trPr>
          <w:jc w:val="center"/>
        </w:trPr>
        <w:tc>
          <w:tcPr>
            <w:tcW w:w="2880" w:type="dxa"/>
          </w:tcPr>
          <w:p w14:paraId="13B8B353" w14:textId="77777777" w:rsidR="00B446EE" w:rsidRDefault="00000000">
            <w:r>
              <w:rPr>
                <w:sz w:val="19"/>
              </w:rPr>
              <w:t>CAISSIER</w:t>
            </w:r>
          </w:p>
        </w:tc>
        <w:tc>
          <w:tcPr>
            <w:tcW w:w="6480" w:type="dxa"/>
          </w:tcPr>
          <w:p w14:paraId="2FC42130" w14:textId="77777777" w:rsidR="00B446EE" w:rsidRDefault="00000000">
            <w:r>
              <w:rPr>
                <w:sz w:val="19"/>
              </w:rPr>
              <w:t>Décaisse les bons ; traite les recharges ; exécute les transferts ; ouvre/clôture les caisses.</w:t>
            </w:r>
          </w:p>
        </w:tc>
      </w:tr>
      <w:tr w:rsidR="00B446EE" w14:paraId="0617E2A6" w14:textId="77777777">
        <w:trPr>
          <w:jc w:val="center"/>
        </w:trPr>
        <w:tc>
          <w:tcPr>
            <w:tcW w:w="2880" w:type="dxa"/>
          </w:tcPr>
          <w:p w14:paraId="56C9C40F" w14:textId="77777777" w:rsidR="00B446EE" w:rsidRDefault="00000000">
            <w:r>
              <w:rPr>
                <w:sz w:val="19"/>
              </w:rPr>
              <w:t>GESTIONNAIRE_PORTEFEUILLE</w:t>
            </w:r>
          </w:p>
        </w:tc>
        <w:tc>
          <w:tcPr>
            <w:tcW w:w="6480" w:type="dxa"/>
          </w:tcPr>
          <w:p w14:paraId="15735F33" w14:textId="77777777" w:rsidR="00B446EE" w:rsidRDefault="00000000">
            <w:r>
              <w:rPr>
                <w:sz w:val="19"/>
              </w:rPr>
              <w:t>Pilote les portefeuilles ; approuve les transferts ; initie les recharges ; arbitre les extensions.</w:t>
            </w:r>
          </w:p>
        </w:tc>
      </w:tr>
      <w:tr w:rsidR="00B446EE" w14:paraId="75F83F4D" w14:textId="77777777">
        <w:trPr>
          <w:jc w:val="center"/>
        </w:trPr>
        <w:tc>
          <w:tcPr>
            <w:tcW w:w="2880" w:type="dxa"/>
          </w:tcPr>
          <w:p w14:paraId="5D5EB9D8" w14:textId="77777777" w:rsidR="00B446EE" w:rsidRDefault="00000000">
            <w:r>
              <w:rPr>
                <w:sz w:val="19"/>
              </w:rPr>
              <w:t>ADMINISTRATEUR</w:t>
            </w:r>
          </w:p>
        </w:tc>
        <w:tc>
          <w:tcPr>
            <w:tcW w:w="6480" w:type="dxa"/>
          </w:tcPr>
          <w:p w14:paraId="160C6E82" w14:textId="77777777" w:rsidR="00B446EE" w:rsidRDefault="00000000">
            <w:r>
              <w:rPr>
                <w:sz w:val="19"/>
              </w:rPr>
              <w:t>Gère utilisateurs, rôles, profils, référentiels ; accès transverse.</w:t>
            </w:r>
          </w:p>
        </w:tc>
      </w:tr>
      <w:tr w:rsidR="00B446EE" w14:paraId="43E4AAF8" w14:textId="77777777">
        <w:trPr>
          <w:jc w:val="center"/>
        </w:trPr>
        <w:tc>
          <w:tcPr>
            <w:tcW w:w="2880" w:type="dxa"/>
          </w:tcPr>
          <w:p w14:paraId="4FA15127" w14:textId="77777777" w:rsidR="00B446EE" w:rsidRDefault="00000000">
            <w:r>
              <w:rPr>
                <w:sz w:val="19"/>
              </w:rPr>
              <w:t>SUPER_ADMIN</w:t>
            </w:r>
          </w:p>
        </w:tc>
        <w:tc>
          <w:tcPr>
            <w:tcW w:w="6480" w:type="dxa"/>
          </w:tcPr>
          <w:p w14:paraId="7AB31976" w14:textId="77777777" w:rsidR="00B446EE" w:rsidRDefault="00000000">
            <w:r>
              <w:rPr>
                <w:sz w:val="19"/>
              </w:rPr>
              <w:t>Accès total sans restriction ; consulte le journal d’audit.</w:t>
            </w:r>
          </w:p>
        </w:tc>
      </w:tr>
      <w:tr w:rsidR="00B446EE" w14:paraId="04CC2C07" w14:textId="77777777">
        <w:trPr>
          <w:jc w:val="center"/>
        </w:trPr>
        <w:tc>
          <w:tcPr>
            <w:tcW w:w="2880" w:type="dxa"/>
          </w:tcPr>
          <w:p w14:paraId="367FC389" w14:textId="77777777" w:rsidR="00B446EE" w:rsidRDefault="00000000">
            <w:r>
              <w:rPr>
                <w:sz w:val="19"/>
              </w:rPr>
              <w:t>DAF</w:t>
            </w:r>
          </w:p>
        </w:tc>
        <w:tc>
          <w:tcPr>
            <w:tcW w:w="6480" w:type="dxa"/>
          </w:tcPr>
          <w:p w14:paraId="5E7D37A2" w14:textId="77777777" w:rsidR="00B446EE" w:rsidRDefault="00000000">
            <w:r>
              <w:rPr>
                <w:sz w:val="19"/>
              </w:rPr>
              <w:t>Méta-rôle = ADMINISTRATEUR + CAISSIER (pilotage + caisse).</w:t>
            </w:r>
          </w:p>
        </w:tc>
      </w:tr>
    </w:tbl>
    <w:p w14:paraId="27C1CAC8" w14:textId="77777777" w:rsidR="00B446EE" w:rsidRDefault="00B446EE"/>
    <w:p w14:paraId="508D2403" w14:textId="77777777" w:rsidR="00B446EE" w:rsidRDefault="00000000">
      <w:r>
        <w:rPr>
          <w:i/>
          <w:color w:val="475569"/>
          <w:sz w:val="19"/>
        </w:rPr>
        <w:lastRenderedPageBreak/>
        <w:t>Les droits fins sont accordés via : rôles + profils (paquets de permissions) + permissions directes (temporaires possibles) + délégations d’intérim. Un droit obtenu par au moins un canal suffit ; les administrateurs contournent les contrôles.</w:t>
      </w:r>
    </w:p>
    <w:p w14:paraId="51AB5A42" w14:textId="77777777" w:rsidR="00B446EE" w:rsidRDefault="00000000">
      <w:pPr>
        <w:pStyle w:val="Titre1"/>
      </w:pPr>
      <w:r>
        <w:rPr>
          <w:color w:val="0F4C81"/>
          <w:sz w:val="32"/>
        </w:rPr>
        <w:t>3. Flux d’authentification</w:t>
      </w:r>
    </w:p>
    <w:p w14:paraId="35B287A5" w14:textId="77777777" w:rsidR="00B446EE" w:rsidRDefault="00000000">
      <w:r>
        <w:t>L’application supporte deux modes, pilotés par la variable LDAP_ENABLED.</w:t>
      </w:r>
    </w:p>
    <w:p w14:paraId="1D0A8D79" w14:textId="77777777" w:rsidR="00B446EE" w:rsidRDefault="00000000">
      <w:pPr>
        <w:pStyle w:val="Titre2"/>
      </w:pPr>
      <w:r>
        <w:rPr>
          <w:color w:val="1A6DB5"/>
        </w:rPr>
        <w:t>Mode LDAP (production)</w:t>
      </w:r>
    </w:p>
    <w:p w14:paraId="38E22E34" w14:textId="77777777" w:rsidR="00B446EE" w:rsidRDefault="00000000">
      <w:pPr>
        <w:pStyle w:val="Listenumros"/>
      </w:pPr>
      <w:r>
        <w:t>L’utilisateur saisit son identifiant (username) + mot de passe.</w:t>
      </w:r>
    </w:p>
    <w:p w14:paraId="58135329" w14:textId="77777777" w:rsidR="00B446EE" w:rsidRDefault="00000000">
      <w:pPr>
        <w:pStyle w:val="Listenumros"/>
      </w:pPr>
      <w:r>
        <w:t>Le backend appelle le service LDAP NPG (POST) pour vérifier le mot de passe.</w:t>
      </w:r>
    </w:p>
    <w:p w14:paraId="786A36AA" w14:textId="77777777" w:rsidR="00B446EE" w:rsidRDefault="00000000">
      <w:pPr>
        <w:pStyle w:val="Listenumros"/>
      </w:pPr>
      <w:r>
        <w:t>Le matricule renvoyé par le LDAP est rapproché du compte local (qui doit exister et être actif).</w:t>
      </w:r>
    </w:p>
    <w:p w14:paraId="1DC011BE" w14:textId="77777777" w:rsidR="00B446EE" w:rsidRDefault="00000000">
      <w:pPr>
        <w:pStyle w:val="Listenumros"/>
      </w:pPr>
      <w:r>
        <w:t>Émission d’un couple de jetons JWT : access (≈ 15 min) + refresh (≈ 7 jours).</w:t>
      </w:r>
    </w:p>
    <w:p w14:paraId="6C7574C5" w14:textId="77777777" w:rsidR="00B446EE" w:rsidRDefault="00000000">
      <w:pPr>
        <w:pStyle w:val="Titre2"/>
      </w:pPr>
      <w:r>
        <w:rPr>
          <w:color w:val="1A6DB5"/>
        </w:rPr>
        <w:t>Mode LOCAL (test / hors-ligne)</w:t>
      </w:r>
    </w:p>
    <w:p w14:paraId="710DA618" w14:textId="77777777" w:rsidR="00B446EE" w:rsidRDefault="00000000">
      <w:r>
        <w:t>LDAP_ENABLED=false : aucun contrôle de mot de passe. Un compte local actif se connecte avec n’importe quel mot de passe, en saisissant son username, son matricule ou son email.</w:t>
      </w:r>
    </w:p>
    <w:p w14:paraId="33A9E2BA" w14:textId="77777777" w:rsidR="00B446EE" w:rsidRDefault="00000000">
      <w:pPr>
        <w:pStyle w:val="Titre2"/>
      </w:pPr>
      <w:r>
        <w:rPr>
          <w:color w:val="1A6DB5"/>
        </w:rPr>
        <w:t>Contrôles complémentaires</w:t>
      </w:r>
    </w:p>
    <w:p w14:paraId="176BC4BA" w14:textId="77777777" w:rsidR="00B446EE" w:rsidRDefault="00000000">
      <w:pPr>
        <w:pStyle w:val="Listepuces"/>
      </w:pPr>
      <w:r>
        <w:t>Accès plateforme : un compte peut être autorisé sur Web et/ou Mobile (accesWeb / accesMobile).</w:t>
      </w:r>
    </w:p>
    <w:p w14:paraId="1C66CE2B" w14:textId="77777777" w:rsidR="00B446EE" w:rsidRDefault="00000000">
      <w:pPr>
        <w:pStyle w:val="Listepuces"/>
      </w:pPr>
      <w:r>
        <w:t>Rafraîchissement : le refresh token régénère un access token expiré (sinon déconnexion).</w:t>
      </w:r>
    </w:p>
    <w:p w14:paraId="2EFFFCBF" w14:textId="77777777" w:rsidR="00B446EE" w:rsidRDefault="00000000">
      <w:pPr>
        <w:jc w:val="center"/>
      </w:pPr>
      <w:r>
        <w:rPr>
          <w:b/>
          <w:color w:val="0F4C81"/>
          <w:sz w:val="22"/>
        </w:rPr>
        <w:t>Saisie identifiants  →  (LDAP ou local)  →  Compte local actif ?  →  JWT (access + refresh)  →  Accès</w:t>
      </w:r>
    </w:p>
    <w:p w14:paraId="2D8FFCE9" w14:textId="77777777" w:rsidR="00B446EE" w:rsidRDefault="00000000">
      <w:pPr>
        <w:pStyle w:val="Titre1"/>
      </w:pPr>
      <w:r>
        <w:rPr>
          <w:color w:val="0F4C81"/>
          <w:sz w:val="32"/>
        </w:rPr>
        <w:t>4. Flux principal — Cycle de vie d’un bon</w:t>
      </w:r>
    </w:p>
    <w:p w14:paraId="07E6421A" w14:textId="77777777" w:rsidR="00B446EE" w:rsidRDefault="00000000">
      <w:pPr>
        <w:jc w:val="center"/>
      </w:pPr>
      <w:r>
        <w:rPr>
          <w:b/>
          <w:color w:val="0F4C81"/>
          <w:sz w:val="22"/>
        </w:rPr>
        <w:t>CREE  →  VALIDE  →  DECAISSE  →  COMPTABILISE     (ou ANNULE / REFUSE)</w:t>
      </w:r>
    </w:p>
    <w:p w14:paraId="27828F8D" w14:textId="77777777" w:rsidR="00B446EE" w:rsidRDefault="00B446EE"/>
    <w:p w14:paraId="56C9DF3A" w14:textId="77777777" w:rsidR="00B446EE" w:rsidRDefault="00000000">
      <w:pPr>
        <w:pStyle w:val="Titre2"/>
      </w:pPr>
      <w:r>
        <w:rPr>
          <w:color w:val="1A6DB5"/>
        </w:rPr>
        <w:t>4.1 Création (Demandeur)</w:t>
      </w:r>
    </w:p>
    <w:p w14:paraId="19858718" w14:textId="77777777" w:rsidR="00B446EE" w:rsidRDefault="00000000">
      <w:pPr>
        <w:pStyle w:val="Listenumros"/>
      </w:pPr>
      <w:r>
        <w:t>Le demandeur crée un bon et un ou plusieurs sous-bons (libellé, montant, imputation : centre de coût, nature comptable, caisse source, portefeuille cible, devise).</w:t>
      </w:r>
    </w:p>
    <w:p w14:paraId="329C6116" w14:textId="77777777" w:rsidR="00B446EE" w:rsidRDefault="00000000">
      <w:pPr>
        <w:pStyle w:val="Listenumros"/>
      </w:pPr>
      <w:r>
        <w:t>Selon le type de bon, des champs deviennent obligatoires (ex. partenaire, n° BL, n° client).</w:t>
      </w:r>
    </w:p>
    <w:p w14:paraId="344559C4" w14:textId="77777777" w:rsidR="00B446EE" w:rsidRDefault="00000000">
      <w:pPr>
        <w:pStyle w:val="Listenumros"/>
      </w:pPr>
      <w:r>
        <w:t>Cas restitution client : pays + division obligatoires ; l’utilisateur doit avoir accès à la division.</w:t>
      </w:r>
    </w:p>
    <w:p w14:paraId="639186B3" w14:textId="77777777" w:rsidR="00B446EE" w:rsidRDefault="00000000">
      <w:pPr>
        <w:pStyle w:val="Listenumros"/>
      </w:pPr>
      <w:r>
        <w:t>Auto-validation : si le créateur est lui-même VALIDATEUR/ADMIN, le bon passe directement à VALIDE.</w:t>
      </w:r>
    </w:p>
    <w:p w14:paraId="60E95A57" w14:textId="77777777" w:rsidR="00B446EE" w:rsidRDefault="00000000">
      <w:r>
        <w:rPr>
          <w:i/>
          <w:color w:val="475569"/>
          <w:sz w:val="19"/>
        </w:rPr>
        <w:t>Notification : les validateurs de la direction sont notifiés du nouveau bon (best-effort).</w:t>
      </w:r>
    </w:p>
    <w:p w14:paraId="733BA939" w14:textId="77777777" w:rsidR="00B446EE" w:rsidRDefault="00000000">
      <w:pPr>
        <w:pStyle w:val="Titre2"/>
      </w:pPr>
      <w:r>
        <w:rPr>
          <w:color w:val="1A6DB5"/>
        </w:rPr>
        <w:t>4.2 Validation (Validateur)</w:t>
      </w:r>
    </w:p>
    <w:p w14:paraId="52D7E5F1" w14:textId="77777777" w:rsidR="00B446EE" w:rsidRDefault="00000000">
      <w:pPr>
        <w:pStyle w:val="Listepuces"/>
      </w:pPr>
      <w:r>
        <w:t>Pré-requis : bon au statut CREE.</w:t>
      </w:r>
    </w:p>
    <w:p w14:paraId="3F9D40AB" w14:textId="77777777" w:rsidR="00B446EE" w:rsidRDefault="00000000">
      <w:pPr>
        <w:pStyle w:val="Listepuces"/>
      </w:pPr>
      <w:r>
        <w:lastRenderedPageBreak/>
        <w:t>Règles : le validateur doit être de la même direction que le demandeur et ne peut pas valider son propre bon (les admins sont exemptés).</w:t>
      </w:r>
    </w:p>
    <w:p w14:paraId="0EC6AC1A" w14:textId="77777777" w:rsidR="00B446EE" w:rsidRDefault="00000000">
      <w:pPr>
        <w:pStyle w:val="Listepuces"/>
      </w:pPr>
      <w:r>
        <w:t>Décision : Approuver → VALIDE, ou Refuser → REFUSE (commentaire possible). Une trace de validation est enregistrée.</w:t>
      </w:r>
    </w:p>
    <w:p w14:paraId="76C51BF6" w14:textId="77777777" w:rsidR="00B446EE" w:rsidRDefault="00000000">
      <w:pPr>
        <w:pStyle w:val="Titre2"/>
      </w:pPr>
      <w:r>
        <w:rPr>
          <w:color w:val="1A6DB5"/>
        </w:rPr>
        <w:t>4.3 Impression / Signature (optionnel)</w:t>
      </w:r>
    </w:p>
    <w:p w14:paraId="02CEA741" w14:textId="77777777" w:rsidR="00B446EE" w:rsidRDefault="00000000">
      <w:r>
        <w:t>Le bon peut être imprimé puis signé (signature manuscrite capturée en image). Cette étape n’est plus obligatoire avant le décaissement (assouplissement métier).</w:t>
      </w:r>
    </w:p>
    <w:p w14:paraId="4CF317E4" w14:textId="77777777" w:rsidR="00B446EE" w:rsidRDefault="00000000">
      <w:pPr>
        <w:pStyle w:val="Titre2"/>
      </w:pPr>
      <w:r>
        <w:rPr>
          <w:color w:val="1A6DB5"/>
        </w:rPr>
        <w:t>4.4 Décaissement</w:t>
      </w:r>
    </w:p>
    <w:p w14:paraId="24E87746" w14:textId="77777777" w:rsidR="00B446EE" w:rsidRDefault="00000000">
      <w:r>
        <w:t>Réalisé par le caissier via le workflow détaillé en section 5. Une fois tous les sous-bons décaissés, le bon passe automatiquement à DECAISSE.</w:t>
      </w:r>
    </w:p>
    <w:p w14:paraId="05348310" w14:textId="77777777" w:rsidR="00B446EE" w:rsidRDefault="00000000">
      <w:pPr>
        <w:pStyle w:val="Titre1"/>
      </w:pPr>
      <w:r>
        <w:rPr>
          <w:color w:val="0F4C81"/>
          <w:sz w:val="32"/>
        </w:rPr>
        <w:t>5. Flux de décaissement (workflow caissier)</w:t>
      </w:r>
    </w:p>
    <w:p w14:paraId="4A94ACFE" w14:textId="77777777" w:rsidR="00B446EE" w:rsidRDefault="00000000">
      <w:r>
        <w:t>Acteur : CAISSIER. Le décaissement s’appuie sur une « copie de travail » (Bon de caisse) qui permet d’ajuster le paiement sans altérer le sous-bon d’origine.</w:t>
      </w:r>
    </w:p>
    <w:p w14:paraId="44BD5E3F" w14:textId="77777777" w:rsidR="00B446EE" w:rsidRDefault="00000000">
      <w:pPr>
        <w:jc w:val="center"/>
      </w:pPr>
      <w:r>
        <w:rPr>
          <w:b/>
          <w:color w:val="0F4C81"/>
          <w:sz w:val="22"/>
        </w:rPr>
        <w:t>PREPARE  →  (ajustements)  →  FINALISE     (ou ANNULE)</w:t>
      </w:r>
    </w:p>
    <w:p w14:paraId="2FD565CA" w14:textId="77777777" w:rsidR="00B446EE" w:rsidRDefault="00B446EE"/>
    <w:p w14:paraId="28AEB420" w14:textId="77777777" w:rsidR="00B446EE" w:rsidRDefault="00000000">
      <w:pPr>
        <w:pStyle w:val="Listenumros"/>
      </w:pPr>
      <w:r>
        <w:rPr>
          <w:b/>
        </w:rPr>
        <w:t xml:space="preserve">prepare — </w:t>
      </w:r>
      <w:r>
        <w:t>Préparer : le caissier ouvre un sous-bon VALIDE ; une copie « Bon de caisse » est créée au statut PREPARE (snapshot d’origine conservé pour l’audit).</w:t>
      </w:r>
    </w:p>
    <w:p w14:paraId="5140FCE0" w14:textId="77777777" w:rsidR="00B446EE" w:rsidRDefault="00000000">
      <w:pPr>
        <w:pStyle w:val="Listenumros"/>
      </w:pPr>
      <w:r>
        <w:rPr>
          <w:b/>
        </w:rPr>
        <w:t xml:space="preserve">update — </w:t>
      </w:r>
      <w:r>
        <w:t>Ajuster (optionnel) : bénéficiaire, pièce d’identité, libellé et montant peuvent être ajustés tant que le statut est PREPARE.</w:t>
      </w:r>
    </w:p>
    <w:p w14:paraId="453201A1" w14:textId="77777777" w:rsidR="00B446EE" w:rsidRDefault="00000000">
      <w:pPr>
        <w:pStyle w:val="Listenumros"/>
      </w:pPr>
      <w:r>
        <w:rPr>
          <w:b/>
        </w:rPr>
        <w:t xml:space="preserve">finalize — </w:t>
      </w:r>
      <w:r>
        <w:t>Finaliser : contrôle du solde, écritures comptables, enregistrement du décaissement, passage du sous-bon à DECAISSE.</w:t>
      </w:r>
    </w:p>
    <w:p w14:paraId="2A7558AD" w14:textId="77777777" w:rsidR="00B446EE" w:rsidRDefault="00000000">
      <w:pPr>
        <w:pStyle w:val="Listenumros"/>
      </w:pPr>
      <w:r>
        <w:rPr>
          <w:b/>
        </w:rPr>
        <w:t xml:space="preserve">cancel — </w:t>
      </w:r>
      <w:r>
        <w:t>Annuler : abandonne la préparation (le sous-bon reste VALIDE et redevient décaissable).</w:t>
      </w:r>
    </w:p>
    <w:p w14:paraId="72D7C0DB" w14:textId="77777777" w:rsidR="00B446EE" w:rsidRDefault="00B446EE"/>
    <w:p w14:paraId="5A0E93DC" w14:textId="77777777" w:rsidR="00B446EE" w:rsidRDefault="00000000">
      <w:pPr>
        <w:pStyle w:val="Titre2"/>
      </w:pPr>
      <w:r>
        <w:rPr>
          <w:color w:val="1A6DB5"/>
        </w:rPr>
        <w:t>Règles clés du décaissement</w:t>
      </w:r>
    </w:p>
    <w:p w14:paraId="7C4B33F6" w14:textId="77777777" w:rsidR="00B446EE" w:rsidRDefault="00000000">
      <w:pPr>
        <w:pStyle w:val="Listepuces"/>
      </w:pPr>
      <w:r>
        <w:rPr>
          <w:b/>
        </w:rPr>
        <w:t xml:space="preserve">Montant — </w:t>
      </w:r>
      <w:r>
        <w:t>Montant effectivement décaissé = montant ajusté s’il est saisi, sinon montant d’origine du sous-bon.</w:t>
      </w:r>
    </w:p>
    <w:p w14:paraId="6C156AC9" w14:textId="77777777" w:rsidR="00B446EE" w:rsidRDefault="00000000">
      <w:pPr>
        <w:pStyle w:val="Listepuces"/>
      </w:pPr>
      <w:r>
        <w:rPr>
          <w:b/>
        </w:rPr>
        <w:t xml:space="preserve">Garde de solde — </w:t>
      </w:r>
      <w:r>
        <w:t>Le décaissement est refusé si le portefeuille passerait en négatif, SAUF si une extension a été approuvée en mode « découvert ».</w:t>
      </w:r>
    </w:p>
    <w:p w14:paraId="0CAE9C21" w14:textId="77777777" w:rsidR="00B446EE" w:rsidRDefault="00000000">
      <w:pPr>
        <w:pStyle w:val="Listepuces"/>
      </w:pPr>
      <w:r>
        <w:rPr>
          <w:b/>
        </w:rPr>
        <w:t xml:space="preserve">Comptabilité — </w:t>
      </w:r>
      <w:r>
        <w:t>Écritures en partie double : DÉBIT portefeuille / CRÉDIT charge (centre de coût). Création d’un décaissement + d’une opération au journal.</w:t>
      </w:r>
    </w:p>
    <w:p w14:paraId="21A86240" w14:textId="77777777" w:rsidR="00B446EE" w:rsidRDefault="00000000">
      <w:pPr>
        <w:pStyle w:val="Listepuces"/>
      </w:pPr>
      <w:r>
        <w:rPr>
          <w:b/>
        </w:rPr>
        <w:t xml:space="preserve">Audit — </w:t>
      </w:r>
      <w:r>
        <w:t>Une entrée d’audit dédiée trace le décaissement (action DECAISSEMENT, ou DECAISSEMENT_MONTANT_AJUSTE avec le montant d’origine et le montant effectif si ajustement).</w:t>
      </w:r>
    </w:p>
    <w:p w14:paraId="53CDF6EF" w14:textId="77777777" w:rsidR="00B446EE" w:rsidRDefault="00000000">
      <w:pPr>
        <w:pStyle w:val="Titre1"/>
      </w:pPr>
      <w:r>
        <w:rPr>
          <w:color w:val="0F4C81"/>
          <w:sz w:val="32"/>
        </w:rPr>
        <w:lastRenderedPageBreak/>
        <w:t>6. Flux de demande de recharge de portefeuille</w:t>
      </w:r>
    </w:p>
    <w:p w14:paraId="1F8705D1" w14:textId="77777777" w:rsidR="00B446EE" w:rsidRDefault="00000000">
      <w:r>
        <w:t>Objet : alimenter un portefeuille depuis une caisse. Demandeur : VALIDATEUR / GESTIONNAIRE_PORTEFEUILLE (ou admin). Traitement : CAISSIER.</w:t>
      </w:r>
    </w:p>
    <w:p w14:paraId="19F6F859" w14:textId="77777777" w:rsidR="00B446EE" w:rsidRDefault="00000000">
      <w:pPr>
        <w:jc w:val="center"/>
      </w:pPr>
      <w:r>
        <w:rPr>
          <w:b/>
          <w:color w:val="0F4C81"/>
          <w:sz w:val="22"/>
        </w:rPr>
        <w:t>EN_ATTENTE  →  TRAITEE     (ou REJETEE / ANNULEE)</w:t>
      </w:r>
    </w:p>
    <w:p w14:paraId="32A22482" w14:textId="77777777" w:rsidR="00B446EE" w:rsidRDefault="00B446EE"/>
    <w:p w14:paraId="115F4F38" w14:textId="77777777" w:rsidR="00B446EE" w:rsidRDefault="00000000">
      <w:pPr>
        <w:pStyle w:val="Listenumros"/>
      </w:pPr>
      <w:r>
        <w:rPr>
          <w:b/>
        </w:rPr>
        <w:t xml:space="preserve">Demandeur — </w:t>
      </w:r>
      <w:r>
        <w:t>Faire une demande : montant + motif. Le portefeuille cible = un des siens / de sa direction ; ou n’importe quel portefeuille actif si l’utilisateur a la permission « voir tous les portefeuilles ».</w:t>
      </w:r>
    </w:p>
    <w:p w14:paraId="106ECF78" w14:textId="77777777" w:rsidR="00B446EE" w:rsidRDefault="00000000">
      <w:pPr>
        <w:pStyle w:val="Listenumros"/>
      </w:pPr>
      <w:r>
        <w:rPr>
          <w:b/>
        </w:rPr>
        <w:t xml:space="preserve">Caissier — </w:t>
      </w:r>
      <w:r>
        <w:t>Traiter : le caissier confirme (montant ajustable) → exécution de la recharge (caisse → portefeuille) → statut TRAITEE.</w:t>
      </w:r>
    </w:p>
    <w:p w14:paraId="0619E3F2" w14:textId="77777777" w:rsidR="00B446EE" w:rsidRDefault="00000000">
      <w:pPr>
        <w:pStyle w:val="Listenumros"/>
      </w:pPr>
      <w:r>
        <w:rPr>
          <w:b/>
        </w:rPr>
        <w:t xml:space="preserve">Caissier — </w:t>
      </w:r>
      <w:r>
        <w:t>Rejeter : le caissier rejette la demande (commentaire possible) → REJETEE.</w:t>
      </w:r>
    </w:p>
    <w:p w14:paraId="2A4A7AFB" w14:textId="77777777" w:rsidR="00B446EE" w:rsidRDefault="00000000">
      <w:pPr>
        <w:pStyle w:val="Listenumros"/>
      </w:pPr>
      <w:r>
        <w:rPr>
          <w:b/>
        </w:rPr>
        <w:t xml:space="preserve">Demandeur — </w:t>
      </w:r>
      <w:r>
        <w:t>Annuler : le demandeur annule sa propre demande tant qu’elle est EN_ATTENTE → ANNULEE.</w:t>
      </w:r>
    </w:p>
    <w:p w14:paraId="065CAE47" w14:textId="77777777" w:rsidR="00B446EE" w:rsidRDefault="00000000">
      <w:pPr>
        <w:pStyle w:val="Titre1"/>
      </w:pPr>
      <w:r>
        <w:rPr>
          <w:color w:val="0F4C81"/>
          <w:sz w:val="32"/>
        </w:rPr>
        <w:t>7. Flux de demande de transfert</w:t>
      </w:r>
    </w:p>
    <w:p w14:paraId="2C968B06" w14:textId="77777777" w:rsidR="00B446EE" w:rsidRDefault="00000000">
      <w:r>
        <w:t>Objet : déplacer des fonds entre comptes (caisse ↔ caisse / portefeuille). Création : CAISSIER / GESTIONNAIRE_PORTEFEUILLE. Approbation : GESTIONNAIRE_PORTEFEUILLE. Exécution : CAISSIER / GESTIONNAIRE_PORTEFEUILLE.</w:t>
      </w:r>
    </w:p>
    <w:p w14:paraId="2660259F" w14:textId="77777777" w:rsidR="00B446EE" w:rsidRDefault="00000000">
      <w:pPr>
        <w:jc w:val="center"/>
      </w:pPr>
      <w:r>
        <w:rPr>
          <w:b/>
          <w:color w:val="0F4C81"/>
          <w:sz w:val="22"/>
        </w:rPr>
        <w:t>CREE  →  APPROUVEE  →  EXECUTEE     (ou REJETEE / ANNULEE)</w:t>
      </w:r>
    </w:p>
    <w:p w14:paraId="51900054" w14:textId="77777777" w:rsidR="00B446EE" w:rsidRDefault="00B446EE"/>
    <w:p w14:paraId="1C697FDE" w14:textId="77777777" w:rsidR="00B446EE" w:rsidRDefault="00000000">
      <w:pPr>
        <w:pStyle w:val="Listenumros"/>
      </w:pPr>
      <w:r>
        <w:rPr>
          <w:b/>
        </w:rPr>
        <w:t xml:space="preserve">Créateur — </w:t>
      </w:r>
      <w:r>
        <w:t>Créer : source ≠ destination ; la source doit être dans le périmètre de l’utilisateur.</w:t>
      </w:r>
    </w:p>
    <w:p w14:paraId="165B29F6" w14:textId="77777777" w:rsidR="00B446EE" w:rsidRDefault="00000000">
      <w:pPr>
        <w:pStyle w:val="Listenumros"/>
      </w:pPr>
      <w:r>
        <w:rPr>
          <w:b/>
        </w:rPr>
        <w:t xml:space="preserve">Approbateur — </w:t>
      </w:r>
      <w:r>
        <w:t>Décider : approuver ou rejeter (l’approbateur ne peut pas être le demandeur).</w:t>
      </w:r>
    </w:p>
    <w:p w14:paraId="426592B1" w14:textId="77777777" w:rsidR="00B446EE" w:rsidRDefault="00000000">
      <w:pPr>
        <w:pStyle w:val="Listenumros"/>
      </w:pPr>
      <w:r>
        <w:rPr>
          <w:b/>
        </w:rPr>
        <w:t xml:space="preserve">Exécuteur — </w:t>
      </w:r>
      <w:r>
        <w:t>Exécuter : génère l’opération de transfert et les écritures (gain/perte de change si multi-devise) → EXECUTEE.</w:t>
      </w:r>
    </w:p>
    <w:p w14:paraId="4DB95F5A" w14:textId="77777777" w:rsidR="00B446EE" w:rsidRDefault="00000000">
      <w:pPr>
        <w:pStyle w:val="Listenumros"/>
      </w:pPr>
      <w:r>
        <w:rPr>
          <w:b/>
        </w:rPr>
        <w:t xml:space="preserve">Demandeur — </w:t>
      </w:r>
      <w:r>
        <w:t>Annuler : le demandeur annule tant que le statut est CREE → ANNULEE.</w:t>
      </w:r>
    </w:p>
    <w:p w14:paraId="5B8BCB5F" w14:textId="77777777" w:rsidR="00B446EE" w:rsidRDefault="00000000">
      <w:pPr>
        <w:pStyle w:val="Titre1"/>
      </w:pPr>
      <w:r>
        <w:rPr>
          <w:color w:val="0F4C81"/>
          <w:sz w:val="32"/>
        </w:rPr>
        <w:t>8. Flux d’extension de budget</w:t>
      </w:r>
    </w:p>
    <w:p w14:paraId="1D05E6E3" w14:textId="77777777" w:rsidR="00B446EE" w:rsidRDefault="00000000">
      <w:r>
        <w:t>Permet de décaisser un bon même si le portefeuille est insuffisant, via une décision d’arbitrage.</w:t>
      </w:r>
    </w:p>
    <w:p w14:paraId="0677511C" w14:textId="77777777" w:rsidR="00B446EE" w:rsidRDefault="00000000">
      <w:pPr>
        <w:jc w:val="center"/>
      </w:pPr>
      <w:r>
        <w:rPr>
          <w:b/>
          <w:color w:val="0F4C81"/>
          <w:sz w:val="22"/>
        </w:rPr>
        <w:t>Demande (EN_ATTENTE)  →  APPROUVEE / REFUSEE</w:t>
      </w:r>
    </w:p>
    <w:p w14:paraId="2A6F4CF4" w14:textId="77777777" w:rsidR="00B446EE" w:rsidRDefault="00B446EE"/>
    <w:p w14:paraId="0AE805CF" w14:textId="77777777" w:rsidR="00B446EE" w:rsidRDefault="00000000">
      <w:pPr>
        <w:pStyle w:val="Listenumros"/>
      </w:pPr>
      <w:r>
        <w:t>Le créateur du bon coche « demande d’extension » → statut d’extension EN_ATTENTE.</w:t>
      </w:r>
    </w:p>
    <w:p w14:paraId="02338F86" w14:textId="77777777" w:rsidR="00B446EE" w:rsidRDefault="00000000">
      <w:pPr>
        <w:pStyle w:val="Listenumros"/>
      </w:pPr>
      <w:r>
        <w:t>Décision (permission EXTENSION_APPROUVER, typiquement GESTIONNAIRE_PORTEFEUILLE) selon deux modes :</w:t>
      </w:r>
    </w:p>
    <w:p w14:paraId="0F15B96F" w14:textId="77777777" w:rsidR="00B446EE" w:rsidRDefault="00000000">
      <w:pPr>
        <w:pStyle w:val="Listepuces"/>
      </w:pPr>
      <w:r>
        <w:t>DÉCOUVERT : autorise le décaissement même si le portefeuille passe en négatif.</w:t>
      </w:r>
    </w:p>
    <w:p w14:paraId="4F77A22E" w14:textId="77777777" w:rsidR="00B446EE" w:rsidRDefault="00000000">
      <w:pPr>
        <w:pStyle w:val="Listepuces"/>
      </w:pPr>
      <w:r>
        <w:lastRenderedPageBreak/>
        <w:t>RECHARGE : recharge le portefeuille déficitaire depuis la caisse source avant décaissement.</w:t>
      </w:r>
    </w:p>
    <w:p w14:paraId="3B959ACC" w14:textId="77777777" w:rsidR="00B446EE" w:rsidRDefault="00000000">
      <w:pPr>
        <w:pStyle w:val="Listenumros"/>
      </w:pPr>
      <w:r>
        <w:t>Au décaissement, la garde de solde applique la décision (le mode DÉCOUVERT approuvé lève le blocage).</w:t>
      </w:r>
    </w:p>
    <w:p w14:paraId="75606703" w14:textId="77777777" w:rsidR="00B446EE" w:rsidRDefault="00000000">
      <w:pPr>
        <w:pStyle w:val="Titre1"/>
      </w:pPr>
      <w:r>
        <w:rPr>
          <w:color w:val="0F4C81"/>
          <w:sz w:val="32"/>
        </w:rPr>
        <w:t>9. Flux d’intérim (délégation de droits)</w:t>
      </w:r>
    </w:p>
    <w:p w14:paraId="0E5CD54E" w14:textId="77777777" w:rsidR="00B446EE" w:rsidRDefault="00000000">
      <w:r>
        <w:t>Un utilisateur (initiateur) délègue temporairement un droit à un remplaçant, sur une période donnée.</w:t>
      </w:r>
    </w:p>
    <w:p w14:paraId="1A6FC484" w14:textId="77777777" w:rsidR="00B446EE" w:rsidRDefault="00000000">
      <w:pPr>
        <w:jc w:val="center"/>
      </w:pPr>
      <w:r>
        <w:rPr>
          <w:b/>
          <w:color w:val="0F4C81"/>
          <w:sz w:val="22"/>
        </w:rPr>
        <w:t>ACTIF  →  EXPIRE  (ou REVOQUE)</w:t>
      </w:r>
    </w:p>
    <w:p w14:paraId="4CD2B1C0" w14:textId="77777777" w:rsidR="00B446EE" w:rsidRDefault="00B446EE"/>
    <w:p w14:paraId="49F9FCA0" w14:textId="77777777" w:rsidR="00B446EE" w:rsidRDefault="00000000">
      <w:pPr>
        <w:pStyle w:val="Listepuces"/>
      </w:pPr>
      <w:r>
        <w:t>Objet délégué : une permission précise, OU un rôle, OU un profil (un seul à la fois).</w:t>
      </w:r>
    </w:p>
    <w:p w14:paraId="165D52DB" w14:textId="77777777" w:rsidR="00B446EE" w:rsidRDefault="00000000">
      <w:pPr>
        <w:pStyle w:val="Listepuces"/>
      </w:pPr>
      <w:r>
        <w:t>Résolution : les rôles/permissions délégués par les intérims ACTIFS s’ajoutent aux droits propres du remplaçant.</w:t>
      </w:r>
    </w:p>
    <w:p w14:paraId="15404F0A" w14:textId="77777777" w:rsidR="00B446EE" w:rsidRDefault="00000000">
      <w:pPr>
        <w:pStyle w:val="Listepuces"/>
      </w:pPr>
      <w:r>
        <w:t>Fin : expiration automatique à la date de fin, ou révocation manuelle.</w:t>
      </w:r>
    </w:p>
    <w:p w14:paraId="5F24DDF1" w14:textId="77777777" w:rsidR="00B446EE" w:rsidRDefault="00000000">
      <w:pPr>
        <w:pStyle w:val="Titre1"/>
      </w:pPr>
      <w:r>
        <w:rPr>
          <w:color w:val="0F4C81"/>
          <w:sz w:val="32"/>
        </w:rPr>
        <w:t>10. Flux d’ouverture / clôture de caisse</w:t>
      </w:r>
    </w:p>
    <w:p w14:paraId="24633FF1" w14:textId="77777777" w:rsidR="00B446EE" w:rsidRDefault="00000000">
      <w:r>
        <w:t>Acteur : CAISSIER. Une caisse ne peut avoir qu’une seule session ouverte à la fois.</w:t>
      </w:r>
    </w:p>
    <w:p w14:paraId="0E98CEC7" w14:textId="77777777" w:rsidR="00B446EE" w:rsidRDefault="00000000">
      <w:pPr>
        <w:jc w:val="center"/>
      </w:pPr>
      <w:r>
        <w:rPr>
          <w:b/>
          <w:color w:val="0F4C81"/>
          <w:sz w:val="22"/>
        </w:rPr>
        <w:t>Caisse FERMEE  →  Ouvrir (session OUVERTE)  →  Clôturer (session FERMEE)</w:t>
      </w:r>
    </w:p>
    <w:p w14:paraId="1741740C" w14:textId="77777777" w:rsidR="00B446EE" w:rsidRDefault="00B446EE"/>
    <w:p w14:paraId="450DBC56" w14:textId="77777777" w:rsidR="00B446EE" w:rsidRDefault="00000000">
      <w:pPr>
        <w:pStyle w:val="Listepuces"/>
      </w:pPr>
      <w:r>
        <w:t>Ouverture : crée une session avec un solde d’ouverture.</w:t>
      </w:r>
    </w:p>
    <w:p w14:paraId="3AFF1020" w14:textId="77777777" w:rsidR="00B446EE" w:rsidRDefault="00000000">
      <w:pPr>
        <w:pStyle w:val="Listepuces"/>
      </w:pPr>
      <w:r>
        <w:t>Clôture : enregistre le solde de clôture ; type de clôture MANUEL ou automatique (fin de journée).</w:t>
      </w:r>
    </w:p>
    <w:p w14:paraId="661A7024" w14:textId="77777777" w:rsidR="00B446EE" w:rsidRDefault="00000000">
      <w:pPr>
        <w:pStyle w:val="Listepuces"/>
      </w:pPr>
      <w:r>
        <w:t>Une caisse ouverte ne peut être ni désactivée ni supprimée.</w:t>
      </w:r>
    </w:p>
    <w:p w14:paraId="1F4D1116" w14:textId="77777777" w:rsidR="00B446EE" w:rsidRDefault="00000000">
      <w:pPr>
        <w:pStyle w:val="Titre1"/>
      </w:pPr>
      <w:r>
        <w:rPr>
          <w:color w:val="0F4C81"/>
          <w:sz w:val="32"/>
        </w:rPr>
        <w:t>11. Bons manuels</w:t>
      </w:r>
    </w:p>
    <w:p w14:paraId="6A954411" w14:textId="77777777" w:rsidR="00B446EE" w:rsidRDefault="00000000">
      <w:r>
        <w:t>Circuit court de décaissement direct par le caissier, à partir de carnets pré-numérotés (sans le circuit complet de validation). Utile pour les décaissements immédiats hors process standard.</w:t>
      </w:r>
    </w:p>
    <w:p w14:paraId="7B614086" w14:textId="77777777" w:rsidR="00B446EE" w:rsidRDefault="00000000">
      <w:pPr>
        <w:pStyle w:val="Listepuces"/>
      </w:pPr>
      <w:r>
        <w:t>Un carnet (plage de numéros) est créé par un administrateur, rattaché à une caisse et un caissier détenteur.</w:t>
      </w:r>
    </w:p>
    <w:p w14:paraId="5CF55AA6" w14:textId="77777777" w:rsidR="00B446EE" w:rsidRDefault="00000000">
      <w:pPr>
        <w:pStyle w:val="Listepuces"/>
      </w:pPr>
      <w:r>
        <w:t>Le caissier saisit un bon manuel (montant, imputation, donneur d’ordre, bénéficiaire) qui décaisse directement.</w:t>
      </w:r>
    </w:p>
    <w:p w14:paraId="4BA389D1" w14:textId="77777777" w:rsidR="00B446EE" w:rsidRDefault="00000000">
      <w:pPr>
        <w:pStyle w:val="Listepuces"/>
      </w:pPr>
      <w:r>
        <w:t>Le carnet peut être clôturé quand il est épuisé.</w:t>
      </w:r>
    </w:p>
    <w:p w14:paraId="5BEAE5E6" w14:textId="77777777" w:rsidR="00B446EE" w:rsidRDefault="00000000">
      <w:pPr>
        <w:pStyle w:val="Titre1"/>
      </w:pPr>
      <w:r>
        <w:rPr>
          <w:color w:val="0F4C81"/>
          <w:sz w:val="32"/>
        </w:rPr>
        <w:lastRenderedPageBreak/>
        <w:t>12. Traçabilité &amp; audit</w:t>
      </w:r>
    </w:p>
    <w:p w14:paraId="5D8293A0" w14:textId="77777777" w:rsidR="00B446EE" w:rsidRDefault="00000000">
      <w:pPr>
        <w:pStyle w:val="Listepuces"/>
      </w:pPr>
      <w:r>
        <w:rPr>
          <w:b/>
        </w:rPr>
        <w:t xml:space="preserve">Interception globale — </w:t>
      </w:r>
      <w:r>
        <w:t>Toutes les actions modifiantes (création, modification, suppression) d’un utilisateur authentifié sont journalisées automatiquement (journal d’audit) : qui, quoi, quand, avant/après, IP.</w:t>
      </w:r>
    </w:p>
    <w:p w14:paraId="7566509E" w14:textId="77777777" w:rsidR="00B446EE" w:rsidRDefault="00000000">
      <w:pPr>
        <w:pStyle w:val="Listepuces"/>
      </w:pPr>
      <w:r>
        <w:rPr>
          <w:b/>
        </w:rPr>
        <w:t xml:space="preserve">Entrées dédiées — </w:t>
      </w:r>
      <w:r>
        <w:t>Certaines actions métier écrivent une entrée enrichie (ex. décaissement avec montant d’origine → montant effectif).</w:t>
      </w:r>
    </w:p>
    <w:p w14:paraId="712FA206" w14:textId="77777777" w:rsidR="00B446EE" w:rsidRDefault="00000000">
      <w:pPr>
        <w:pStyle w:val="Listepuces"/>
      </w:pPr>
      <w:r>
        <w:rPr>
          <w:b/>
        </w:rPr>
        <w:t xml:space="preserve">Sensibilité — </w:t>
      </w:r>
      <w:r>
        <w:t>Les mots de passe et les images de signature sont masqués dans le journal.</w:t>
      </w:r>
    </w:p>
    <w:p w14:paraId="4B67BE49" w14:textId="77777777" w:rsidR="00B446EE" w:rsidRDefault="00000000">
      <w:pPr>
        <w:pStyle w:val="Listepuces"/>
      </w:pPr>
      <w:r>
        <w:rPr>
          <w:b/>
        </w:rPr>
        <w:t xml:space="preserve">Changements de droits — </w:t>
      </w:r>
      <w:r>
        <w:t>Les changements de droits (gain/perte de permission via rôle, profil, extra, intérim) sont tracés à part.</w:t>
      </w:r>
    </w:p>
    <w:p w14:paraId="65FBC4F8" w14:textId="77777777" w:rsidR="00B446EE" w:rsidRDefault="00000000">
      <w:pPr>
        <w:pStyle w:val="Listepuces"/>
      </w:pPr>
      <w:r>
        <w:rPr>
          <w:b/>
        </w:rPr>
        <w:t xml:space="preserve">Consultation — </w:t>
      </w:r>
      <w:r>
        <w:t>Le journal d’audit est consultable par le SUPER_ADMIN (page « Log »), avec filtres par date, action, entité.</w:t>
      </w:r>
    </w:p>
    <w:p w14:paraId="06C03EC1" w14:textId="77777777" w:rsidR="00B446EE" w:rsidRDefault="00000000">
      <w:pPr>
        <w:pStyle w:val="Titre1"/>
      </w:pPr>
      <w:r>
        <w:rPr>
          <w:color w:val="0F4C81"/>
          <w:sz w:val="32"/>
        </w:rPr>
        <w:t>13. Récapitulatif des statuts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5823"/>
      </w:tblGrid>
      <w:tr w:rsidR="00B446EE" w14:paraId="1DBE8DB9" w14:textId="77777777">
        <w:trPr>
          <w:jc w:val="center"/>
        </w:trPr>
        <w:tc>
          <w:tcPr>
            <w:tcW w:w="3168" w:type="dxa"/>
            <w:shd w:val="clear" w:color="auto" w:fill="0F4C81"/>
          </w:tcPr>
          <w:p w14:paraId="183431BB" w14:textId="77777777" w:rsidR="00B446EE" w:rsidRDefault="00000000">
            <w:r>
              <w:rPr>
                <w:b/>
                <w:color w:val="FFFFFF"/>
                <w:sz w:val="19"/>
              </w:rPr>
              <w:t>Entité</w:t>
            </w:r>
          </w:p>
        </w:tc>
        <w:tc>
          <w:tcPr>
            <w:tcW w:w="6192" w:type="dxa"/>
            <w:shd w:val="clear" w:color="auto" w:fill="0F4C81"/>
          </w:tcPr>
          <w:p w14:paraId="25648E94" w14:textId="77777777" w:rsidR="00B446EE" w:rsidRDefault="00000000">
            <w:r>
              <w:rPr>
                <w:b/>
                <w:color w:val="FFFFFF"/>
                <w:sz w:val="19"/>
              </w:rPr>
              <w:t>Statuts</w:t>
            </w:r>
          </w:p>
        </w:tc>
      </w:tr>
      <w:tr w:rsidR="00B446EE" w14:paraId="4595FCA4" w14:textId="77777777">
        <w:trPr>
          <w:jc w:val="center"/>
        </w:trPr>
        <w:tc>
          <w:tcPr>
            <w:tcW w:w="3168" w:type="dxa"/>
          </w:tcPr>
          <w:p w14:paraId="324FB066" w14:textId="77777777" w:rsidR="00B446EE" w:rsidRDefault="00000000">
            <w:r>
              <w:rPr>
                <w:sz w:val="19"/>
              </w:rPr>
              <w:t>Bon / Sous-bon</w:t>
            </w:r>
          </w:p>
        </w:tc>
        <w:tc>
          <w:tcPr>
            <w:tcW w:w="6192" w:type="dxa"/>
          </w:tcPr>
          <w:p w14:paraId="362F09C1" w14:textId="77777777" w:rsidR="00B446EE" w:rsidRDefault="00000000">
            <w:r>
              <w:rPr>
                <w:sz w:val="19"/>
              </w:rPr>
              <w:t>CREE → VALIDE → DECAISSE → COMPTABILISE  |  ANNULE  |  REFUSE</w:t>
            </w:r>
          </w:p>
        </w:tc>
      </w:tr>
      <w:tr w:rsidR="00B446EE" w14:paraId="6BD63BA3" w14:textId="77777777">
        <w:trPr>
          <w:jc w:val="center"/>
        </w:trPr>
        <w:tc>
          <w:tcPr>
            <w:tcW w:w="3168" w:type="dxa"/>
          </w:tcPr>
          <w:p w14:paraId="2609FD04" w14:textId="77777777" w:rsidR="00B446EE" w:rsidRDefault="00000000">
            <w:r>
              <w:rPr>
                <w:sz w:val="19"/>
              </w:rPr>
              <w:t>Bon de caisse (décaissement)</w:t>
            </w:r>
          </w:p>
        </w:tc>
        <w:tc>
          <w:tcPr>
            <w:tcW w:w="6192" w:type="dxa"/>
          </w:tcPr>
          <w:p w14:paraId="683C4955" w14:textId="77777777" w:rsidR="00B446EE" w:rsidRDefault="00000000">
            <w:r>
              <w:rPr>
                <w:sz w:val="19"/>
              </w:rPr>
              <w:t>PREPARE → FINALISE  |  ANNULE</w:t>
            </w:r>
          </w:p>
        </w:tc>
      </w:tr>
      <w:tr w:rsidR="00B446EE" w14:paraId="2CA8FC93" w14:textId="77777777">
        <w:trPr>
          <w:jc w:val="center"/>
        </w:trPr>
        <w:tc>
          <w:tcPr>
            <w:tcW w:w="3168" w:type="dxa"/>
          </w:tcPr>
          <w:p w14:paraId="14BABC6D" w14:textId="77777777" w:rsidR="00B446EE" w:rsidRDefault="00000000">
            <w:r>
              <w:rPr>
                <w:sz w:val="19"/>
              </w:rPr>
              <w:t>Demande de recharge</w:t>
            </w:r>
          </w:p>
        </w:tc>
        <w:tc>
          <w:tcPr>
            <w:tcW w:w="6192" w:type="dxa"/>
          </w:tcPr>
          <w:p w14:paraId="5ADB5DC4" w14:textId="77777777" w:rsidR="00B446EE" w:rsidRDefault="00000000">
            <w:r>
              <w:rPr>
                <w:sz w:val="19"/>
              </w:rPr>
              <w:t>EN_ATTENTE → TRAITEE  |  REJETEE  |  ANNULEE</w:t>
            </w:r>
          </w:p>
        </w:tc>
      </w:tr>
      <w:tr w:rsidR="00B446EE" w14:paraId="0160FF04" w14:textId="77777777">
        <w:trPr>
          <w:jc w:val="center"/>
        </w:trPr>
        <w:tc>
          <w:tcPr>
            <w:tcW w:w="3168" w:type="dxa"/>
          </w:tcPr>
          <w:p w14:paraId="69EE5B1B" w14:textId="77777777" w:rsidR="00B446EE" w:rsidRDefault="00000000">
            <w:r>
              <w:rPr>
                <w:sz w:val="19"/>
              </w:rPr>
              <w:t>Demande de transfert</w:t>
            </w:r>
          </w:p>
        </w:tc>
        <w:tc>
          <w:tcPr>
            <w:tcW w:w="6192" w:type="dxa"/>
          </w:tcPr>
          <w:p w14:paraId="782A147D" w14:textId="77777777" w:rsidR="00B446EE" w:rsidRDefault="00000000">
            <w:r>
              <w:rPr>
                <w:sz w:val="19"/>
              </w:rPr>
              <w:t>CREE → APPROUVEE → EXECUTEE  |  REJETEE  |  ANNULEE</w:t>
            </w:r>
          </w:p>
        </w:tc>
      </w:tr>
      <w:tr w:rsidR="00B446EE" w14:paraId="030FD570" w14:textId="77777777">
        <w:trPr>
          <w:jc w:val="center"/>
        </w:trPr>
        <w:tc>
          <w:tcPr>
            <w:tcW w:w="3168" w:type="dxa"/>
          </w:tcPr>
          <w:p w14:paraId="0123FCD2" w14:textId="77777777" w:rsidR="00B446EE" w:rsidRDefault="00000000">
            <w:r>
              <w:rPr>
                <w:sz w:val="19"/>
              </w:rPr>
              <w:t>Extension de budget</w:t>
            </w:r>
          </w:p>
        </w:tc>
        <w:tc>
          <w:tcPr>
            <w:tcW w:w="6192" w:type="dxa"/>
          </w:tcPr>
          <w:p w14:paraId="5CA6B8E3" w14:textId="77777777" w:rsidR="00B446EE" w:rsidRDefault="00000000">
            <w:r>
              <w:rPr>
                <w:sz w:val="19"/>
              </w:rPr>
              <w:t>NON  |  EN_ATTENTE → APPROUVEE / REFUSEE</w:t>
            </w:r>
          </w:p>
        </w:tc>
      </w:tr>
      <w:tr w:rsidR="00B446EE" w14:paraId="294136E4" w14:textId="77777777">
        <w:trPr>
          <w:jc w:val="center"/>
        </w:trPr>
        <w:tc>
          <w:tcPr>
            <w:tcW w:w="3168" w:type="dxa"/>
          </w:tcPr>
          <w:p w14:paraId="117BE34F" w14:textId="77777777" w:rsidR="00B446EE" w:rsidRDefault="00000000">
            <w:r>
              <w:rPr>
                <w:sz w:val="19"/>
              </w:rPr>
              <w:t>Intérim</w:t>
            </w:r>
          </w:p>
        </w:tc>
        <w:tc>
          <w:tcPr>
            <w:tcW w:w="6192" w:type="dxa"/>
          </w:tcPr>
          <w:p w14:paraId="58CC1B53" w14:textId="77777777" w:rsidR="00B446EE" w:rsidRDefault="00000000">
            <w:r>
              <w:rPr>
                <w:sz w:val="19"/>
              </w:rPr>
              <w:t>ACTIF → EXPIRE  |  REVOQUE</w:t>
            </w:r>
          </w:p>
        </w:tc>
      </w:tr>
      <w:tr w:rsidR="00B446EE" w14:paraId="25442978" w14:textId="77777777">
        <w:trPr>
          <w:jc w:val="center"/>
        </w:trPr>
        <w:tc>
          <w:tcPr>
            <w:tcW w:w="3168" w:type="dxa"/>
          </w:tcPr>
          <w:p w14:paraId="45E38658" w14:textId="77777777" w:rsidR="00B446EE" w:rsidRDefault="00000000">
            <w:r>
              <w:rPr>
                <w:sz w:val="19"/>
              </w:rPr>
              <w:t>Session de caisse</w:t>
            </w:r>
          </w:p>
        </w:tc>
        <w:tc>
          <w:tcPr>
            <w:tcW w:w="6192" w:type="dxa"/>
          </w:tcPr>
          <w:p w14:paraId="44A5BCAE" w14:textId="77777777" w:rsidR="00B446EE" w:rsidRDefault="00000000">
            <w:r>
              <w:rPr>
                <w:sz w:val="19"/>
              </w:rPr>
              <w:t>OUVERTE → FERMEE</w:t>
            </w:r>
          </w:p>
        </w:tc>
      </w:tr>
    </w:tbl>
    <w:p w14:paraId="42F7944B" w14:textId="77777777" w:rsidR="00B446EE" w:rsidRDefault="00000000">
      <w:pPr>
        <w:pStyle w:val="Titre1"/>
      </w:pPr>
      <w:r>
        <w:rPr>
          <w:color w:val="0F4C81"/>
          <w:sz w:val="32"/>
        </w:rPr>
        <w:t>14. Périmètres &amp; cloisonnement</w:t>
      </w:r>
    </w:p>
    <w:p w14:paraId="2F00E7D3" w14:textId="77777777" w:rsidR="00B446EE" w:rsidRDefault="00000000">
      <w:r>
        <w:t>L’accès aux données et actions est restreint par périmètre (les administrateurs ne sont pas restreints)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6508"/>
      </w:tblGrid>
      <w:tr w:rsidR="00B446EE" w14:paraId="3829F580" w14:textId="77777777">
        <w:trPr>
          <w:jc w:val="center"/>
        </w:trPr>
        <w:tc>
          <w:tcPr>
            <w:tcW w:w="2448" w:type="dxa"/>
            <w:shd w:val="clear" w:color="auto" w:fill="0F4C81"/>
          </w:tcPr>
          <w:p w14:paraId="50CA56AE" w14:textId="77777777" w:rsidR="00B446EE" w:rsidRDefault="00000000">
            <w:r>
              <w:rPr>
                <w:b/>
                <w:color w:val="FFFFFF"/>
                <w:sz w:val="19"/>
              </w:rPr>
              <w:t>Périmètre</w:t>
            </w:r>
          </w:p>
        </w:tc>
        <w:tc>
          <w:tcPr>
            <w:tcW w:w="6912" w:type="dxa"/>
            <w:shd w:val="clear" w:color="auto" w:fill="0F4C81"/>
          </w:tcPr>
          <w:p w14:paraId="7D6C208E" w14:textId="77777777" w:rsidR="00B446EE" w:rsidRDefault="00000000">
            <w:r>
              <w:rPr>
                <w:b/>
                <w:color w:val="FFFFFF"/>
                <w:sz w:val="19"/>
              </w:rPr>
              <w:t>Principe</w:t>
            </w:r>
          </w:p>
        </w:tc>
      </w:tr>
      <w:tr w:rsidR="00B446EE" w14:paraId="67ACBB6E" w14:textId="77777777">
        <w:trPr>
          <w:jc w:val="center"/>
        </w:trPr>
        <w:tc>
          <w:tcPr>
            <w:tcW w:w="2448" w:type="dxa"/>
          </w:tcPr>
          <w:p w14:paraId="3CBC0A8A" w14:textId="77777777" w:rsidR="00B446EE" w:rsidRDefault="00000000">
            <w:r>
              <w:rPr>
                <w:sz w:val="19"/>
              </w:rPr>
              <w:t>Direction</w:t>
            </w:r>
          </w:p>
        </w:tc>
        <w:tc>
          <w:tcPr>
            <w:tcW w:w="6912" w:type="dxa"/>
          </w:tcPr>
          <w:p w14:paraId="14ED1E36" w14:textId="77777777" w:rsidR="00B446EE" w:rsidRDefault="00000000">
            <w:r>
              <w:rPr>
                <w:sz w:val="19"/>
              </w:rPr>
              <w:t>Un validateur ne valide que les bons des demandeurs de sa direction.</w:t>
            </w:r>
          </w:p>
        </w:tc>
      </w:tr>
      <w:tr w:rsidR="00B446EE" w14:paraId="24D2AD0D" w14:textId="77777777">
        <w:trPr>
          <w:jc w:val="center"/>
        </w:trPr>
        <w:tc>
          <w:tcPr>
            <w:tcW w:w="2448" w:type="dxa"/>
          </w:tcPr>
          <w:p w14:paraId="689F658B" w14:textId="77777777" w:rsidR="00B446EE" w:rsidRDefault="00000000">
            <w:r>
              <w:rPr>
                <w:sz w:val="19"/>
              </w:rPr>
              <w:t>Caisse</w:t>
            </w:r>
          </w:p>
        </w:tc>
        <w:tc>
          <w:tcPr>
            <w:tcW w:w="6912" w:type="dxa"/>
          </w:tcPr>
          <w:p w14:paraId="460765A1" w14:textId="77777777" w:rsidR="00B446EE" w:rsidRDefault="00000000">
            <w:r>
              <w:rPr>
                <w:sz w:val="19"/>
              </w:rPr>
              <w:t>Un caissier n’agit que sur les caisses auxquelles il a accès (écriture/admin).</w:t>
            </w:r>
          </w:p>
        </w:tc>
      </w:tr>
      <w:tr w:rsidR="00B446EE" w14:paraId="163B68E8" w14:textId="77777777">
        <w:trPr>
          <w:jc w:val="center"/>
        </w:trPr>
        <w:tc>
          <w:tcPr>
            <w:tcW w:w="2448" w:type="dxa"/>
          </w:tcPr>
          <w:p w14:paraId="4145A437" w14:textId="77777777" w:rsidR="00B446EE" w:rsidRDefault="00000000">
            <w:r>
              <w:rPr>
                <w:sz w:val="19"/>
              </w:rPr>
              <w:t>Portefeuille</w:t>
            </w:r>
          </w:p>
        </w:tc>
        <w:tc>
          <w:tcPr>
            <w:tcW w:w="6912" w:type="dxa"/>
          </w:tcPr>
          <w:p w14:paraId="27B99950" w14:textId="77777777" w:rsidR="00B446EE" w:rsidRDefault="00000000">
            <w:r>
              <w:rPr>
                <w:sz w:val="19"/>
              </w:rPr>
              <w:t>Un utilisateur voit ses portefeuilles (perso / direction / gérés) — sauf permission « voir tous ».</w:t>
            </w:r>
          </w:p>
        </w:tc>
      </w:tr>
      <w:tr w:rsidR="00B446EE" w14:paraId="711B4700" w14:textId="77777777">
        <w:trPr>
          <w:jc w:val="center"/>
        </w:trPr>
        <w:tc>
          <w:tcPr>
            <w:tcW w:w="2448" w:type="dxa"/>
          </w:tcPr>
          <w:p w14:paraId="003453C4" w14:textId="77777777" w:rsidR="00B446EE" w:rsidRDefault="00000000">
            <w:r>
              <w:rPr>
                <w:sz w:val="19"/>
              </w:rPr>
              <w:t>Division</w:t>
            </w:r>
          </w:p>
        </w:tc>
        <w:tc>
          <w:tcPr>
            <w:tcW w:w="6912" w:type="dxa"/>
          </w:tcPr>
          <w:p w14:paraId="727E449E" w14:textId="77777777" w:rsidR="00B446EE" w:rsidRDefault="00000000">
            <w:r>
              <w:rPr>
                <w:sz w:val="19"/>
              </w:rPr>
              <w:t>Les restitutions client sont limitées aux divisions explicitement autorisées (pas de repli « tout voir »).</w:t>
            </w:r>
          </w:p>
        </w:tc>
      </w:tr>
    </w:tbl>
    <w:p w14:paraId="3E7FBEEA" w14:textId="77777777" w:rsidR="00B446EE" w:rsidRDefault="00B446EE"/>
    <w:p w14:paraId="45CBF0D9" w14:textId="35327C7E" w:rsidR="00B446EE" w:rsidRDefault="00B446EE" w:rsidP="0071555C"/>
    <w:sectPr w:rsidR="00B446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5669184">
    <w:abstractNumId w:val="8"/>
  </w:num>
  <w:num w:numId="2" w16cid:durableId="1225411231">
    <w:abstractNumId w:val="6"/>
  </w:num>
  <w:num w:numId="3" w16cid:durableId="1955598188">
    <w:abstractNumId w:val="5"/>
  </w:num>
  <w:num w:numId="4" w16cid:durableId="695544921">
    <w:abstractNumId w:val="4"/>
  </w:num>
  <w:num w:numId="5" w16cid:durableId="1600214519">
    <w:abstractNumId w:val="7"/>
  </w:num>
  <w:num w:numId="6" w16cid:durableId="282462569">
    <w:abstractNumId w:val="3"/>
  </w:num>
  <w:num w:numId="7" w16cid:durableId="1024601519">
    <w:abstractNumId w:val="2"/>
  </w:num>
  <w:num w:numId="8" w16cid:durableId="616378861">
    <w:abstractNumId w:val="1"/>
  </w:num>
  <w:num w:numId="9" w16cid:durableId="80250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8C7"/>
    <w:rsid w:val="0071555C"/>
    <w:rsid w:val="00AA1D8D"/>
    <w:rsid w:val="00B446EE"/>
    <w:rsid w:val="00B47730"/>
    <w:rsid w:val="00C754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5B3EDD"/>
  <w14:defaultImageDpi w14:val="300"/>
  <w15:docId w15:val="{D5AA75B6-2F9F-4DED-9A9C-00D36D2E7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1795</Words>
  <Characters>9873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Atse</cp:lastModifiedBy>
  <cp:revision>3</cp:revision>
  <dcterms:created xsi:type="dcterms:W3CDTF">2013-12-23T23:15:00Z</dcterms:created>
  <dcterms:modified xsi:type="dcterms:W3CDTF">2026-07-01T09:08:00Z</dcterms:modified>
  <cp:category/>
</cp:coreProperties>
</file>