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F60FC" w14:textId="77777777" w:rsidR="009C4ED9" w:rsidRDefault="00000000">
      <w:pPr>
        <w:pStyle w:val="Titre"/>
      </w:pPr>
      <w:r>
        <w:rPr>
          <w:color w:val="1F4E79"/>
        </w:rPr>
        <w:t>Fond de Caisse — Besoins d'intégration SAP</w:t>
      </w:r>
    </w:p>
    <w:p w14:paraId="16786E07" w14:textId="77777777" w:rsidR="009C4ED9" w:rsidRDefault="00000000">
      <w:r>
        <w:rPr>
          <w:i/>
          <w:color w:val="595959"/>
        </w:rPr>
        <w:t>Application de gestion de fond de caisse (NPG Gandour) — document destiné à l'équipe SAP</w:t>
      </w:r>
    </w:p>
    <w:p w14:paraId="2521CB27" w14:textId="77777777" w:rsidR="009C4ED9" w:rsidRDefault="00000000">
      <w:r>
        <w:rPr>
          <w:color w:val="595959"/>
        </w:rPr>
        <w:t>Date : 8 juillet 2026</w:t>
      </w:r>
    </w:p>
    <w:p w14:paraId="1C7B4B05" w14:textId="77777777" w:rsidR="009C4ED9" w:rsidRDefault="009C4ED9"/>
    <w:p w14:paraId="40F9CCF8" w14:textId="77777777" w:rsidR="009C4ED9" w:rsidRDefault="00000000">
      <w:pPr>
        <w:pStyle w:val="Titre1"/>
      </w:pPr>
      <w:r>
        <w:rPr>
          <w:color w:val="1F4E79"/>
        </w:rPr>
        <w:t>1. Contexte et objectif</w:t>
      </w:r>
    </w:p>
    <w:p w14:paraId="4A390AE1" w14:textId="77777777" w:rsidR="009C4ED9" w:rsidRDefault="00000000">
      <w:r>
        <w:t>L'application « Fond de Caisse » (FDC) gère le décaissement d'espèces (bons, caisses, portefeuilles) avec une comptabilité en partie double. Elle doit s'interfacer avec SAP dans deux sens :</w:t>
      </w:r>
    </w:p>
    <w:p w14:paraId="096329D7" w14:textId="77777777" w:rsidR="009C4ED9" w:rsidRDefault="00000000">
      <w:pPr>
        <w:pStyle w:val="Listepuces"/>
      </w:pPr>
      <w:r>
        <w:rPr>
          <w:b/>
        </w:rPr>
        <w:t xml:space="preserve">Entrant (SAP → FDC) : </w:t>
      </w:r>
      <w:r>
        <w:t>recevoir de SAP les référentiels comptables (comptes / natures comptables, centres de coût, plan comptable) ;</w:t>
      </w:r>
    </w:p>
    <w:p w14:paraId="3C48D740" w14:textId="77777777" w:rsidR="009C4ED9" w:rsidRDefault="00000000">
      <w:pPr>
        <w:pStyle w:val="Listepuces"/>
      </w:pPr>
      <w:r>
        <w:rPr>
          <w:b/>
        </w:rPr>
        <w:t xml:space="preserve">Sortant (FDC → SAP) : </w:t>
      </w:r>
      <w:r>
        <w:t>envoyer à SAP les mouvements comptables du jour (journal de clôture de caisse) et se réconcilier.</w:t>
      </w:r>
    </w:p>
    <w:p w14:paraId="4BA42321" w14:textId="77777777" w:rsidR="009C4ED9" w:rsidRDefault="00000000">
      <w:pPr>
        <w:pStyle w:val="Titre2"/>
      </w:pPr>
      <w:r>
        <w:rPr>
          <w:color w:val="1F4E79"/>
        </w:rPr>
        <w:t>État côté application : prêt</w:t>
      </w:r>
    </w:p>
    <w:p w14:paraId="72E4988E" w14:textId="77777777" w:rsidR="009C4ED9" w:rsidRDefault="00000000">
      <w:r>
        <w:rPr>
          <w:b/>
        </w:rPr>
        <w:t>Côté application, tout ce qui pouvait être préparé sans SAP est en place :</w:t>
      </w:r>
    </w:p>
    <w:p w14:paraId="46BD6B2F" w14:textId="77777777" w:rsidR="009C4ED9" w:rsidRDefault="00000000">
      <w:pPr>
        <w:pStyle w:val="Listepuces"/>
      </w:pPr>
      <w:r>
        <w:t>le modèle de données comptable (comptes, natures comptables, centres de coût, écritures en partie double) ;</w:t>
      </w:r>
    </w:p>
    <w:p w14:paraId="6BC5BD9E" w14:textId="77777777" w:rsidR="009C4ED9" w:rsidRDefault="00000000">
      <w:pPr>
        <w:pStyle w:val="Listepuces"/>
      </w:pPr>
      <w:r>
        <w:t>la file d'envoi fiable (pattern Outbox) avec ré-essais automatiques et idempotence ;</w:t>
      </w:r>
    </w:p>
    <w:p w14:paraId="1C08448C" w14:textId="77777777" w:rsidR="009C4ED9" w:rsidRDefault="00000000">
      <w:pPr>
        <w:pStyle w:val="Listepuces"/>
      </w:pPr>
      <w:r>
        <w:t>la traçabilité des envois vers SAP et la réconciliation quotidienne des soldes.</w:t>
      </w:r>
    </w:p>
    <w:p w14:paraId="4EF24DE1" w14:textId="77777777" w:rsidR="009C4ED9" w:rsidRDefault="00000000">
      <w:pPr>
        <w:pStyle w:val="Titre1"/>
      </w:pPr>
      <w:r>
        <w:rPr>
          <w:color w:val="1F4E79"/>
        </w:rPr>
        <w:t>2. Ce que l'application doit RECEVOIR de SAP (référentiels)</w:t>
      </w:r>
    </w:p>
    <w:p w14:paraId="40A28F86" w14:textId="77777777" w:rsidR="009C4ED9" w:rsidRDefault="00000000">
      <w:r>
        <w:t>Ces données alimentent les référentiels de l'application et servent à l'imputation comptable des décaissements. Aujourd'hui, la table des natures comptables est vide (cache SAP non alimenté) — c'est un point bloquant à résoudre en priorité.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1747"/>
        <w:gridCol w:w="1996"/>
        <w:gridCol w:w="1825"/>
        <w:gridCol w:w="3288"/>
      </w:tblGrid>
      <w:tr w:rsidR="009C4ED9" w14:paraId="00902FD9" w14:textId="77777777" w:rsidTr="009C4E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8D8E7" w14:textId="77777777" w:rsidR="009C4ED9" w:rsidRDefault="00000000">
            <w:r>
              <w:t>Référentiel</w:t>
            </w:r>
          </w:p>
        </w:tc>
        <w:tc>
          <w:tcPr>
            <w:tcW w:w="2160" w:type="dxa"/>
          </w:tcPr>
          <w:p w14:paraId="4C55EBDC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Contenu attendu</w:t>
            </w:r>
          </w:p>
        </w:tc>
        <w:tc>
          <w:tcPr>
            <w:tcW w:w="2160" w:type="dxa"/>
          </w:tcPr>
          <w:p w14:paraId="17463DE0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Usage dans FDC</w:t>
            </w:r>
          </w:p>
        </w:tc>
        <w:tc>
          <w:tcPr>
            <w:tcW w:w="2160" w:type="dxa"/>
          </w:tcPr>
          <w:p w14:paraId="7CC083E0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Table cible (FDC)</w:t>
            </w:r>
          </w:p>
        </w:tc>
      </w:tr>
      <w:tr w:rsidR="009C4ED9" w14:paraId="400AD937" w14:textId="77777777" w:rsidTr="009C4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885AE5" w14:textId="77777777" w:rsidR="009C4ED9" w:rsidRDefault="00000000">
            <w:r>
              <w:t>Natures comptables / comptes</w:t>
            </w:r>
          </w:p>
        </w:tc>
        <w:tc>
          <w:tcPr>
            <w:tcW w:w="2160" w:type="dxa"/>
          </w:tcPr>
          <w:p w14:paraId="2813CC79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Libellé, code compte SAP, (centre de coût, compte du plan comptable associés)</w:t>
            </w:r>
          </w:p>
        </w:tc>
        <w:tc>
          <w:tcPr>
            <w:tcW w:w="2160" w:type="dxa"/>
          </w:tcPr>
          <w:p w14:paraId="1A9815A0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Imputation comptable de chaque décaissement</w:t>
            </w:r>
          </w:p>
        </w:tc>
        <w:tc>
          <w:tcPr>
            <w:tcW w:w="2160" w:type="dxa"/>
          </w:tcPr>
          <w:p w14:paraId="57826288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ref_nature_comptable</w:t>
            </w:r>
          </w:p>
        </w:tc>
      </w:tr>
      <w:tr w:rsidR="009C4ED9" w14:paraId="6588524D" w14:textId="77777777" w:rsidTr="009C4E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B3BFCB3" w14:textId="77777777" w:rsidR="009C4ED9" w:rsidRDefault="00000000">
            <w:r>
              <w:t>Plan comptable</w:t>
            </w:r>
          </w:p>
        </w:tc>
        <w:tc>
          <w:tcPr>
            <w:tcW w:w="2160" w:type="dxa"/>
          </w:tcPr>
          <w:p w14:paraId="475A6A8B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N° de compte, type </w:t>
            </w:r>
            <w:r>
              <w:lastRenderedPageBreak/>
              <w:t>(charge / produit / actif / passif), libellé</w:t>
            </w:r>
          </w:p>
        </w:tc>
        <w:tc>
          <w:tcPr>
            <w:tcW w:w="2160" w:type="dxa"/>
          </w:tcPr>
          <w:p w14:paraId="72B638B9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 xml:space="preserve">Comptes </w:t>
            </w:r>
            <w:r>
              <w:lastRenderedPageBreak/>
              <w:t>d'imputation (charges)</w:t>
            </w:r>
          </w:p>
        </w:tc>
        <w:tc>
          <w:tcPr>
            <w:tcW w:w="2160" w:type="dxa"/>
          </w:tcPr>
          <w:p w14:paraId="53AB166E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ref_plan_comptable</w:t>
            </w:r>
          </w:p>
        </w:tc>
      </w:tr>
      <w:tr w:rsidR="009C4ED9" w14:paraId="5474DBA9" w14:textId="77777777" w:rsidTr="009C4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CA33BB" w14:textId="77777777" w:rsidR="009C4ED9" w:rsidRDefault="00000000">
            <w:r>
              <w:t>Centres de coût</w:t>
            </w:r>
          </w:p>
        </w:tc>
        <w:tc>
          <w:tcPr>
            <w:tcW w:w="2160" w:type="dxa"/>
          </w:tcPr>
          <w:p w14:paraId="1D2F6C05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+ libellé (+ rattachement direction si possible)</w:t>
            </w:r>
          </w:p>
        </w:tc>
        <w:tc>
          <w:tcPr>
            <w:tcW w:w="2160" w:type="dxa"/>
          </w:tcPr>
          <w:p w14:paraId="3F4FC28D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Imputation budgétaire (budget mensuel par centre de coût)</w:t>
            </w:r>
          </w:p>
        </w:tc>
        <w:tc>
          <w:tcPr>
            <w:tcW w:w="2160" w:type="dxa"/>
          </w:tcPr>
          <w:p w14:paraId="71E760AE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ref_cost_center</w:t>
            </w:r>
          </w:p>
        </w:tc>
      </w:tr>
      <w:tr w:rsidR="009C4ED9" w14:paraId="330FFB89" w14:textId="77777777" w:rsidTr="009C4E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21BC454" w14:textId="77777777" w:rsidR="009C4ED9" w:rsidRDefault="00000000">
            <w:r>
              <w:t>Mapping partenaire ↔ nature comptable (optionnel)</w:t>
            </w:r>
          </w:p>
        </w:tc>
        <w:tc>
          <w:tcPr>
            <w:tcW w:w="2160" w:type="dxa"/>
          </w:tcPr>
          <w:p w14:paraId="1E478D81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Association fournisseur/client ↔ nature comptable</w:t>
            </w:r>
          </w:p>
        </w:tc>
        <w:tc>
          <w:tcPr>
            <w:tcW w:w="2160" w:type="dxa"/>
          </w:tcPr>
          <w:p w14:paraId="3A0C502D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Pré-remplissage à la saisie d'un bon</w:t>
            </w:r>
          </w:p>
        </w:tc>
        <w:tc>
          <w:tcPr>
            <w:tcW w:w="2160" w:type="dxa"/>
          </w:tcPr>
          <w:p w14:paraId="056C9EAD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ref_partenaire_nature_comptable</w:t>
            </w:r>
          </w:p>
        </w:tc>
      </w:tr>
    </w:tbl>
    <w:p w14:paraId="07318273" w14:textId="77777777" w:rsidR="009C4ED9" w:rsidRDefault="009C4ED9"/>
    <w:p w14:paraId="11663ACA" w14:textId="77777777" w:rsidR="009C4ED9" w:rsidRDefault="00000000">
      <w:r>
        <w:t>Besoin clé : un moyen de mise à disposition de ces référentiels (API de lecture, export de fichier périodique…) avec une clé unique stable (le code compte SAP) pour la synchronisation.</w:t>
      </w:r>
    </w:p>
    <w:p w14:paraId="19EA1607" w14:textId="77777777" w:rsidR="009C4ED9" w:rsidRDefault="00000000">
      <w:pPr>
        <w:pStyle w:val="Titre1"/>
      </w:pPr>
      <w:r>
        <w:rPr>
          <w:color w:val="1F4E79"/>
        </w:rPr>
        <w:t>3. Ce que l'application doit ENVOYER à SAP (écritures)</w:t>
      </w:r>
    </w:p>
    <w:p w14:paraId="445BB853" w14:textId="77777777" w:rsidR="009C4ED9" w:rsidRDefault="00000000">
      <w:r>
        <w:t>À la clôture quotidienne de la caisse (automatique à 20h), l'application constitue le journal des opérations du jour (décaissements, recharges, ajustements) sous forme d'écritures comptables, et l'envoie à SAP via un mécanisme fiable (file d'attente Outbox avec ré-essais et idempotence, déjà prévu côté application : tables aud_outbox / aud_log_sap).</w:t>
      </w:r>
    </w:p>
    <w:p w14:paraId="0DBB2152" w14:textId="77777777" w:rsidR="009C4ED9" w:rsidRDefault="00000000">
      <w:r>
        <w:t>Contenu attendu par écriture (à confirmer / compléter selon le format SAP) :</w:t>
      </w:r>
    </w:p>
    <w:p w14:paraId="5EFA001C" w14:textId="77777777" w:rsidR="009C4ED9" w:rsidRDefault="00000000">
      <w:pPr>
        <w:pStyle w:val="Listepuces"/>
      </w:pPr>
      <w:r>
        <w:t>Date de pièce / date comptable</w:t>
      </w:r>
    </w:p>
    <w:p w14:paraId="37E30A4A" w14:textId="77777777" w:rsidR="009C4ED9" w:rsidRDefault="00000000">
      <w:pPr>
        <w:pStyle w:val="Listepuces"/>
      </w:pPr>
      <w:r>
        <w:t>Montant et devise (code ISO)</w:t>
      </w:r>
    </w:p>
    <w:p w14:paraId="1C0E83BD" w14:textId="77777777" w:rsidR="009C4ED9" w:rsidRDefault="00000000">
      <w:pPr>
        <w:pStyle w:val="Listepuces"/>
      </w:pPr>
      <w:r>
        <w:t>Compte à débiter / créditer (code compte SAP)</w:t>
      </w:r>
    </w:p>
    <w:p w14:paraId="73E0AEBE" w14:textId="77777777" w:rsidR="009C4ED9" w:rsidRDefault="00000000">
      <w:pPr>
        <w:pStyle w:val="Listepuces"/>
      </w:pPr>
      <w:r>
        <w:t>Centre de coût (code SAP)</w:t>
      </w:r>
    </w:p>
    <w:p w14:paraId="0D9C9B00" w14:textId="77777777" w:rsidR="009C4ED9" w:rsidRDefault="00000000">
      <w:pPr>
        <w:pStyle w:val="Listepuces"/>
      </w:pPr>
      <w:r>
        <w:t>Référence (n° de bon / n° de session de caisse) et libellé</w:t>
      </w:r>
    </w:p>
    <w:p w14:paraId="4BF2F8BC" w14:textId="77777777" w:rsidR="009C4ED9" w:rsidRDefault="00000000">
      <w:pPr>
        <w:pStyle w:val="Listepuces"/>
      </w:pPr>
      <w:r>
        <w:t>Société / exercice / période comptable</w:t>
      </w:r>
    </w:p>
    <w:p w14:paraId="433D24CE" w14:textId="77777777" w:rsidR="009C4ED9" w:rsidRDefault="00000000">
      <w:pPr>
        <w:pStyle w:val="Titre2"/>
      </w:pPr>
      <w:r>
        <w:rPr>
          <w:color w:val="1F4E79"/>
        </w:rPr>
        <w:t>Détail des écritures et mouvements générés par l'application</w:t>
      </w:r>
    </w:p>
    <w:p w14:paraId="1BB9CAE1" w14:textId="77777777" w:rsidR="009C4ED9" w:rsidRDefault="00000000">
      <w:r>
        <w:t>L'application enregistre chaque mouvement d'argent en partie double (débit = crédit). Convention interne : pour chaque compte, solde = Σ crédits − Σ débits — à traduire vers la logique SAP (où les charges sont normalement au débit).</w:t>
      </w:r>
    </w:p>
    <w:tbl>
      <w:tblPr>
        <w:tblStyle w:val="Grilleclaire-Accent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C4ED9" w14:paraId="3BAD3769" w14:textId="77777777" w:rsidTr="009C4E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1A8DDA0" w14:textId="77777777" w:rsidR="009C4ED9" w:rsidRDefault="00000000">
            <w:r>
              <w:t>Opération</w:t>
            </w:r>
          </w:p>
        </w:tc>
        <w:tc>
          <w:tcPr>
            <w:tcW w:w="2160" w:type="dxa"/>
          </w:tcPr>
          <w:p w14:paraId="064B0C55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DÉBIT</w:t>
            </w:r>
          </w:p>
        </w:tc>
        <w:tc>
          <w:tcPr>
            <w:tcW w:w="2160" w:type="dxa"/>
          </w:tcPr>
          <w:p w14:paraId="0824DE1E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CRÉDIT</w:t>
            </w:r>
          </w:p>
        </w:tc>
        <w:tc>
          <w:tcPr>
            <w:tcW w:w="2160" w:type="dxa"/>
          </w:tcPr>
          <w:p w14:paraId="0969D215" w14:textId="77777777" w:rsidR="009C4ED9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Montant</w:t>
            </w:r>
          </w:p>
        </w:tc>
      </w:tr>
      <w:tr w:rsidR="009C4ED9" w14:paraId="1E0AFC98" w14:textId="77777777" w:rsidTr="009C4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33916E" w14:textId="77777777" w:rsidR="009C4ED9" w:rsidRDefault="00000000">
            <w:r>
              <w:t>Recharge caisse -&gt; portefeuille</w:t>
            </w:r>
          </w:p>
        </w:tc>
        <w:tc>
          <w:tcPr>
            <w:tcW w:w="2160" w:type="dxa"/>
          </w:tcPr>
          <w:p w14:paraId="785F2471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Caisse</w:t>
            </w:r>
          </w:p>
        </w:tc>
        <w:tc>
          <w:tcPr>
            <w:tcW w:w="2160" w:type="dxa"/>
          </w:tcPr>
          <w:p w14:paraId="7505EA13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Portefeuille</w:t>
            </w:r>
          </w:p>
        </w:tc>
        <w:tc>
          <w:tcPr>
            <w:tcW w:w="2160" w:type="dxa"/>
          </w:tcPr>
          <w:p w14:paraId="7EF1D1CF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montant rechargé</w:t>
            </w:r>
          </w:p>
        </w:tc>
      </w:tr>
      <w:tr w:rsidR="009C4ED9" w14:paraId="1D7B44E1" w14:textId="77777777" w:rsidTr="009C4E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891994" w14:textId="77777777" w:rsidR="009C4ED9" w:rsidRDefault="00000000">
            <w:r>
              <w:t>Recharge portefeuille -&gt; caisse (retour)</w:t>
            </w:r>
          </w:p>
        </w:tc>
        <w:tc>
          <w:tcPr>
            <w:tcW w:w="2160" w:type="dxa"/>
          </w:tcPr>
          <w:p w14:paraId="74A70BBE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Portefeuille</w:t>
            </w:r>
          </w:p>
        </w:tc>
        <w:tc>
          <w:tcPr>
            <w:tcW w:w="2160" w:type="dxa"/>
          </w:tcPr>
          <w:p w14:paraId="477A7514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Caisse</w:t>
            </w:r>
          </w:p>
        </w:tc>
        <w:tc>
          <w:tcPr>
            <w:tcW w:w="2160" w:type="dxa"/>
          </w:tcPr>
          <w:p w14:paraId="3FEA6040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montant</w:t>
            </w:r>
          </w:p>
        </w:tc>
      </w:tr>
      <w:tr w:rsidR="009C4ED9" w14:paraId="1398518D" w14:textId="77777777" w:rsidTr="009C4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D0E261C" w14:textId="77777777" w:rsidR="009C4ED9" w:rsidRDefault="00000000">
            <w:r>
              <w:lastRenderedPageBreak/>
              <w:t>Décaissement d'un bon</w:t>
            </w:r>
          </w:p>
        </w:tc>
        <w:tc>
          <w:tcPr>
            <w:tcW w:w="2160" w:type="dxa"/>
          </w:tcPr>
          <w:p w14:paraId="42D8C6C1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Portefeuille</w:t>
            </w:r>
          </w:p>
        </w:tc>
        <w:tc>
          <w:tcPr>
            <w:tcW w:w="2160" w:type="dxa"/>
          </w:tcPr>
          <w:p w14:paraId="114DB800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Compte de charge (imputé au centre de coût)</w:t>
            </w:r>
          </w:p>
        </w:tc>
        <w:tc>
          <w:tcPr>
            <w:tcW w:w="2160" w:type="dxa"/>
          </w:tcPr>
          <w:p w14:paraId="6D98A254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montant réellement décaissé</w:t>
            </w:r>
          </w:p>
        </w:tc>
      </w:tr>
      <w:tr w:rsidR="009C4ED9" w14:paraId="29C78DA4" w14:textId="77777777" w:rsidTr="009C4E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57D4A64" w14:textId="77777777" w:rsidR="009C4ED9" w:rsidRDefault="00000000">
            <w:r>
              <w:t>Ajustement budget mensuel (recharge auto)</w:t>
            </w:r>
          </w:p>
        </w:tc>
        <w:tc>
          <w:tcPr>
            <w:tcW w:w="2160" w:type="dxa"/>
          </w:tcPr>
          <w:p w14:paraId="429BB2B3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Caisse</w:t>
            </w:r>
          </w:p>
        </w:tc>
        <w:tc>
          <w:tcPr>
            <w:tcW w:w="2160" w:type="dxa"/>
          </w:tcPr>
          <w:p w14:paraId="6A2344BB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Portefeuille</w:t>
            </w:r>
          </w:p>
        </w:tc>
        <w:tc>
          <w:tcPr>
            <w:tcW w:w="2160" w:type="dxa"/>
          </w:tcPr>
          <w:p w14:paraId="6610B39D" w14:textId="77777777" w:rsidR="009C4ED9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delta</w:t>
            </w:r>
          </w:p>
        </w:tc>
      </w:tr>
      <w:tr w:rsidR="009C4ED9" w14:paraId="7ED35839" w14:textId="77777777" w:rsidTr="009C4E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7918CDD" w14:textId="77777777" w:rsidR="009C4ED9" w:rsidRDefault="00000000">
            <w:r>
              <w:t>Ajustement budget mensuel (reprise)</w:t>
            </w:r>
          </w:p>
        </w:tc>
        <w:tc>
          <w:tcPr>
            <w:tcW w:w="2160" w:type="dxa"/>
          </w:tcPr>
          <w:p w14:paraId="55D5F4A4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Portefeuille</w:t>
            </w:r>
          </w:p>
        </w:tc>
        <w:tc>
          <w:tcPr>
            <w:tcW w:w="2160" w:type="dxa"/>
          </w:tcPr>
          <w:p w14:paraId="0C17292C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Caisse</w:t>
            </w:r>
          </w:p>
        </w:tc>
        <w:tc>
          <w:tcPr>
            <w:tcW w:w="2160" w:type="dxa"/>
          </w:tcPr>
          <w:p w14:paraId="6F933E8B" w14:textId="77777777" w:rsidR="009C4ED9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delta</w:t>
            </w:r>
          </w:p>
        </w:tc>
      </w:tr>
    </w:tbl>
    <w:p w14:paraId="0CEC7B1F" w14:textId="77777777" w:rsidR="009C4ED9" w:rsidRDefault="009C4ED9"/>
    <w:p w14:paraId="673C03D7" w14:textId="77777777" w:rsidR="009C4ED9" w:rsidRDefault="00000000">
      <w:r>
        <w:t>Types de comptes utilisés : CAISSE, PORTEFEUILLE, CHARGE (le compte de charge porte le centre de coût). GAIN_CHANGE / PERTE_CHANGE sont prévus mais pas encore générés.</w:t>
      </w:r>
    </w:p>
    <w:p w14:paraId="046C3610" w14:textId="77777777" w:rsidR="009C4ED9" w:rsidRDefault="00000000">
      <w:pPr>
        <w:pStyle w:val="Listepuces"/>
      </w:pPr>
      <w:r>
        <w:rPr>
          <w:b/>
        </w:rPr>
        <w:t xml:space="preserve">La plus importante pour SAP : </w:t>
      </w:r>
      <w:r>
        <w:t>l'écriture de DÉCAISSEMENT — une charge imputée à un centre de coût, financée en espèces (débit portefeuille / crédit compte de charge). C'est ce qui doit remonter en compta.</w:t>
      </w:r>
    </w:p>
    <w:p w14:paraId="4662A6F4" w14:textId="77777777" w:rsidR="009C4ED9" w:rsidRDefault="00000000">
      <w:pPr>
        <w:pStyle w:val="Listepuces"/>
      </w:pPr>
      <w:r>
        <w:rPr>
          <w:b/>
        </w:rPr>
        <w:t xml:space="preserve">Mouvements internes : </w:t>
      </w:r>
      <w:r>
        <w:t>recharges et ajustements = mouvements internes de trésorerie (caisse &lt;-&gt; portefeuille), à remonter selon le besoin de suivi côté SAP.</w:t>
      </w:r>
    </w:p>
    <w:p w14:paraId="51ABBFBF" w14:textId="30E945A8" w:rsidR="009C4ED9" w:rsidRDefault="00000000">
      <w:r>
        <w:rPr>
          <w:color w:val="B06A00"/>
        </w:rPr>
        <w:t>Le TRANSFERT (entre portefeuilles / caisses) est enregistré comme mouvement (opération) mais ne génère pas encore d'écriture comptable en partie double (gain/perte de change modélisé mais non implémenté)..</w:t>
      </w:r>
    </w:p>
    <w:p w14:paraId="44E7EBD0" w14:textId="77777777" w:rsidR="009C4ED9" w:rsidRDefault="00000000">
      <w:pPr>
        <w:pStyle w:val="Titre1"/>
      </w:pPr>
      <w:r>
        <w:rPr>
          <w:color w:val="1F4E79"/>
        </w:rPr>
        <w:t>4. Réconciliation des soldes</w:t>
      </w:r>
    </w:p>
    <w:p w14:paraId="104E53D8" w14:textId="77777777" w:rsidR="009C4ED9" w:rsidRDefault="00000000">
      <w:r>
        <w:t>Chaque jour, l'application calcule un instantané par caisse (solde calculé depuis les écritures vs solde en base) et souhaite le comparer au SOLDE côté SAP (champ prévu : aud_snapshot_journalier.solde_sap). Besoin : un moyen de lire, par caisse et par date, le solde correspondant côté SAP (API de lecture ou requête).</w:t>
      </w:r>
    </w:p>
    <w:p w14:paraId="2503386D" w14:textId="371D1622" w:rsidR="009C4ED9" w:rsidRDefault="00325431">
      <w:pPr>
        <w:pStyle w:val="Titre1"/>
      </w:pPr>
      <w:r>
        <w:rPr>
          <w:color w:val="1F4E79"/>
        </w:rPr>
        <w:t>5</w:t>
      </w:r>
      <w:r w:rsidR="00000000">
        <w:rPr>
          <w:color w:val="1F4E79"/>
        </w:rPr>
        <w:t>. Annexe — éléments déjà prévus côté application</w:t>
      </w:r>
    </w:p>
    <w:p w14:paraId="079865B9" w14:textId="77777777" w:rsidR="009C4ED9" w:rsidRDefault="00000000">
      <w:r>
        <w:t>Pour information, l'application a déjà modélisé les structures d'intégration ; il ne manque que la spécification SAP pour les brancher :</w:t>
      </w:r>
    </w:p>
    <w:p w14:paraId="7C831F8D" w14:textId="77777777" w:rsidR="009C4ED9" w:rsidRDefault="00000000">
      <w:pPr>
        <w:pStyle w:val="Listepuces"/>
      </w:pPr>
      <w:r>
        <w:rPr>
          <w:b/>
        </w:rPr>
        <w:t xml:space="preserve">ref_nature_comptable : </w:t>
      </w:r>
      <w:r>
        <w:t>code_comptable_sap, cost_center_id, plan_comptable_id — cache local des natures comptables.</w:t>
      </w:r>
    </w:p>
    <w:p w14:paraId="4D5E7103" w14:textId="77777777" w:rsidR="009C4ED9" w:rsidRDefault="00000000">
      <w:pPr>
        <w:pStyle w:val="Listepuces"/>
      </w:pPr>
      <w:r>
        <w:rPr>
          <w:b/>
        </w:rPr>
        <w:t xml:space="preserve">aud_outbox : </w:t>
      </w:r>
      <w:r>
        <w:t>file d'envoi fiable (type_message, payload JSON, statut, nb_tentatives, clé d'idempotence externe).</w:t>
      </w:r>
    </w:p>
    <w:p w14:paraId="3B22659E" w14:textId="77777777" w:rsidR="009C4ED9" w:rsidRDefault="00000000">
      <w:pPr>
        <w:pStyle w:val="Listepuces"/>
      </w:pPr>
      <w:r>
        <w:rPr>
          <w:b/>
        </w:rPr>
        <w:t xml:space="preserve">aud_log_sap : </w:t>
      </w:r>
      <w:r>
        <w:t>trace des envois vers SAP (payload, statut SUCCES/ECHEC, message de retour, nb tentatives).</w:t>
      </w:r>
    </w:p>
    <w:p w14:paraId="1DC5CCE2" w14:textId="598A7CF9" w:rsidR="009C4ED9" w:rsidRDefault="00000000" w:rsidP="00325431">
      <w:pPr>
        <w:pStyle w:val="Listepuces"/>
      </w:pPr>
      <w:r>
        <w:rPr>
          <w:b/>
        </w:rPr>
        <w:t xml:space="preserve">aud_snapshot_journalier : </w:t>
      </w:r>
      <w:r>
        <w:t>réconciliation quotidienne par caisse, avec un champ solde_sap à alimenter.</w:t>
      </w:r>
    </w:p>
    <w:sectPr w:rsidR="009C4E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6848871">
    <w:abstractNumId w:val="8"/>
  </w:num>
  <w:num w:numId="2" w16cid:durableId="5715157">
    <w:abstractNumId w:val="6"/>
  </w:num>
  <w:num w:numId="3" w16cid:durableId="374428627">
    <w:abstractNumId w:val="5"/>
  </w:num>
  <w:num w:numId="4" w16cid:durableId="1256553330">
    <w:abstractNumId w:val="4"/>
  </w:num>
  <w:num w:numId="5" w16cid:durableId="376395775">
    <w:abstractNumId w:val="7"/>
  </w:num>
  <w:num w:numId="6" w16cid:durableId="2017799748">
    <w:abstractNumId w:val="3"/>
  </w:num>
  <w:num w:numId="7" w16cid:durableId="572351621">
    <w:abstractNumId w:val="2"/>
  </w:num>
  <w:num w:numId="8" w16cid:durableId="2026320366">
    <w:abstractNumId w:val="1"/>
  </w:num>
  <w:num w:numId="9" w16cid:durableId="1215045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C1C"/>
    <w:rsid w:val="00325431"/>
    <w:rsid w:val="00326F90"/>
    <w:rsid w:val="009C4E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0F5FF0"/>
  <w14:defaultImageDpi w14:val="300"/>
  <w15:docId w15:val="{CB02F0D3-2CCA-4378-81C4-57B7C0DF1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814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Yannick Atse</cp:lastModifiedBy>
  <cp:revision>2</cp:revision>
  <dcterms:created xsi:type="dcterms:W3CDTF">2013-12-23T23:15:00Z</dcterms:created>
  <dcterms:modified xsi:type="dcterms:W3CDTF">2026-07-13T12:59:00Z</dcterms:modified>
  <cp:category/>
</cp:coreProperties>
</file>