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t>
      </w:r>
    </w:p>
    <w:p>
      <w:pPr>
        <w:spacing w:after="200"/>
        <w:jc w:val="center"/>
      </w:pPr>
      <w:r>
        <w:rPr>
          <w:b/>
          <w:bCs/>
          <w:color w:val="1F3864"/>
          <w:sz w:val="28"/>
          <w:szCs w:val="28"/>
        </w:rPr>
        <w:t xml:space="preserve">DOSSIER DE CONCEPTION</w:t>
      </w:r>
    </w:p>
    <w:p>
      <w:pPr>
        <w:spacing w:after="600"/>
        <w:jc w:val="center"/>
      </w:pPr>
      <w:r>
        <w:rPr>
          <w:b/>
          <w:bCs/>
          <w:color w:val="1F3864"/>
          <w:sz w:val="44"/>
          <w:szCs w:val="44"/>
        </w:rPr>
        <w:t xml:space="preserve">Application de Gestion de Fond de Caisse</w:t>
      </w:r>
    </w:p>
    <w:p>
      <w:pPr>
        <w:spacing w:after="200"/>
        <w:jc w:val="center"/>
      </w:pPr>
      <w:r>
        <w:rPr>
          <w:i/>
          <w:iCs/>
          <w:sz w:val="24"/>
          <w:szCs w:val="24"/>
        </w:rPr>
        <w:t xml:space="preserve">Cahier des charges, Modèle Conceptuel de Données</w:t>
      </w:r>
    </w:p>
    <w:p>
      <w:pPr>
        <w:spacing w:after="1600"/>
        <w:jc w:val="center"/>
      </w:pPr>
      <w:r>
        <w:rPr>
          <w:i/>
          <w:iCs/>
          <w:sz w:val="24"/>
          <w:szCs w:val="24"/>
        </w:rPr>
        <w:t xml:space="preserve">et Recommandations d'architecture</w:t>
      </w:r>
    </w:p>
    <w:p>
      <w:pPr>
        <w:spacing w:after="100"/>
        <w:jc w:val="center"/>
      </w:pPr>
      <w:r>
        <w:rPr>
          <w:color w:val="595959"/>
          <w:sz w:val="22"/>
          <w:szCs w:val="22"/>
        </w:rPr>
        <w:t xml:space="preserve">Plateforme Web &amp; Application Mobile</w:t>
      </w:r>
    </w:p>
    <w:p>
      <w:pPr>
        <w:spacing w:after="2400"/>
        <w:jc w:val="center"/>
      </w:pPr>
      <w:r>
        <w:rPr>
          <w:color w:val="595959"/>
          <w:sz w:val="22"/>
          <w:szCs w:val="22"/>
        </w:rPr>
        <w:t xml:space="preserve">Intégration SAP — Multi-devises — Workflow de validation</w:t>
      </w:r>
    </w:p>
    <w:p>
      <w:pPr>
        <w:pBdr>
          <w:top w:val="single" w:color="1F3864" w:sz="6" w:space="6"/>
        </w:pBdr>
        <w:spacing w:after="100" w:before="200"/>
        <w:jc w:val="center"/>
      </w:pPr>
      <w:r>
        <w:rPr>
          <w:b/>
          <w:bCs/>
          <w:sz w:val="20"/>
          <w:szCs w:val="20"/>
        </w:rPr>
        <w:t xml:space="preserve">Document préparatoire à la mise en œuvre technique</w:t>
      </w:r>
    </w:p>
    <w:p>
      <w:pPr>
        <w:jc w:val="center"/>
      </w:pPr>
      <w:r>
        <w:rPr>
          <w:color w:val="595959"/>
          <w:sz w:val="20"/>
          <w:szCs w:val="20"/>
        </w:rPr>
        <w:t xml:space="preserve">Version 1.0</w:t>
      </w:r>
    </w:p>
    <w:p>
      <w:r>
        <w:br w:type="page"/>
      </w:r>
    </w:p>
    <w:p>
      <w:pPr>
        <w:pStyle w:val="Heading1"/>
        <w:spacing w:after="200" w:before="360"/>
      </w:pPr>
      <w:r>
        <w:t xml:space="preserve">Sommaire</w:t>
      </w:r>
    </w:p>
    <w:p>
      <w:pPr>
        <w:spacing w:after="120" w:line="300"/>
        <w:jc w:val="both"/>
      </w:pPr>
      <w:r>
        <w:t xml:space="preserve">Le présent document consolide l'ensemble des travaux d'analyse et de conception menés pour le projet d'application de gestion de fond de caisse. Il est structuré en cinq grandes parties :</w:t>
      </w:r>
    </w:p>
    <w:p>
      <w:pPr>
        <w:spacing w:after="80"/>
      </w:pPr>
      <w:r>
        <w:t xml:space="preserve"> </w:t>
      </w:r>
    </w:p>
    <w:p>
      <w:pPr>
        <w:pStyle w:val="ListParagraph"/>
        <w:numPr>
          <w:ilvl w:val="0"/>
          <w:numId w:val="2"/>
        </w:numPr>
        <w:spacing w:after="80" w:line="300"/>
      </w:pPr>
      <w:r>
        <w:t xml:space="preserve">Partie I — Cahier des charges fonctionnel détaillé (Web et Mobile)</w:t>
      </w:r>
    </w:p>
    <w:p>
      <w:pPr>
        <w:pStyle w:val="ListParagraph"/>
        <w:numPr>
          <w:ilvl w:val="0"/>
          <w:numId w:val="2"/>
        </w:numPr>
        <w:spacing w:after="80" w:line="300"/>
      </w:pPr>
      <w:r>
        <w:t xml:space="preserve">Partie II — Modèle Conceptuel de Données (MCD) par domaine fonctionnel</w:t>
      </w:r>
    </w:p>
    <w:p>
      <w:pPr>
        <w:pStyle w:val="ListParagraph"/>
        <w:numPr>
          <w:ilvl w:val="0"/>
          <w:numId w:val="2"/>
        </w:numPr>
        <w:spacing w:after="80" w:line="300"/>
      </w:pPr>
      <w:r>
        <w:t xml:space="preserve">Partie III — Règles de gestion à implémenter</w:t>
      </w:r>
    </w:p>
    <w:p>
      <w:pPr>
        <w:pStyle w:val="ListParagraph"/>
        <w:numPr>
          <w:ilvl w:val="0"/>
          <w:numId w:val="2"/>
        </w:numPr>
        <w:spacing w:after="80" w:line="300"/>
      </w:pPr>
      <w:r>
        <w:t xml:space="preserve">Partie IV — Recommandations techniques pour le renforcement de la structure des données</w:t>
      </w:r>
    </w:p>
    <w:p>
      <w:pPr>
        <w:pStyle w:val="ListParagraph"/>
        <w:numPr>
          <w:ilvl w:val="0"/>
          <w:numId w:val="2"/>
        </w:numPr>
        <w:spacing w:after="80" w:line="300"/>
      </w:pPr>
      <w:r>
        <w:t xml:space="preserve">Partie V — Proposition de stack technique (Backend, Frontend, Mobile)</w:t>
      </w:r>
    </w:p>
    <w:p>
      <w:pPr>
        <w:pStyle w:val="ListParagraph"/>
        <w:numPr>
          <w:ilvl w:val="0"/>
          <w:numId w:val="2"/>
        </w:numPr>
        <w:spacing w:after="80" w:line="300"/>
      </w:pPr>
      <w:r>
        <w:t xml:space="preserve">Annexe — Schéma physique de la base de données (nomenclature, préfixes, contraintes)</w:t>
      </w:r>
    </w:p>
    <w:p>
      <w:pPr>
        <w:spacing w:after="80"/>
      </w:pPr>
      <w:r>
        <w:t xml:space="preserve"> </w:t>
      </w:r>
    </w:p>
    <w:p>
      <w:pPr>
        <w:spacing w:after="120" w:line="300"/>
        <w:jc w:val="both"/>
      </w:pPr>
      <w:r>
        <w:rPr>
          <w:i/>
          <w:iCs/>
        </w:rPr>
        <w:t xml:space="preserve">Ce document est destiné à être présenté à la direction et à l'équipe technique. Il sert de référence commune avant le démarrage des phases de développement.</w:t>
      </w:r>
    </w:p>
    <w:p>
      <w:r>
        <w:br w:type="page"/>
      </w:r>
    </w:p>
    <w:p>
      <w:pPr>
        <w:pStyle w:val="Heading1"/>
        <w:spacing w:after="200" w:before="360"/>
      </w:pPr>
      <w:r>
        <w:t xml:space="preserve">Partie I — Cahier des charges fonctionnel</w:t>
      </w:r>
    </w:p>
    <w:p>
      <w:pPr>
        <w:spacing w:after="120" w:line="300"/>
        <w:jc w:val="both"/>
      </w:pPr>
      <w:r>
        <w:t xml:space="preserve">L'application est une solution de gestion de caisse et de bons de livraison intégrant un système de portefeuille utilisateur (Wallet). Elle se décline en deux composantes : une plateforme web pour la gestion complète et une application mobile pour la demande et la validation de bons.</w:t>
      </w:r>
    </w:p>
    <w:p>
      <w:pPr>
        <w:pStyle w:val="Heading2"/>
        <w:spacing w:after="160" w:before="280"/>
      </w:pPr>
      <w:r>
        <w:t xml:space="preserve">1. Module Web</w:t>
      </w:r>
    </w:p>
    <w:p>
      <w:pPr>
        <w:pStyle w:val="Heading3"/>
        <w:spacing w:after="120" w:before="220"/>
      </w:pPr>
      <w:r>
        <w:t xml:space="preserve">1.1. Gestion des bons et sous-bons</w:t>
      </w:r>
    </w:p>
    <w:p>
      <w:pPr>
        <w:pStyle w:val="ListParagraph"/>
        <w:numPr>
          <w:ilvl w:val="0"/>
          <w:numId w:val="3"/>
        </w:numPr>
        <w:spacing w:after="80" w:line="300"/>
        <w:jc w:val="both"/>
      </w:pPr>
      <w:r>
        <w:t xml:space="preserve">Un </w:t>
      </w:r>
      <w:r>
        <w:rPr>
          <w:b/>
          <w:bCs/>
        </w:rPr>
        <w:t xml:space="preserve">Bon</w:t>
      </w:r>
      <w:r>
        <w:t xml:space="preserve"> peut contenir un ou plusieurs </w:t>
      </w:r>
      <w:r>
        <w:rPr>
          <w:b/>
          <w:bCs/>
        </w:rPr>
        <w:t xml:space="preserve">Sous-bons</w:t>
      </w:r>
      <w:r>
        <w:t xml:space="preserve">.</w:t>
      </w:r>
    </w:p>
    <w:p>
      <w:pPr>
        <w:pStyle w:val="ListParagraph"/>
        <w:numPr>
          <w:ilvl w:val="0"/>
          <w:numId w:val="3"/>
        </w:numPr>
        <w:spacing w:after="80" w:line="300"/>
        <w:jc w:val="both"/>
      </w:pPr>
      <w:r>
        <w:t xml:space="preserve">Chaque sous-bon possède son propre montant et son propre statut, </w:t>
      </w:r>
      <w:r>
        <w:rPr>
          <w:b/>
          <w:bCs/>
        </w:rPr>
        <w:t xml:space="preserve">indépendant</w:t>
      </w:r>
      <w:r>
        <w:t xml:space="preserve"> de celui du bon parent.</w:t>
      </w:r>
    </w:p>
    <w:p>
      <w:pPr>
        <w:pStyle w:val="ListParagraph"/>
        <w:numPr>
          <w:ilvl w:val="0"/>
          <w:numId w:val="3"/>
        </w:numPr>
        <w:spacing w:after="80" w:line="300"/>
        <w:jc w:val="both"/>
      </w:pPr>
      <w:r>
        <w:rPr>
          <w:b/>
          <w:bCs/>
        </w:rPr>
        <w:t xml:space="preserve">Statuts possibles</w:t>
      </w:r>
      <w:r>
        <w:t xml:space="preserve"> (pour bons et sous-bons) : Créé, Validé, Décaissé, Comptabilisé, Annulé, Refusé.</w:t>
      </w:r>
    </w:p>
    <w:p>
      <w:pPr>
        <w:pStyle w:val="ListParagraph"/>
        <w:numPr>
          <w:ilvl w:val="0"/>
          <w:numId w:val="3"/>
        </w:numPr>
        <w:spacing w:after="80" w:line="300"/>
        <w:jc w:val="both"/>
      </w:pPr>
      <w:r>
        <w:t xml:space="preserve">Un bon peut être traité </w:t>
      </w:r>
      <w:r>
        <w:rPr>
          <w:b/>
          <w:bCs/>
        </w:rPr>
        <w:t xml:space="preserve">partiellement</w:t>
      </w:r>
      <w:r>
        <w:t xml:space="preserve">, mais un sous-bon doit être traité </w:t>
      </w:r>
      <w:r>
        <w:rPr>
          <w:b/>
          <w:bCs/>
        </w:rPr>
        <w:t xml:space="preserve">en totalité</w:t>
      </w:r>
      <w:r>
        <w:t xml:space="preserve">.</w:t>
      </w:r>
    </w:p>
    <w:p>
      <w:pPr>
        <w:pStyle w:val="ListParagraph"/>
        <w:numPr>
          <w:ilvl w:val="0"/>
          <w:numId w:val="3"/>
        </w:numPr>
        <w:spacing w:after="80" w:line="300"/>
        <w:jc w:val="both"/>
      </w:pPr>
      <w:r>
        <w:t xml:space="preserve">Un bon ou sous-bon n'est </w:t>
      </w:r>
      <w:r>
        <w:rPr>
          <w:b/>
          <w:bCs/>
        </w:rPr>
        <w:t xml:space="preserve">modifiable que tant qu'il n'est pas validé</w:t>
      </w:r>
      <w:r>
        <w:t xml:space="preserve">.</w:t>
      </w:r>
    </w:p>
    <w:p>
      <w:pPr>
        <w:pStyle w:val="ListParagraph"/>
        <w:numPr>
          <w:ilvl w:val="0"/>
          <w:numId w:val="3"/>
        </w:numPr>
        <w:spacing w:after="80" w:line="300"/>
        <w:jc w:val="both"/>
      </w:pPr>
      <w:r>
        <w:t xml:space="preserve">Les bons et sous-bons doivent être </w:t>
      </w:r>
      <w:r>
        <w:rPr>
          <w:b/>
          <w:bCs/>
        </w:rPr>
        <w:t xml:space="preserve">imprimés et signés</w:t>
      </w:r>
      <w:r>
        <w:t xml:space="preserve"> avant que le caissier ne procède au décaissement.</w:t>
      </w:r>
    </w:p>
    <w:p>
      <w:pPr>
        <w:pStyle w:val="ListParagraph"/>
        <w:numPr>
          <w:ilvl w:val="0"/>
          <w:numId w:val="3"/>
        </w:numPr>
        <w:spacing w:after="80" w:line="300"/>
        <w:jc w:val="both"/>
      </w:pPr>
      <w:r>
        <w:t xml:space="preserve">Lors de la création, le demandeur peut marquer un bon comme </w:t>
      </w:r>
      <w:r>
        <w:rPr>
          <w:b/>
          <w:bCs/>
        </w:rPr>
        <w:t xml:space="preserve">récurrent</w:t>
      </w:r>
      <w:r>
        <w:t xml:space="preserve">, ce qui active un bouton de renouvellement mensuel en un clic.</w:t>
      </w:r>
    </w:p>
    <w:p>
      <w:pPr>
        <w:pStyle w:val="Heading3"/>
        <w:spacing w:after="120" w:before="220"/>
      </w:pPr>
      <w:r>
        <w:t xml:space="preserve">1.2. Entités principales</w:t>
      </w:r>
    </w:p>
    <w:p>
      <w:pPr>
        <w:pStyle w:val="ListParagraph"/>
        <w:numPr>
          <w:ilvl w:val="0"/>
          <w:numId w:val="3"/>
        </w:numPr>
        <w:spacing w:after="80" w:line="300"/>
        <w:jc w:val="both"/>
      </w:pPr>
      <w:r>
        <w:t xml:space="preserve">Client, Fournisseur</w:t>
      </w:r>
    </w:p>
    <w:p>
      <w:pPr>
        <w:pStyle w:val="ListParagraph"/>
        <w:numPr>
          <w:ilvl w:val="0"/>
          <w:numId w:val="3"/>
        </w:numPr>
        <w:spacing w:after="80" w:line="300"/>
        <w:jc w:val="both"/>
      </w:pPr>
      <w:r>
        <w:t xml:space="preserve">Plan Comptable, CostCenter (Centre de coût)</w:t>
      </w:r>
    </w:p>
    <w:p>
      <w:pPr>
        <w:pStyle w:val="ListParagraph"/>
        <w:numPr>
          <w:ilvl w:val="0"/>
          <w:numId w:val="3"/>
        </w:numPr>
        <w:spacing w:after="80" w:line="300"/>
        <w:jc w:val="both"/>
      </w:pPr>
      <w:r>
        <w:t xml:space="preserve">Caisse, Devise, Portefeuille (Wallet)</w:t>
      </w:r>
    </w:p>
    <w:p>
      <w:pPr>
        <w:pStyle w:val="ListParagraph"/>
        <w:numPr>
          <w:ilvl w:val="0"/>
          <w:numId w:val="3"/>
        </w:numPr>
        <w:spacing w:after="80" w:line="300"/>
        <w:jc w:val="both"/>
      </w:pPr>
      <w:r>
        <w:t xml:space="preserve">Utilisateur, Rôle, Permission</w:t>
      </w:r>
    </w:p>
    <w:p>
      <w:pPr>
        <w:pStyle w:val="Heading3"/>
        <w:spacing w:after="120" w:before="220"/>
      </w:pPr>
      <w:r>
        <w:t xml:space="preserve">1.3. Opérations</w:t>
      </w:r>
    </w:p>
    <w:p>
      <w:pPr>
        <w:spacing w:after="120" w:line="300"/>
        <w:jc w:val="both"/>
      </w:pPr>
      <w:r>
        <w:t xml:space="preserve">Chaque opération est caractérisée par :</w:t>
      </w:r>
    </w:p>
    <w:p>
      <w:pPr>
        <w:pStyle w:val="ListParagraph"/>
        <w:numPr>
          <w:ilvl w:val="0"/>
          <w:numId w:val="3"/>
        </w:numPr>
        <w:spacing w:after="80" w:line="300"/>
        <w:jc w:val="both"/>
      </w:pPr>
      <w:r>
        <w:t xml:space="preserve">L'opération elle-même</w:t>
      </w:r>
    </w:p>
    <w:p>
      <w:pPr>
        <w:pStyle w:val="ListParagraph"/>
        <w:numPr>
          <w:ilvl w:val="0"/>
          <w:numId w:val="3"/>
        </w:numPr>
        <w:spacing w:after="80" w:line="300"/>
        <w:jc w:val="both"/>
      </w:pPr>
      <w:r>
        <w:t xml:space="preserve">La nature de l'opération</w:t>
      </w:r>
    </w:p>
    <w:p>
      <w:pPr>
        <w:pStyle w:val="ListParagraph"/>
        <w:numPr>
          <w:ilvl w:val="0"/>
          <w:numId w:val="3"/>
        </w:numPr>
        <w:spacing w:after="80" w:line="300"/>
        <w:jc w:val="both"/>
      </w:pPr>
      <w:r>
        <w:t xml:space="preserve">Le centre de coût associé (exemple : Achat Matériel Informatique)</w:t>
      </w:r>
    </w:p>
    <w:p>
      <w:pPr>
        <w:pStyle w:val="Heading3"/>
        <w:spacing w:after="120" w:before="220"/>
      </w:pPr>
      <w:r>
        <w:t xml:space="preserve">1.4. Gestion des caisses</w:t>
      </w:r>
    </w:p>
    <w:p>
      <w:pPr>
        <w:pStyle w:val="ListParagraph"/>
        <w:numPr>
          <w:ilvl w:val="0"/>
          <w:numId w:val="3"/>
        </w:numPr>
        <w:spacing w:after="80" w:line="300"/>
        <w:jc w:val="both"/>
      </w:pPr>
      <w:r>
        <w:t xml:space="preserve">Le système supporte </w:t>
      </w:r>
      <w:r>
        <w:rPr>
          <w:b/>
          <w:bCs/>
        </w:rPr>
        <w:t xml:space="preserve">plusieurs caisses dynamiques</w:t>
      </w:r>
      <w:r>
        <w:t xml:space="preserve"> et </w:t>
      </w:r>
      <w:r>
        <w:rPr>
          <w:b/>
          <w:bCs/>
        </w:rPr>
        <w:t xml:space="preserve">plusieurs devises</w:t>
      </w:r>
      <w:r>
        <w:t xml:space="preserve">.</w:t>
      </w:r>
    </w:p>
    <w:p>
      <w:pPr>
        <w:pStyle w:val="ListParagraph"/>
        <w:numPr>
          <w:ilvl w:val="0"/>
          <w:numId w:val="3"/>
        </w:numPr>
        <w:spacing w:after="80" w:line="300"/>
        <w:jc w:val="both"/>
      </w:pPr>
      <w:r>
        <w:t xml:space="preserve">Visualisation de tous les mouvements et opérations liés aux caisses et aux portefeuilles utilisateurs (rechargés depuis une caisse).</w:t>
      </w:r>
    </w:p>
    <w:p>
      <w:pPr>
        <w:pStyle w:val="ListParagraph"/>
        <w:numPr>
          <w:ilvl w:val="0"/>
          <w:numId w:val="3"/>
        </w:numPr>
        <w:spacing w:after="80" w:line="300"/>
        <w:jc w:val="both"/>
      </w:pPr>
      <w:r>
        <w:rPr>
          <w:b/>
          <w:bCs/>
        </w:rPr>
        <w:t xml:space="preserve">Périodes d'ouverture / fermeture de caisse</w:t>
      </w:r>
      <w:r>
        <w:t xml:space="preserve"> : un script planifié quotidien à 20h00 effectue la clôture automatique et transmet à SAP toutes les opérations de la journée sur les portefeuilles liés.</w:t>
      </w:r>
    </w:p>
    <w:p>
      <w:pPr>
        <w:pStyle w:val="ListParagraph"/>
        <w:numPr>
          <w:ilvl w:val="0"/>
          <w:numId w:val="3"/>
        </w:numPr>
        <w:spacing w:after="80" w:line="300"/>
        <w:jc w:val="both"/>
      </w:pPr>
      <w:r>
        <w:t xml:space="preserve">La </w:t>
      </w:r>
      <w:r>
        <w:rPr>
          <w:b/>
          <w:bCs/>
        </w:rPr>
        <w:t xml:space="preserve">déclôture est manuelle</w:t>
      </w:r>
      <w:r>
        <w:t xml:space="preserve">, effectuée depuis le panel du caissier.</w:t>
      </w:r>
    </w:p>
    <w:p>
      <w:pPr>
        <w:pStyle w:val="ListParagraph"/>
        <w:numPr>
          <w:ilvl w:val="0"/>
          <w:numId w:val="3"/>
        </w:numPr>
        <w:spacing w:after="80" w:line="300"/>
        <w:jc w:val="both"/>
      </w:pPr>
      <w:r>
        <w:t xml:space="preserve">Lorsqu'une caisse principale est clôturée, il est impossible de : soumettre une opération sur un portefeuille rattaché, créer une demande de bon, ou décaisser un bon ou sous-bon sur cette caisse.</w:t>
      </w:r>
    </w:p>
    <w:p>
      <w:pPr>
        <w:pStyle w:val="ListParagraph"/>
        <w:numPr>
          <w:ilvl w:val="0"/>
          <w:numId w:val="3"/>
        </w:numPr>
        <w:spacing w:after="80" w:line="300"/>
        <w:jc w:val="both"/>
      </w:pPr>
      <w:r>
        <w:t xml:space="preserve">Les opérations entre caisses ne sont possibles qu'entre </w:t>
      </w:r>
      <w:r>
        <w:rPr>
          <w:b/>
          <w:bCs/>
        </w:rPr>
        <w:t xml:space="preserve">deux caisses ouvertes</w:t>
      </w:r>
      <w:r>
        <w:t xml:space="preserve">.</w:t>
      </w:r>
    </w:p>
    <w:p>
      <w:pPr>
        <w:pStyle w:val="Heading3"/>
        <w:spacing w:after="120" w:before="220"/>
      </w:pPr>
      <w:r>
        <w:t xml:space="preserve">1.5. Utilisateurs et rôles</w:t>
      </w:r>
    </w:p>
    <w:p>
      <w:pPr>
        <w:spacing w:after="80"/>
        <w:jc w:val="both"/>
      </w:pPr>
      <w:r>
        <w:t xml:space="preserve">**Rôles métier prédéfinis :**</w:t>
      </w:r>
    </w:p>
    <w:p>
      <w:pPr>
        <w:pStyle w:val="ListParagraph"/>
        <w:numPr>
          <w:ilvl w:val="0"/>
          <w:numId w:val="3"/>
        </w:numPr>
        <w:spacing w:after="80" w:line="300"/>
        <w:jc w:val="both"/>
      </w:pPr>
      <w:r>
        <w:t xml:space="preserve">Directeur Général</w:t>
      </w:r>
    </w:p>
    <w:p>
      <w:pPr>
        <w:pStyle w:val="ListParagraph"/>
        <w:numPr>
          <w:ilvl w:val="0"/>
          <w:numId w:val="3"/>
        </w:numPr>
        <w:spacing w:after="80" w:line="300"/>
        <w:jc w:val="both"/>
      </w:pPr>
      <w:r>
        <w:t xml:space="preserve">Directeur Adjoint</w:t>
      </w:r>
    </w:p>
    <w:p>
      <w:pPr>
        <w:pStyle w:val="ListParagraph"/>
        <w:numPr>
          <w:ilvl w:val="0"/>
          <w:numId w:val="3"/>
        </w:numPr>
        <w:spacing w:after="80" w:line="300"/>
        <w:jc w:val="both"/>
      </w:pPr>
      <w:r>
        <w:t xml:space="preserve">Directeur</w:t>
      </w:r>
    </w:p>
    <w:p>
      <w:pPr>
        <w:pStyle w:val="ListParagraph"/>
        <w:numPr>
          <w:ilvl w:val="0"/>
          <w:numId w:val="3"/>
        </w:numPr>
        <w:spacing w:after="80" w:line="300"/>
        <w:jc w:val="both"/>
      </w:pPr>
      <w:r>
        <w:t xml:space="preserve">Chef de Département</w:t>
      </w:r>
    </w:p>
    <w:p>
      <w:pPr>
        <w:pStyle w:val="ListParagraph"/>
        <w:numPr>
          <w:ilvl w:val="0"/>
          <w:numId w:val="3"/>
        </w:numPr>
        <w:spacing w:after="80" w:line="300"/>
        <w:jc w:val="both"/>
      </w:pPr>
      <w:r>
        <w:t xml:space="preserve">Secrétaire</w:t>
      </w:r>
    </w:p>
    <w:p>
      <w:pPr>
        <w:pStyle w:val="ListParagraph"/>
        <w:numPr>
          <w:ilvl w:val="0"/>
          <w:numId w:val="3"/>
        </w:numPr>
        <w:spacing w:after="80" w:line="300"/>
        <w:jc w:val="both"/>
      </w:pPr>
      <w:r>
        <w:t xml:space="preserve">Demandeur</w:t>
      </w:r>
    </w:p>
    <w:p>
      <w:pPr>
        <w:pStyle w:val="ListParagraph"/>
        <w:numPr>
          <w:ilvl w:val="0"/>
          <w:numId w:val="3"/>
        </w:numPr>
        <w:spacing w:after="80" w:line="300"/>
        <w:jc w:val="both"/>
      </w:pPr>
      <w:r>
        <w:t xml:space="preserve">Caissier</w:t>
      </w:r>
    </w:p>
    <w:p>
      <w:pPr>
        <w:spacing w:after="80"/>
      </w:pPr>
      <w:r>
        <w:t xml:space="preserve"> </w:t>
      </w:r>
    </w:p>
    <w:p>
      <w:pPr>
        <w:spacing w:after="80"/>
        <w:jc w:val="both"/>
      </w:pPr>
      <w:r>
        <w:t xml:space="preserve">**Hiérarchie technique :**</w:t>
      </w:r>
    </w:p>
    <w:p>
      <w:pPr>
        <w:pStyle w:val="ListParagraph"/>
        <w:numPr>
          <w:ilvl w:val="0"/>
          <w:numId w:val="3"/>
        </w:numPr>
        <w:spacing w:after="80" w:line="300"/>
        <w:jc w:val="both"/>
      </w:pPr>
      <w:r>
        <w:rPr>
          <w:b/>
          <w:bCs/>
        </w:rPr>
        <w:t xml:space="preserve">SuperAdmin</w:t>
      </w:r>
      <w:r>
        <w:t xml:space="preserve"> : possède toutes les autorisations ; peut créer dynamiquement des rôles et permissions depuis un back-office dédié.</w:t>
      </w:r>
    </w:p>
    <w:p>
      <w:pPr>
        <w:pStyle w:val="ListParagraph"/>
        <w:numPr>
          <w:ilvl w:val="0"/>
          <w:numId w:val="3"/>
        </w:numPr>
        <w:spacing w:after="80" w:line="300"/>
        <w:jc w:val="both"/>
      </w:pPr>
      <w:r>
        <w:t xml:space="preserve">Un SuperAdmin peut ajouter un autre SuperAdmin, dont les droits restent limités par les permissions accordées.</w:t>
      </w:r>
    </w:p>
    <w:p>
      <w:pPr>
        <w:pStyle w:val="ListParagraph"/>
        <w:numPr>
          <w:ilvl w:val="0"/>
          <w:numId w:val="3"/>
        </w:numPr>
        <w:spacing w:after="80" w:line="300"/>
        <w:jc w:val="both"/>
      </w:pPr>
      <w:r>
        <w:rPr>
          <w:b/>
          <w:bCs/>
        </w:rPr>
        <w:t xml:space="preserve">Admin</w:t>
      </w:r>
      <w:r>
        <w:t xml:space="preserve"> : utilisateur disposant de permissions configurables.</w:t>
      </w:r>
    </w:p>
    <w:p>
      <w:pPr>
        <w:spacing w:after="80"/>
      </w:pPr>
      <w:r>
        <w:t xml:space="preserve"> </w:t>
      </w:r>
    </w:p>
    <w:p>
      <w:pPr>
        <w:spacing w:after="80"/>
        <w:jc w:val="both"/>
      </w:pPr>
      <w:r>
        <w:t xml:space="preserve">**Permissions associées (exemples) :**</w:t>
      </w:r>
    </w:p>
    <w:p>
      <w:pPr>
        <w:pStyle w:val="ListParagraph"/>
        <w:numPr>
          <w:ilvl w:val="0"/>
          <w:numId w:val="3"/>
        </w:numPr>
        <w:spacing w:after="80" w:line="300"/>
        <w:jc w:val="both"/>
      </w:pPr>
      <w:r>
        <w:t xml:space="preserve">Bon à valider, bon à signer</w:t>
      </w:r>
    </w:p>
    <w:p>
      <w:pPr>
        <w:pStyle w:val="ListParagraph"/>
        <w:numPr>
          <w:ilvl w:val="0"/>
          <w:numId w:val="3"/>
        </w:numPr>
        <w:spacing w:after="80" w:line="300"/>
        <w:jc w:val="both"/>
      </w:pPr>
      <w:r>
        <w:t xml:space="preserve">Autorisation par caisse</w:t>
      </w:r>
    </w:p>
    <w:p>
      <w:pPr>
        <w:pStyle w:val="ListParagraph"/>
        <w:numPr>
          <w:ilvl w:val="0"/>
          <w:numId w:val="3"/>
        </w:numPr>
        <w:spacing w:after="80" w:line="300"/>
        <w:jc w:val="both"/>
      </w:pPr>
      <w:r>
        <w:t xml:space="preserve">Autorisation sur chaque bouton de l'interface</w:t>
      </w:r>
    </w:p>
    <w:p>
      <w:pPr>
        <w:pStyle w:val="ListParagraph"/>
        <w:numPr>
          <w:ilvl w:val="0"/>
          <w:numId w:val="3"/>
        </w:numPr>
        <w:spacing w:after="80" w:line="300"/>
        <w:jc w:val="both"/>
      </w:pPr>
      <w:r>
        <w:t xml:space="preserve">Traitement des sous-bons et impression des bons</w:t>
      </w:r>
    </w:p>
    <w:p>
      <w:pPr>
        <w:pStyle w:val="Heading3"/>
        <w:spacing w:after="120" w:before="220"/>
      </w:pPr>
      <w:r>
        <w:t xml:space="preserve">1.6. Système d'intérim</w:t>
      </w:r>
    </w:p>
    <w:p>
      <w:pPr>
        <w:pStyle w:val="ListParagraph"/>
        <w:numPr>
          <w:ilvl w:val="0"/>
          <w:numId w:val="3"/>
        </w:numPr>
        <w:spacing w:after="80" w:line="300"/>
        <w:jc w:val="both"/>
      </w:pPr>
      <w:r>
        <w:t xml:space="preserve">Un utilisateur peut soumettre un intérim à un collègue, en précisant : un intervalle de dates obligatoire, un commentaire, et un utilisateur cible choisi parmi ceux ayant le même rôle ou les mêmes permissions de signature.</w:t>
      </w:r>
    </w:p>
    <w:p>
      <w:pPr>
        <w:pStyle w:val="ListParagraph"/>
        <w:numPr>
          <w:ilvl w:val="0"/>
          <w:numId w:val="3"/>
        </w:numPr>
        <w:spacing w:after="80" w:line="300"/>
        <w:jc w:val="both"/>
      </w:pPr>
      <w:r>
        <w:t xml:space="preserve">Tous les bons créés par la personne désignée pendant l'intérim doivent </w:t>
      </w:r>
      <w:r>
        <w:rPr>
          <w:b/>
          <w:bCs/>
        </w:rPr>
        <w:t xml:space="preserve">apparaître chez l'initiateur de l'intérim</w:t>
      </w:r>
      <w:r>
        <w:t xml:space="preserve">.</w:t>
      </w:r>
    </w:p>
    <w:p>
      <w:pPr>
        <w:pStyle w:val="Heading3"/>
        <w:spacing w:after="120" w:before="220"/>
      </w:pPr>
      <w:r>
        <w:t xml:space="preserve">1.7. Workflow de validation</w:t>
      </w:r>
    </w:p>
    <w:p>
      <w:pPr>
        <w:pStyle w:val="ListParagraph"/>
        <w:numPr>
          <w:ilvl w:val="0"/>
          <w:numId w:val="3"/>
        </w:numPr>
        <w:spacing w:after="80" w:line="300"/>
        <w:jc w:val="both"/>
      </w:pPr>
      <w:r>
        <w:t xml:space="preserve">Toute demande doit être </w:t>
      </w:r>
      <w:r>
        <w:rPr>
          <w:b/>
          <w:bCs/>
        </w:rPr>
        <w:t xml:space="preserve">validée d'abord par le ou les signataires de la même direction</w:t>
      </w:r>
      <w:r>
        <w:t xml:space="preserve">.</w:t>
      </w:r>
    </w:p>
    <w:p>
      <w:pPr>
        <w:pStyle w:val="ListParagraph"/>
        <w:numPr>
          <w:ilvl w:val="0"/>
          <w:numId w:val="3"/>
        </w:numPr>
        <w:spacing w:after="80" w:line="300"/>
        <w:jc w:val="both"/>
      </w:pPr>
      <w:r>
        <w:t xml:space="preserve">Si un utilisateur ayant le rôle de </w:t>
      </w:r>
      <w:r>
        <w:rPr>
          <w:b/>
          <w:bCs/>
        </w:rPr>
        <w:t xml:space="preserve">signataire</w:t>
      </w:r>
      <w:r>
        <w:t xml:space="preserve"> crée lui-même un bon, ce dernier est </w:t>
      </w:r>
      <w:r>
        <w:rPr>
          <w:b/>
          <w:bCs/>
        </w:rPr>
        <w:t xml:space="preserve">automatiquement validé</w:t>
      </w:r>
      <w:r>
        <w:t xml:space="preserve">.</w:t>
      </w:r>
    </w:p>
    <w:p>
      <w:pPr>
        <w:pStyle w:val="Heading3"/>
        <w:spacing w:after="120" w:before="220"/>
      </w:pPr>
      <w:r>
        <w:t xml:space="preserve">1.8. Transferts et gestion des devises</w:t>
      </w:r>
    </w:p>
    <w:p>
      <w:pPr>
        <w:pStyle w:val="ListParagraph"/>
        <w:numPr>
          <w:ilvl w:val="0"/>
          <w:numId w:val="3"/>
        </w:numPr>
        <w:spacing w:after="80" w:line="300"/>
        <w:jc w:val="both"/>
      </w:pPr>
      <w:r>
        <w:t xml:space="preserve">Possibilité de réaliser des transferts depuis une caisse principale vers un portefeuille budgétaire dédié à un utilisateur ou à une direction.</w:t>
      </w:r>
    </w:p>
    <w:p>
      <w:pPr>
        <w:pStyle w:val="ListParagraph"/>
        <w:numPr>
          <w:ilvl w:val="0"/>
          <w:numId w:val="3"/>
        </w:numPr>
        <w:spacing w:after="80" w:line="300"/>
        <w:jc w:val="both"/>
      </w:pPr>
      <w:r>
        <w:t xml:space="preserve">En cas de transfert entre devises différentes, le système utilise un </w:t>
      </w:r>
      <w:r>
        <w:rPr>
          <w:b/>
          <w:bCs/>
        </w:rPr>
        <w:t xml:space="preserve">taux d'échange fixe en base de données</w:t>
      </w:r>
      <w:r>
        <w:t xml:space="preserve">, complété par des </w:t>
      </w:r>
      <w:r>
        <w:rPr>
          <w:b/>
          <w:bCs/>
        </w:rPr>
        <w:t xml:space="preserve">API externes de taux de change</w:t>
      </w:r>
      <w:r>
        <w:t xml:space="preserve">.</w:t>
      </w:r>
    </w:p>
    <w:p>
      <w:pPr>
        <w:pStyle w:val="ListParagraph"/>
        <w:numPr>
          <w:ilvl w:val="0"/>
          <w:numId w:val="3"/>
        </w:numPr>
        <w:spacing w:after="80" w:line="300"/>
        <w:jc w:val="both"/>
      </w:pPr>
      <w:r>
        <w:t xml:space="preserve">Deux comptes spécifiques doivent exister : un </w:t>
      </w:r>
      <w:r>
        <w:rPr>
          <w:b/>
          <w:bCs/>
        </w:rPr>
        <w:t xml:space="preserve">compte de gain</w:t>
      </w:r>
      <w:r>
        <w:t xml:space="preserve"> et un </w:t>
      </w:r>
      <w:r>
        <w:rPr>
          <w:b/>
          <w:bCs/>
        </w:rPr>
        <w:t xml:space="preserve">compte de perte de change</w:t>
      </w:r>
      <w:r>
        <w:t xml:space="preserve">.</w:t>
      </w:r>
    </w:p>
    <w:p>
      <w:pPr>
        <w:pStyle w:val="ListParagraph"/>
        <w:numPr>
          <w:ilvl w:val="0"/>
          <w:numId w:val="3"/>
        </w:numPr>
        <w:spacing w:after="80" w:line="300"/>
        <w:jc w:val="both"/>
      </w:pPr>
      <w:r>
        <w:t xml:space="preserve">Le montant de gain ou de perte est calculé en fonction de l'opération effectuée.</w:t>
      </w:r>
    </w:p>
    <w:p>
      <w:pPr>
        <w:pStyle w:val="Heading3"/>
        <w:spacing w:after="120" w:before="220"/>
      </w:pPr>
      <w:r>
        <w:t xml:space="preserve">1.9. Décaissement et rôle du caissier</w:t>
      </w:r>
    </w:p>
    <w:p>
      <w:pPr>
        <w:spacing w:after="120" w:line="300"/>
        <w:jc w:val="both"/>
      </w:pPr>
      <w:r>
        <w:t xml:space="preserve">Le caissier a accès à :</w:t>
      </w:r>
    </w:p>
    <w:p>
      <w:pPr>
        <w:pStyle w:val="ListParagraph"/>
        <w:numPr>
          <w:ilvl w:val="0"/>
          <w:numId w:val="3"/>
        </w:numPr>
        <w:spacing w:after="80" w:line="300"/>
        <w:jc w:val="both"/>
      </w:pPr>
      <w:r>
        <w:t xml:space="preserve">L'ensemble des opérations de décaissement effectuées sur les bons</w:t>
      </w:r>
    </w:p>
    <w:p>
      <w:pPr>
        <w:pStyle w:val="ListParagraph"/>
        <w:numPr>
          <w:ilvl w:val="0"/>
          <w:numId w:val="3"/>
        </w:numPr>
        <w:spacing w:after="80" w:line="300"/>
        <w:jc w:val="both"/>
      </w:pPr>
      <w:r>
        <w:t xml:space="preserve">Les portefeuilles rattachés</w:t>
      </w:r>
    </w:p>
    <w:p>
      <w:pPr>
        <w:pStyle w:val="ListParagraph"/>
        <w:numPr>
          <w:ilvl w:val="0"/>
          <w:numId w:val="3"/>
        </w:numPr>
        <w:spacing w:after="80" w:line="300"/>
        <w:jc w:val="both"/>
      </w:pPr>
      <w:r>
        <w:t xml:space="preserve">L'identité de la personne ayant récupéré l'argent au moment du décaissement</w:t>
      </w:r>
    </w:p>
    <w:p>
      <w:pPr>
        <w:spacing w:after="120" w:line="300"/>
        <w:jc w:val="both"/>
      </w:pPr>
      <w:r>
        <w:t xml:space="preserve">Après validation, il procède au décaissement du bon.</w:t>
      </w:r>
    </w:p>
    <w:p>
      <w:pPr>
        <w:spacing w:after="120" w:line="300"/>
        <w:jc w:val="both"/>
      </w:pPr>
      <w:r>
        <w:t xml:space="preserve">**Données collectées par bon :** numéro client, code de manutention, montant à payer à la place du client (défini dans SAP et stocké en base).</w:t>
      </w:r>
    </w:p>
    <w:p>
      <w:pPr>
        <w:pStyle w:val="Heading3"/>
        <w:spacing w:after="120" w:before="220"/>
      </w:pPr>
      <w:r>
        <w:t xml:space="preserve">1.10. Table « Bon de Caisse » (duplication au décaissement)</w:t>
      </w:r>
    </w:p>
    <w:p>
      <w:pPr>
        <w:spacing w:after="120" w:line="300"/>
        <w:jc w:val="both"/>
      </w:pPr>
      <w:r>
        <w:t xml:space="preserve">Une table dédiée « Bon de Caisse » doit être créée. Lors du décaissement :</w:t>
      </w:r>
    </w:p>
    <w:p>
      <w:pPr>
        <w:pStyle w:val="ListParagraph"/>
        <w:numPr>
          <w:ilvl w:val="0"/>
          <w:numId w:val="3"/>
        </w:numPr>
        <w:spacing w:after="80" w:line="300"/>
        <w:jc w:val="both"/>
      </w:pPr>
      <w:r>
        <w:t xml:space="preserve">Le bon ou sous-bon est </w:t>
      </w:r>
      <w:r>
        <w:rPr>
          <w:b/>
          <w:bCs/>
        </w:rPr>
        <w:t xml:space="preserve">dupliqué</w:t>
      </w:r>
      <w:r>
        <w:t xml:space="preserve"> dans cette table.</w:t>
      </w:r>
    </w:p>
    <w:p>
      <w:pPr>
        <w:pStyle w:val="ListParagraph"/>
        <w:numPr>
          <w:ilvl w:val="0"/>
          <w:numId w:val="3"/>
        </w:numPr>
        <w:spacing w:after="80" w:line="300"/>
        <w:jc w:val="both"/>
      </w:pPr>
      <w:r>
        <w:t xml:space="preserve">Le caissier peut, s'il le souhaite, </w:t>
      </w:r>
      <w:r>
        <w:rPr>
          <w:b/>
          <w:bCs/>
        </w:rPr>
        <w:t xml:space="preserve">modifier le contenu</w:t>
      </w:r>
      <w:r>
        <w:t xml:space="preserve"> du bon dupliqué.</w:t>
      </w:r>
    </w:p>
    <w:p>
      <w:pPr>
        <w:pStyle w:val="ListParagraph"/>
        <w:numPr>
          <w:ilvl w:val="0"/>
          <w:numId w:val="3"/>
        </w:numPr>
        <w:spacing w:after="80" w:line="300"/>
        <w:jc w:val="both"/>
      </w:pPr>
      <w:r>
        <w:t xml:space="preserve">Il </w:t>
      </w:r>
      <w:r>
        <w:rPr>
          <w:b/>
          <w:bCs/>
        </w:rPr>
        <w:t xml:space="preserve">enregistre</w:t>
      </w:r>
      <w:r>
        <w:t xml:space="preserve"> les modifications </w:t>
      </w:r>
      <w:r>
        <w:rPr>
          <w:b/>
          <w:bCs/>
        </w:rPr>
        <w:t xml:space="preserve">avant</w:t>
      </w:r>
      <w:r>
        <w:t xml:space="preserve"> de procéder au décaissement effectif.</w:t>
      </w:r>
    </w:p>
    <w:p>
      <w:pPr>
        <w:pStyle w:val="Heading2"/>
        <w:spacing w:after="160" w:before="280"/>
      </w:pPr>
      <w:r>
        <w:t xml:space="preserve">2. Module Mobile</w:t>
      </w:r>
    </w:p>
    <w:p>
      <w:pPr>
        <w:spacing w:after="120" w:line="300"/>
        <w:jc w:val="both"/>
      </w:pPr>
      <w:r>
        <w:t xml:space="preserve">L'application mobile permet de :</w:t>
      </w:r>
    </w:p>
    <w:p>
      <w:pPr>
        <w:pStyle w:val="ListParagraph"/>
        <w:numPr>
          <w:ilvl w:val="0"/>
          <w:numId w:val="3"/>
        </w:numPr>
        <w:spacing w:after="80" w:line="300"/>
        <w:jc w:val="both"/>
      </w:pPr>
      <w:r>
        <w:t xml:space="preserve">Créer une demande de bon</w:t>
      </w:r>
    </w:p>
    <w:p>
      <w:pPr>
        <w:pStyle w:val="ListParagraph"/>
        <w:numPr>
          <w:ilvl w:val="0"/>
          <w:numId w:val="3"/>
        </w:numPr>
        <w:spacing w:after="80" w:line="300"/>
        <w:jc w:val="both"/>
      </w:pPr>
      <w:r>
        <w:t xml:space="preserve">Valider un bon</w:t>
      </w:r>
    </w:p>
    <w:p>
      <w:pPr>
        <w:pStyle w:val="ListParagraph"/>
        <w:numPr>
          <w:ilvl w:val="0"/>
          <w:numId w:val="3"/>
        </w:numPr>
        <w:spacing w:after="80" w:line="300"/>
        <w:jc w:val="both"/>
      </w:pPr>
      <w:r>
        <w:t xml:space="preserve">Marquer un bon comme récurrent pour bénéficier du renouvellement mensuel en un clic</w:t>
      </w:r>
    </w:p>
    <w:p>
      <w:r>
        <w:br w:type="page"/>
      </w:r>
    </w:p>
    <w:p>
      <w:pPr>
        <w:pStyle w:val="Heading1"/>
        <w:spacing w:after="200" w:before="360"/>
      </w:pPr>
      <w:r>
        <w:t xml:space="preserve">Partie II — Modèle Conceptuel de Données</w:t>
      </w:r>
    </w:p>
    <w:p>
      <w:pPr>
        <w:spacing w:after="120" w:line="300"/>
        <w:jc w:val="both"/>
      </w:pPr>
      <w:r>
        <w:t xml:space="preserve">Le modèle est organisé en cinq grands domaines fonctionnels, chacun regroupant les entités qui partagent un objectif métier commun. Cette structuration facilite la modélisation, le découpage en modules applicatifs, et la répartition du travail entre développeurs.</w:t>
      </w:r>
    </w:p>
    <w:p>
      <w:pPr>
        <w:pStyle w:val="Heading2"/>
        <w:spacing w:after="160" w:before="280"/>
      </w:pPr>
      <w:r>
        <w:t xml:space="preserve">Cartographie des cinq domaines</w:t>
      </w:r>
    </w:p>
    <w:p>
      <w:pPr>
        <w:pStyle w:val="ListParagraph"/>
        <w:numPr>
          <w:ilvl w:val="0"/>
          <w:numId w:val="3"/>
        </w:numPr>
        <w:spacing w:after="80" w:line="300"/>
        <w:jc w:val="both"/>
      </w:pPr>
      <w:r>
        <w:rPr>
          <w:b/>
          <w:bCs/>
        </w:rPr>
        <w:t xml:space="preserve">Domaine 1 — Sécurité &amp; Utilisateurs</w:t>
      </w:r>
      <w:r>
        <w:t xml:space="preserve"> : Utilisateur, Rôle, Permission, Direction, Intérim, ainsi que les tables de liaison RolePermission et UserRole. Gère les accès et délégations.</w:t>
      </w:r>
    </w:p>
    <w:p>
      <w:pPr>
        <w:pStyle w:val="ListParagraph"/>
        <w:numPr>
          <w:ilvl w:val="0"/>
          <w:numId w:val="3"/>
        </w:numPr>
        <w:spacing w:after="80" w:line="300"/>
        <w:jc w:val="both"/>
      </w:pPr>
      <w:r>
        <w:rPr>
          <w:b/>
          <w:bCs/>
        </w:rPr>
        <w:t xml:space="preserve">Domaine 2 — Référentiel métier</w:t>
      </w:r>
      <w:r>
        <w:t xml:space="preserve"> : Client, Fournisseur, Plan Comptable, CostCenter, Nature d'opération. Données de base partagées par l'ensemble du système.</w:t>
      </w:r>
    </w:p>
    <w:p>
      <w:pPr>
        <w:pStyle w:val="ListParagraph"/>
        <w:numPr>
          <w:ilvl w:val="0"/>
          <w:numId w:val="3"/>
        </w:numPr>
        <w:spacing w:after="80" w:line="300"/>
        <w:jc w:val="both"/>
      </w:pPr>
      <w:r>
        <w:rPr>
          <w:b/>
          <w:bCs/>
        </w:rPr>
        <w:t xml:space="preserve">Domaine 3 — Financier</w:t>
      </w:r>
      <w:r>
        <w:t xml:space="preserve"> : Caisse, Devise, Portefeuille, TauxÉchange, Compte de gain et de perte de change, Session de caisse. Trésorerie multi-devises.</w:t>
      </w:r>
    </w:p>
    <w:p>
      <w:pPr>
        <w:pStyle w:val="ListParagraph"/>
        <w:numPr>
          <w:ilvl w:val="0"/>
          <w:numId w:val="3"/>
        </w:numPr>
        <w:spacing w:after="80" w:line="300"/>
        <w:jc w:val="both"/>
      </w:pPr>
      <w:r>
        <w:rPr>
          <w:b/>
          <w:bCs/>
        </w:rPr>
        <w:t xml:space="preserve">Domaine 4 — Transactionnel</w:t>
      </w:r>
      <w:r>
        <w:t xml:space="preserve"> : Bon, SousBon, BonDeCaisse, Opération, Transfert, Décaissement, Validation. Cœur du workflow de l'application.</w:t>
      </w:r>
    </w:p>
    <w:p>
      <w:pPr>
        <w:pStyle w:val="ListParagraph"/>
        <w:numPr>
          <w:ilvl w:val="0"/>
          <w:numId w:val="3"/>
        </w:numPr>
        <w:spacing w:after="80" w:line="300"/>
        <w:jc w:val="both"/>
      </w:pPr>
      <w:r>
        <w:rPr>
          <w:b/>
          <w:bCs/>
        </w:rPr>
        <w:t xml:space="preserve">Domaine 5 — Intégration &amp; Audit</w:t>
      </w:r>
      <w:r>
        <w:t xml:space="preserve"> : LogSAP, Historique de clôture, Journal d'audit, Planification de récurrence. Assure la traçabilité et la synchronisation.</w:t>
      </w:r>
    </w:p>
    <w:p>
      <w:pPr>
        <w:pStyle w:val="Heading2"/>
        <w:spacing w:after="160" w:before="280"/>
      </w:pPr>
      <w:r>
        <w:t xml:space="preserve">Domaine 1 — Sécurité et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Entité</w:t>
            </w:r>
          </w:p>
        </w:tc>
        <w:tc>
          <w:tcPr>
            <w:tcW w:type="dxa" w:w="6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Attributs principaux</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Utilisateur</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matricule, nom, prénom, email, téléphone, motDePasse, actif, direction_id, dateCréation</w:t>
            </w:r>
          </w:p>
        </w:tc>
      </w:tr>
      <w:tr>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Direction</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code, libellé, description</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Rôle</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code, libellé, description, estSystème (DG, Directeur, Chef Dept, Secrétaire, Demandeur, Caissier, SuperAdmin, Admin)</w:t>
            </w:r>
          </w:p>
        </w:tc>
      </w:tr>
      <w:tr>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Permission</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code, libellé, module, description (ex. BON_VALIDER, BON_SIGNER, CAISSE_OUVRIR, BOUTON_DECAISSER)</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UserRole</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utilisateur_id, rôle_id, dateAttribution</w:t>
            </w:r>
          </w:p>
        </w:tc>
      </w:tr>
      <w:tr>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RolePermission</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rôle_id, permission_id</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UserCaisseAccess</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utilisateur_id, caisse_id, niveauAccès (autorisation par caisse)</w:t>
            </w:r>
          </w:p>
        </w:tc>
      </w:tr>
      <w:tr>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Intérim</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initiateur_id, remplaçant_id, dateDébut, dateFin, commentaire, statut, permission_id</w:t>
            </w:r>
          </w:p>
        </w:tc>
      </w:tr>
    </w:tbl>
    <w:p>
      <w:pPr>
        <w:spacing w:after="80"/>
      </w:pPr>
      <w:r>
        <w:t xml:space="preserve"> </w:t>
      </w:r>
    </w:p>
    <w:p>
      <w:pPr>
        <w:pStyle w:val="Heading2"/>
        <w:spacing w:after="160" w:before="280"/>
      </w:pPr>
      <w:r>
        <w:t xml:space="preserve">Domaine 2 — Référentiel métier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Entité</w:t>
            </w:r>
          </w:p>
        </w:tc>
        <w:tc>
          <w:tcPr>
            <w:tcW w:type="dxa" w:w="6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Attributs principaux</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Client</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numéroClient, raisonSociale, adresse, téléphone, email, actif</w:t>
            </w:r>
          </w:p>
        </w:tc>
      </w:tr>
      <w:tr>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Fournisseur</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code, raisonSociale, adresse, téléphone, email, actif</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PlanComptable</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numéroCompte, libellé, type, parent_id</w:t>
            </w:r>
          </w:p>
        </w:tc>
      </w:tr>
      <w:tr>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CostCenter</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code, libellé, direction_id, actif</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NatureOpération</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code, libellé, costCenter_id, planComptable_id (ex. : Achat Mat. Informatique)</w:t>
            </w:r>
          </w:p>
        </w:tc>
      </w:tr>
    </w:tbl>
    <w:p>
      <w:pPr>
        <w:spacing w:after="80"/>
      </w:pPr>
      <w:r>
        <w:t xml:space="preserve"> </w:t>
      </w:r>
    </w:p>
    <w:p>
      <w:pPr>
        <w:pStyle w:val="Heading2"/>
        <w:spacing w:after="160" w:before="280"/>
      </w:pPr>
      <w:r>
        <w:t xml:space="preserve">Domaine 3 — Financier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Entité</w:t>
            </w:r>
          </w:p>
        </w:tc>
        <w:tc>
          <w:tcPr>
            <w:tcW w:type="dxa" w:w="6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Attributs principaux</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Devise</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code (XOF, EUR, USD), libellé, symbole</w:t>
            </w:r>
          </w:p>
        </w:tc>
      </w:tr>
      <w:tr>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TauxÉchange</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devise_source_id, devise_cible_id, taux, dateValidité, source (FIXE_DB / API)</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Caisse</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code, libellé, devise_id, soldeActuel, estPrincipale, caissier_id, statut (OUVERTE / FERMÉE)</w:t>
            </w:r>
          </w:p>
        </w:tc>
      </w:tr>
      <w:tr>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SessionCaisse</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caisse_id, dateOuverture, dateClôture, soldeOuverture, soldeClôture, clôturéPar_id, typeClôture (AUTO_20H / MANUEL)</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Portefeuille (Wallet)</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code, libellé, caisseSource_id, devise_id, solde, propriétaire_type (USER / DIRECTION), propriétaire_id, actif</w:t>
            </w:r>
          </w:p>
        </w:tc>
      </w:tr>
      <w:tr>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CompteGainChange</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devise_id, solde, description</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ComptePerteChange</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devise_id, solde, description</w:t>
            </w:r>
          </w:p>
        </w:tc>
      </w:tr>
    </w:tbl>
    <w:p>
      <w:pPr>
        <w:spacing w:after="80"/>
      </w:pPr>
      <w:r>
        <w:t xml:space="preserve"> </w:t>
      </w:r>
    </w:p>
    <w:p>
      <w:pPr>
        <w:pStyle w:val="Heading2"/>
        <w:spacing w:after="160" w:before="280"/>
      </w:pPr>
      <w:r>
        <w:t xml:space="preserve">Domaine 4 — Transactionnel (cœur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Entité</w:t>
            </w:r>
          </w:p>
        </w:tc>
        <w:tc>
          <w:tcPr>
            <w:tcW w:type="dxa" w:w="6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Attributs principaux</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Bon</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numéro, dateCréation, demandeur_id, créépar_intérim_id, client_id, fournisseur_id, numéroClient, codeManutention, montantTotal, montantÀPayerClient, devise_id, portefeuille_id, statut, estRécurrent, fréquenceRécurrence, prochainRenouvellement, bonParent_id</w:t>
            </w:r>
          </w:p>
        </w:tc>
      </w:tr>
      <w:tr>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SousBon</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bon_id, numéroSousBon, libellé, montant, natureOpération_id, costCenter_id, statut (indépendant du bon), dateDécaissement</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BonDeCaisse</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bonSource_id, sousBonSource_id, caissier_id, dateDuplication, contenuModifié (JSON), dateDécaissement, bénéficiaire, statut</w:t>
            </w:r>
          </w:p>
        </w:tc>
      </w:tr>
      <w:tr>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ValidationBon</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bon_id ou sousBon_id, validateur_id, dateValidation, niveauValidation, action (VALIDÉ / REFUSÉ / SIGNÉ), commentaire</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Décaissement</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bonDeCaisse_id, caissier_id, bénéficiaire_nom, bénéficiaire_pièce, montant, dateDécaissement, portefeuille_id</w:t>
            </w:r>
          </w:p>
        </w:tc>
      </w:tr>
      <w:tr>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Opération</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type (RECHARGE, DÉCAISSEMENT, TRANSFERT, AJUSTEMENT), caisse_id, portefeuille_id, montant, devise_id, dateOpération, utilisateur_id, référence</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Transfert</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caisseSource_id, caisseCible_id ou portefeuilleCible_id, montantSource, montantCible, devise_source_id, devise_cible_id, tauxAppliqué, montantGain, montantPerte, dateTransfert, initiateur_id, statut</w:t>
            </w:r>
          </w:p>
        </w:tc>
      </w:tr>
      <w:tr>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ImpressionBon</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bon_id, dateImpression, imprimépar_id, signé, dateSignature</w:t>
            </w:r>
          </w:p>
        </w:tc>
      </w:tr>
    </w:tbl>
    <w:p>
      <w:pPr>
        <w:spacing w:after="80"/>
      </w:pPr>
      <w:r>
        <w:t xml:space="preserve"> </w:t>
      </w:r>
    </w:p>
    <w:p>
      <w:pPr>
        <w:pStyle w:val="Heading2"/>
        <w:spacing w:after="160" w:before="280"/>
      </w:pPr>
      <w:r>
        <w:t xml:space="preserve">Domaine 5 — Intégration et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Entité</w:t>
            </w:r>
          </w:p>
        </w:tc>
        <w:tc>
          <w:tcPr>
            <w:tcW w:type="dxa" w:w="6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Attributs principaux</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LogSAP</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sessionCaisse_id, dateEnvoi, payload (JSON), statut (SUCCÈS / ÉCHEC), messageRetour</w:t>
            </w:r>
          </w:p>
        </w:tc>
      </w:tr>
      <w:tr>
        <w:tc>
          <w:tcPr>
            <w:tcW w:type="dxa" w:w="3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JournalAudit</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utilisateur_id, action, entitéConcernée, entité_id, ancienneValeur, nouvelleValeur, dateAction, adresseIP</w:t>
            </w:r>
          </w:p>
        </w:tc>
      </w:tr>
      <w:tr>
        <w:tc>
          <w:tcPr>
            <w:tcW w:type="dxa" w:w="3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PlanificationRécurrence</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bon_id, fréquence, dernièreExécution, prochaineExécution, actif</w:t>
            </w:r>
          </w:p>
        </w:tc>
      </w:tr>
    </w:tbl>
    <w:p>
      <w:r>
        <w:br w:type="page"/>
      </w:r>
    </w:p>
    <w:p>
      <w:pPr>
        <w:pStyle w:val="Heading1"/>
        <w:spacing w:after="200" w:before="360"/>
      </w:pPr>
      <w:r>
        <w:t xml:space="preserve">Partie III — Règles de gestion clés</w:t>
      </w:r>
    </w:p>
    <w:p>
      <w:pPr>
        <w:spacing w:after="120" w:line="300"/>
        <w:jc w:val="both"/>
      </w:pPr>
      <w:r>
        <w:t xml:space="preserve">Au-delà de la structure des données, ces règles métier doivent être codées au niveau applicatif (services, triggers ou contraintes en base) pour garantir la cohérence du système.</w:t>
      </w:r>
    </w:p>
    <w:p>
      <w:pPr>
        <w:pStyle w:val="Heading2"/>
        <w:spacing w:after="160" w:before="280"/>
      </w:pPr>
      <w:r>
        <w:t xml:space="preserve">Workflow et validation</w:t>
      </w:r>
    </w:p>
    <w:p>
      <w:pPr>
        <w:pStyle w:val="ListParagraph"/>
        <w:numPr>
          <w:ilvl w:val="0"/>
          <w:numId w:val="3"/>
        </w:numPr>
        <w:spacing w:after="80" w:line="300"/>
        <w:jc w:val="both"/>
      </w:pPr>
      <w:r>
        <w:t xml:space="preserve">Un bon créé par un signataire est passé automatiquement au statut </w:t>
      </w:r>
      <w:r>
        <w:rPr>
          <w:b/>
          <w:bCs/>
        </w:rPr>
        <w:t xml:space="preserve">Validé</w:t>
      </w:r>
      <w:r>
        <w:t xml:space="preserve">.</w:t>
      </w:r>
    </w:p>
    <w:p>
      <w:pPr>
        <w:pStyle w:val="ListParagraph"/>
        <w:numPr>
          <w:ilvl w:val="0"/>
          <w:numId w:val="3"/>
        </w:numPr>
        <w:spacing w:after="80" w:line="300"/>
        <w:jc w:val="both"/>
      </w:pPr>
      <w:r>
        <w:t xml:space="preserve">Un sous-bon possède un statut </w:t>
      </w:r>
      <w:r>
        <w:rPr>
          <w:b/>
          <w:bCs/>
        </w:rPr>
        <w:t xml:space="preserve">indépendant</w:t>
      </w:r>
      <w:r>
        <w:t xml:space="preserve"> de celui du bon parent : un bon peut être *En cours de décaissement* pendant qu'un de ses sous-bons est déjà *Décaissé*.</w:t>
      </w:r>
    </w:p>
    <w:p>
      <w:pPr>
        <w:pStyle w:val="ListParagraph"/>
        <w:numPr>
          <w:ilvl w:val="0"/>
          <w:numId w:val="3"/>
        </w:numPr>
        <w:spacing w:after="80" w:line="300"/>
        <w:jc w:val="both"/>
      </w:pPr>
      <w:r>
        <w:t xml:space="preserve">Un bon n'est modifiable que tant qu'il n'a pas le statut </w:t>
      </w:r>
      <w:r>
        <w:rPr>
          <w:b/>
          <w:bCs/>
        </w:rPr>
        <w:t xml:space="preserve">Validé</w:t>
      </w:r>
      <w:r>
        <w:t xml:space="preserve">.</w:t>
      </w:r>
    </w:p>
    <w:p>
      <w:pPr>
        <w:pStyle w:val="ListParagraph"/>
        <w:numPr>
          <w:ilvl w:val="0"/>
          <w:numId w:val="3"/>
        </w:numPr>
        <w:spacing w:after="80" w:line="300"/>
        <w:jc w:val="both"/>
      </w:pPr>
      <w:r>
        <w:t xml:space="preserve">Les bons créés par un remplaçant en intérim doivent rester </w:t>
      </w:r>
      <w:r>
        <w:rPr>
          <w:b/>
          <w:bCs/>
        </w:rPr>
        <w:t xml:space="preserve">visibles par l'initiateur</w:t>
      </w:r>
      <w:r>
        <w:t xml:space="preserve">.</w:t>
      </w:r>
    </w:p>
    <w:p>
      <w:pPr>
        <w:pStyle w:val="Heading2"/>
        <w:spacing w:after="160" w:before="280"/>
      </w:pPr>
      <w:r>
        <w:t xml:space="preserve">Gestion des caisses</w:t>
      </w:r>
    </w:p>
    <w:p>
      <w:pPr>
        <w:pStyle w:val="ListParagraph"/>
        <w:numPr>
          <w:ilvl w:val="0"/>
          <w:numId w:val="3"/>
        </w:numPr>
        <w:spacing w:after="80" w:line="300"/>
        <w:jc w:val="both"/>
      </w:pPr>
      <w:r>
        <w:t xml:space="preserve">Aucune opération possible sur un portefeuille rattaché à une caisse </w:t>
      </w:r>
      <w:r>
        <w:rPr>
          <w:b/>
          <w:bCs/>
        </w:rPr>
        <w:t xml:space="preserve">Fermée</w:t>
      </w:r>
      <w:r>
        <w:t xml:space="preserve">.</w:t>
      </w:r>
    </w:p>
    <w:p>
      <w:pPr>
        <w:pStyle w:val="ListParagraph"/>
        <w:numPr>
          <w:ilvl w:val="0"/>
          <w:numId w:val="3"/>
        </w:numPr>
        <w:spacing w:after="80" w:line="300"/>
        <w:jc w:val="both"/>
      </w:pPr>
      <w:r>
        <w:t xml:space="preserve">Les transferts inter-caisses exigent que les </w:t>
      </w:r>
      <w:r>
        <w:rPr>
          <w:b/>
          <w:bCs/>
        </w:rPr>
        <w:t xml:space="preserve">deux caisses soient ouvertes</w:t>
      </w:r>
      <w:r>
        <w:t xml:space="preserve">.</w:t>
      </w:r>
    </w:p>
    <w:p>
      <w:pPr>
        <w:pStyle w:val="ListParagraph"/>
        <w:numPr>
          <w:ilvl w:val="0"/>
          <w:numId w:val="3"/>
        </w:numPr>
        <w:spacing w:after="80" w:line="300"/>
        <w:jc w:val="both"/>
      </w:pPr>
      <w:r>
        <w:t xml:space="preserve">Clôture automatique à 20h00 entraînant l'envoi du journal vers SAP.</w:t>
      </w:r>
    </w:p>
    <w:p>
      <w:pPr>
        <w:pStyle w:val="ListParagraph"/>
        <w:numPr>
          <w:ilvl w:val="0"/>
          <w:numId w:val="3"/>
        </w:numPr>
        <w:spacing w:after="80" w:line="300"/>
        <w:jc w:val="both"/>
      </w:pPr>
      <w:r>
        <w:t xml:space="preserve">Déclôture toujours </w:t>
      </w:r>
      <w:r>
        <w:rPr>
          <w:b/>
          <w:bCs/>
        </w:rPr>
        <w:t xml:space="preserve">manuelle</w:t>
      </w:r>
      <w:r>
        <w:t xml:space="preserve"> via le panel caissier.</w:t>
      </w:r>
    </w:p>
    <w:p>
      <w:pPr>
        <w:pStyle w:val="Heading2"/>
        <w:spacing w:after="160" w:before="280"/>
      </w:pPr>
      <w:r>
        <w:t xml:space="preserve">Multi-devises</w:t>
      </w:r>
    </w:p>
    <w:p>
      <w:pPr>
        <w:pStyle w:val="ListParagraph"/>
        <w:numPr>
          <w:ilvl w:val="0"/>
          <w:numId w:val="3"/>
        </w:numPr>
        <w:spacing w:after="80" w:line="300"/>
        <w:jc w:val="both"/>
      </w:pPr>
      <w:r>
        <w:t xml:space="preserve">Tout transfert entre devises différentes génère une écriture dans </w:t>
      </w:r>
      <w:r>
        <w:rPr>
          <w:b/>
          <w:bCs/>
        </w:rPr>
        <w:t xml:space="preserve">CompteGainChange</w:t>
      </w:r>
      <w:r>
        <w:t xml:space="preserve"> ou </w:t>
      </w:r>
      <w:r>
        <w:rPr>
          <w:b/>
          <w:bCs/>
        </w:rPr>
        <w:t xml:space="preserve">ComptePerteChange</w:t>
      </w:r>
      <w:r>
        <w:t xml:space="preserve"> selon le delta calculé.</w:t>
      </w:r>
    </w:p>
    <w:p>
      <w:pPr>
        <w:pStyle w:val="ListParagraph"/>
        <w:numPr>
          <w:ilvl w:val="0"/>
          <w:numId w:val="3"/>
        </w:numPr>
        <w:spacing w:after="80" w:line="300"/>
        <w:jc w:val="both"/>
      </w:pPr>
      <w:r>
        <w:t xml:space="preserve">Le taux appliqué doit être </w:t>
      </w:r>
      <w:r>
        <w:rPr>
          <w:b/>
          <w:bCs/>
        </w:rPr>
        <w:t xml:space="preserve">historisé</w:t>
      </w:r>
      <w:r>
        <w:t xml:space="preserve"> dans l'entité Transfert (pas seulement référencé) pour préserver l'auditabilité.</w:t>
      </w:r>
    </w:p>
    <w:p>
      <w:pPr>
        <w:pStyle w:val="Heading2"/>
        <w:spacing w:after="160" w:before="280"/>
      </w:pPr>
      <w:r>
        <w:t xml:space="preserve">Décaissement</w:t>
      </w:r>
    </w:p>
    <w:p>
      <w:pPr>
        <w:pStyle w:val="ListParagraph"/>
        <w:numPr>
          <w:ilvl w:val="0"/>
          <w:numId w:val="3"/>
        </w:numPr>
        <w:spacing w:after="80" w:line="300"/>
        <w:jc w:val="both"/>
      </w:pPr>
      <w:r>
        <w:t xml:space="preserve">Lors du décaissement, un enregistrement </w:t>
      </w:r>
      <w:r>
        <w:rPr>
          <w:b/>
          <w:bCs/>
        </w:rPr>
        <w:t xml:space="preserve">BonDeCaisse</w:t>
      </w:r>
      <w:r>
        <w:t xml:space="preserve"> est dupliqué depuis le Bon source ; le caissier peut éditer puis sauvegarder avant de finaliser.</w:t>
      </w:r>
    </w:p>
    <w:p>
      <w:pPr>
        <w:pStyle w:val="ListParagraph"/>
        <w:numPr>
          <w:ilvl w:val="0"/>
          <w:numId w:val="3"/>
        </w:numPr>
        <w:spacing w:after="80" w:line="300"/>
        <w:jc w:val="both"/>
      </w:pPr>
      <w:r>
        <w:t xml:space="preserve">Le bon doit être </w:t>
      </w:r>
      <w:r>
        <w:rPr>
          <w:b/>
          <w:bCs/>
        </w:rPr>
        <w:t xml:space="preserve">Imprimé</w:t>
      </w:r>
      <w:r>
        <w:t xml:space="preserve"> et </w:t>
      </w:r>
      <w:r>
        <w:rPr>
          <w:b/>
          <w:bCs/>
        </w:rPr>
        <w:t xml:space="preserve">Signé</w:t>
      </w:r>
      <w:r>
        <w:t xml:space="preserve"> avant que le caissier puisse marquer </w:t>
      </w:r>
      <w:r>
        <w:rPr>
          <w:b/>
          <w:bCs/>
        </w:rPr>
        <w:t xml:space="preserve">Décaissé</w:t>
      </w:r>
      <w:r>
        <w:t xml:space="preserve">.</w:t>
      </w:r>
    </w:p>
    <w:p>
      <w:r>
        <w:br w:type="page"/>
      </w:r>
    </w:p>
    <w:p>
      <w:pPr>
        <w:pStyle w:val="Heading1"/>
        <w:spacing w:after="200" w:before="360"/>
      </w:pPr>
      <w:r>
        <w:t xml:space="preserve">Partie IV — Recommandations techniques</w:t>
      </w:r>
    </w:p>
    <w:p>
      <w:pPr>
        <w:spacing w:after="120" w:line="300"/>
        <w:jc w:val="both"/>
      </w:pPr>
      <w:r>
        <w:t xml:space="preserve">Cette section présente les mesures structurelles à intégrer dès la conception de la base de données pour prévenir les problèmes classiques en gestion financière : incohérences de soldes, doublons, audit incomplet, pannes serveur ou indisponibilité de SAP. Ces recommandations s'appuient sur les standards utilisés dans le secteur bancaire et financier.</w:t>
      </w:r>
    </w:p>
    <w:p>
      <w:pPr>
        <w:pStyle w:val="Heading2"/>
        <w:spacing w:after="160" w:before="280"/>
      </w:pPr>
      <w:r>
        <w:t xml:space="preserve">Niveau 1 — Intégrité financière (non-négociable)</w:t>
      </w:r>
    </w:p>
    <w:p>
      <w:pPr>
        <w:pStyle w:val="Heading3"/>
        <w:spacing w:after="120" w:before="220"/>
      </w:pPr>
      <w:r>
        <w:t xml:space="preserve">1.1. Adopter la comptabilité en partie double au niveau base</w:t>
      </w:r>
    </w:p>
    <w:p>
      <w:pPr>
        <w:spacing w:after="120" w:line="300"/>
        <w:jc w:val="both"/>
      </w:pPr>
      <w:r>
        <w:t xml:space="preserve">**Problème classique :** mettre à jour un solde directement dans la table Caisse ou Portefeuille (UPDATE caisse SET solde = solde - 1000). Une panne entre deux mises à jour entraîne un solde corrompu, impossible à reconstituer.</w:t>
      </w:r>
    </w:p>
    <w:p>
      <w:pPr>
        <w:spacing w:after="120" w:line="300"/>
        <w:jc w:val="both"/>
      </w:pPr>
      <w:r>
        <w:t xml:space="preserve">**Solution :** ne jamais stocker un solde calculable. Le solde devient une vue dérivée d'une table d'écritures immuables, structurée comme suit :</w:t>
      </w:r>
    </w:p>
    <w:p>
      <w:pPr>
        <w:pStyle w:val="ListParagraph"/>
        <w:numPr>
          <w:ilvl w:val="0"/>
          <w:numId w:val="3"/>
        </w:numPr>
        <w:spacing w:after="80" w:line="300"/>
        <w:jc w:val="both"/>
      </w:pPr>
      <w:r>
        <w:rPr>
          <w:b/>
          <w:bCs/>
        </w:rPr>
        <w:t xml:space="preserve">ÉcritureComptable</w:t>
      </w:r>
      <w:r>
        <w:t xml:space="preserve"> : id, transaction_id, compte_id, type_compte, débit, crédit, devise_id, date_écriture, référence_bon_id, hash_intégrité</w:t>
      </w:r>
    </w:p>
    <w:p>
      <w:pPr>
        <w:spacing w:after="120" w:line="300"/>
        <w:jc w:val="both"/>
      </w:pPr>
      <w:r>
        <w:t xml:space="preserve">**Règle d'or :** pour chaque transaction, somme des débits = somme des crédits. Une contrainte au niveau base de données peut vérifier cela à chaque transaction. Le solde d'une caisse devient simplement : `SELECT SUM(crédit) - SUM(débit) FROM ÉcritureComptable WHERE compte_id = X`.</w:t>
      </w:r>
    </w:p>
    <w:p>
      <w:pPr>
        <w:spacing w:after="120" w:line="300"/>
        <w:jc w:val="both"/>
      </w:pPr>
      <w:r>
        <w:t xml:space="preserve">**Avantages :** impossible d'avoir un solde faux (il est toujours recalculable), audit complet par construction, réconciliation SAP triviale.</w:t>
      </w:r>
    </w:p>
    <w:p>
      <w:pPr>
        <w:pStyle w:val="Heading3"/>
        <w:spacing w:after="120" w:before="220"/>
      </w:pPr>
      <w:r>
        <w:t xml:space="preserve">1.2. Toujours utiliser des entiers pour l'argent, jamais des FLOAT</w:t>
      </w:r>
    </w:p>
    <w:p>
      <w:pPr>
        <w:spacing w:after="120" w:line="300"/>
        <w:jc w:val="both"/>
      </w:pPr>
      <w:r>
        <w:t xml:space="preserve">FLOAT et DOUBLE produisent des erreurs d'arrondi (0.1 + 0.2 n'égale pas 0.3 en virgule flottante). En finance, c'est interdit. Deux approches sont recommandées :</w:t>
      </w:r>
    </w:p>
    <w:p>
      <w:pPr>
        <w:pStyle w:val="ListParagraph"/>
        <w:numPr>
          <w:ilvl w:val="0"/>
          <w:numId w:val="3"/>
        </w:numPr>
        <w:spacing w:after="80" w:line="300"/>
        <w:jc w:val="both"/>
      </w:pPr>
      <w:r>
        <w:rPr>
          <w:b/>
          <w:bCs/>
        </w:rPr>
        <w:t xml:space="preserve">DECIMAL(19,4)</w:t>
      </w:r>
      <w:r>
        <w:t xml:space="preserve"> : bon compromis (PostgreSQL NUMERIC)</w:t>
      </w:r>
    </w:p>
    <w:p>
      <w:pPr>
        <w:pStyle w:val="ListParagraph"/>
        <w:numPr>
          <w:ilvl w:val="0"/>
          <w:numId w:val="3"/>
        </w:numPr>
        <w:spacing w:after="80" w:line="300"/>
        <w:jc w:val="both"/>
      </w:pPr>
      <w:r>
        <w:rPr>
          <w:b/>
          <w:bCs/>
        </w:rPr>
        <w:t xml:space="preserve">BIGINT en centimes / millimes</w:t>
      </w:r>
      <w:r>
        <w:t xml:space="preserve"> : le plus sûr — stocker 100000 pour représenter 1000.00 XOF</w:t>
      </w:r>
    </w:p>
    <w:p>
      <w:pPr>
        <w:spacing w:after="120" w:line="300"/>
        <w:jc w:val="both"/>
      </w:pPr>
      <w:r>
        <w:t xml:space="preserve">Stocker aussi la **devise** à côté de chaque montant : un montant sans devise est une bombe à retardement.</w:t>
      </w:r>
    </w:p>
    <w:p>
      <w:pPr>
        <w:pStyle w:val="Heading3"/>
        <w:spacing w:after="120" w:before="220"/>
      </w:pPr>
      <w:r>
        <w:t xml:space="preserve">1.3. Signature d'intégrité par ligne (anti-falsification)</w:t>
      </w:r>
    </w:p>
    <w:p>
      <w:pPr>
        <w:spacing w:after="120" w:line="300"/>
        <w:jc w:val="both"/>
      </w:pPr>
      <w:r>
        <w:t xml:space="preserve">Chaque écriture comptable porte un hash_intégrité = SHA-256(id + montant + compte + date + hash_précédent). C'est le principe d'une **chaîne d'écritures**. Si quelqu'un modifie une ligne directement en base, la chaîne se casse et un job de vérification le détecte. C'est ce que font les banques et c'est trivial à implémenter.</w:t>
      </w:r>
    </w:p>
    <w:p>
      <w:pPr>
        <w:pStyle w:val="Heading2"/>
        <w:spacing w:after="160" w:before="280"/>
      </w:pPr>
      <w:r>
        <w:t xml:space="preserve">Niveau 2 — Prévention des doublons</w:t>
      </w:r>
    </w:p>
    <w:p>
      <w:pPr>
        <w:pStyle w:val="Heading3"/>
        <w:spacing w:after="120" w:before="220"/>
      </w:pPr>
      <w:r>
        <w:t xml:space="preserve">2.1. Clés d'idempotence sur toute opération financière</w:t>
      </w:r>
    </w:p>
    <w:p>
      <w:pPr>
        <w:spacing w:after="120" w:line="300"/>
        <w:jc w:val="both"/>
      </w:pPr>
      <w:r>
        <w:t xml:space="preserve">**Problème classique :** le client mobile envoie une demande de décaissement, le serveur traite, mais la réponse n'arrive pas (timeout). Le client réessaie : **double décaissement**.</w:t>
      </w:r>
    </w:p>
    <w:p>
      <w:pPr>
        <w:spacing w:after="120" w:line="300"/>
        <w:jc w:val="both"/>
      </w:pPr>
      <w:r>
        <w:t xml:space="preserve">**Solution :** chaque requête sensible porte un idempotency_key (UUID généré côté client). Une table dédiée stocke les clés, le hash de la requête, la réponse cachée, le statut et un TTL de 24 à 48h. Si la même clé revient, on rejoue la réponse cachée au lieu de re-traiter. C'est la technique standard utilisée par Stripe, PayPal et toute la fintech.</w:t>
      </w:r>
    </w:p>
    <w:p>
      <w:pPr>
        <w:pStyle w:val="Heading3"/>
        <w:spacing w:after="120" w:before="220"/>
      </w:pPr>
      <w:r>
        <w:t xml:space="preserve">2.2. Contraintes d'unicité métier en base</w:t>
      </w:r>
    </w:p>
    <w:p>
      <w:pPr>
        <w:spacing w:after="120" w:line="300"/>
        <w:jc w:val="both"/>
      </w:pPr>
      <w:r>
        <w:t xml:space="preserve">Pas seulement sur les clés primaires techniques. Exemples concrets pour le domaine :</w:t>
      </w:r>
    </w:p>
    <w:p>
      <w:pPr>
        <w:pStyle w:val="ListParagraph"/>
        <w:numPr>
          <w:ilvl w:val="0"/>
          <w:numId w:val="3"/>
        </w:numPr>
        <w:spacing w:after="80" w:line="300"/>
        <w:jc w:val="both"/>
      </w:pPr>
      <w:r>
        <w:t xml:space="preserve">UNIQUE(numéro_bon) : un bon égale un numéro</w:t>
      </w:r>
    </w:p>
    <w:p>
      <w:pPr>
        <w:pStyle w:val="ListParagraph"/>
        <w:numPr>
          <w:ilvl w:val="0"/>
          <w:numId w:val="3"/>
        </w:numPr>
        <w:spacing w:after="80" w:line="300"/>
        <w:jc w:val="both"/>
      </w:pPr>
      <w:r>
        <w:t xml:space="preserve">UNIQUE(bon_id, numéro_sous_bon) : pas deux sous-bons n°1 dans le même bon</w:t>
      </w:r>
    </w:p>
    <w:p>
      <w:pPr>
        <w:pStyle w:val="ListParagraph"/>
        <w:numPr>
          <w:ilvl w:val="0"/>
          <w:numId w:val="3"/>
        </w:numPr>
        <w:spacing w:after="80" w:line="300"/>
        <w:jc w:val="both"/>
      </w:pPr>
      <w:r>
        <w:t xml:space="preserve">UNIQUE(caisse_id) WHERE statut='OUVERTE' : une seule session ouverte par caisse</w:t>
      </w:r>
    </w:p>
    <w:p>
      <w:pPr>
        <w:pStyle w:val="ListParagraph"/>
        <w:numPr>
          <w:ilvl w:val="0"/>
          <w:numId w:val="3"/>
        </w:numPr>
        <w:spacing w:after="80" w:line="300"/>
        <w:jc w:val="both"/>
      </w:pPr>
      <w:r>
        <w:t xml:space="preserve">UNIQUE(idempotency_key) : anti-rejeu</w:t>
      </w:r>
    </w:p>
    <w:p>
      <w:pPr>
        <w:pStyle w:val="ListParagraph"/>
        <w:numPr>
          <w:ilvl w:val="0"/>
          <w:numId w:val="3"/>
        </w:numPr>
        <w:spacing w:after="80" w:line="300"/>
        <w:jc w:val="both"/>
      </w:pPr>
      <w:r>
        <w:t xml:space="preserve">UNIQUE(bon_id) WHERE statut='DÉCAISSÉ' (index partiel) : un bon décaissé une seule fois</w:t>
      </w:r>
    </w:p>
    <w:p>
      <w:pPr>
        <w:pStyle w:val="Heading3"/>
        <w:spacing w:after="120" w:before="220"/>
      </w:pPr>
      <w:r>
        <w:t xml:space="preserve">2.3. Verrous optimistes sur les entités sensibles</w:t>
      </w:r>
    </w:p>
    <w:p>
      <w:pPr>
        <w:spacing w:after="120" w:line="300"/>
        <w:jc w:val="both"/>
      </w:pPr>
      <w:r>
        <w:t xml:space="preserve">Ajouter une colonne version (INT) sur Bon, SousBon, Caisse, Portefeuille. Toute mise à jour fait : `UPDATE bon SET statut='VALIDÉ', version = version + 1 WHERE id = X AND version = :version_lue`. Si deux utilisateurs essaient de valider le même bon en parallèle, le second échoue proprement : pas de double validation.</w:t>
      </w:r>
    </w:p>
    <w:p>
      <w:pPr>
        <w:pStyle w:val="Heading2"/>
        <w:spacing w:after="160" w:before="280"/>
      </w:pPr>
      <w:r>
        <w:t xml:space="preserve">Niveau 3 — Audit et traçabilité complète</w:t>
      </w:r>
    </w:p>
    <w:p>
      <w:pPr>
        <w:pStyle w:val="Heading3"/>
        <w:spacing w:after="120" w:before="220"/>
      </w:pPr>
      <w:r>
        <w:t xml:space="preserve">3.1. Event Sourcing sur les workflows critiques</w:t>
      </w:r>
    </w:p>
    <w:p>
      <w:pPr>
        <w:spacing w:after="120" w:line="300"/>
        <w:jc w:val="both"/>
      </w:pPr>
      <w:r>
        <w:t xml:space="preserve">Pour les bons et les décaissements, ne pas se contenter du statut courant : stocker **tous les événements** qui ont mené à ce statut. La table ÉvénementBon contient : id, bon_id, type_événement (CRÉÉ, MODIFIÉ, VALIDÉ, SIGNÉ, IMPRIMÉ, DÉCAISSÉ, ANNULÉ, REFUSÉ), acteur_id, acteur_intérim_id, payload (JSON), date_événement, adresse_ip.</w:t>
      </w:r>
    </w:p>
    <w:p>
      <w:pPr>
        <w:spacing w:after="120" w:line="300"/>
        <w:jc w:val="both"/>
      </w:pPr>
      <w:r>
        <w:t xml:space="preserve">**Avantages :** rejouer l'historique complet d'un bon, détecter des comportements anormaux (un bon validé trois fois ? un décaissement à 2h du matin ?), restaurer un état antérieur en cas de problème.</w:t>
      </w:r>
    </w:p>
    <w:p>
      <w:pPr>
        <w:pStyle w:val="Heading3"/>
        <w:spacing w:after="120" w:before="220"/>
      </w:pPr>
      <w:r>
        <w:t xml:space="preserve">3.2. Tables d'historique automatiques</w:t>
      </w:r>
    </w:p>
    <w:p>
      <w:pPr>
        <w:spacing w:after="120" w:line="300"/>
        <w:jc w:val="both"/>
      </w:pPr>
      <w:r>
        <w:t xml:space="preserve">Pour les entités de référence (Client, Fournisseur, Utilisateur, Caisse), garder l'historique des changements via des tables temporelles (Client_Historique avec tous les champs + valid_from, valid_to, modifié_par_id). PostgreSQL gère cela nativement ; MySQL 8 a SYSTEM VERSIONING. Sinon, un trigger fait l'affaire.</w:t>
      </w:r>
    </w:p>
    <w:p>
      <w:pPr>
        <w:pStyle w:val="Heading3"/>
        <w:spacing w:after="120" w:before="220"/>
      </w:pPr>
      <w:r>
        <w:t xml:space="preserve">3.3. Audit log centralisé et append-only</w:t>
      </w:r>
    </w:p>
    <w:p>
      <w:pPr>
        <w:spacing w:after="120" w:line="300"/>
        <w:jc w:val="both"/>
      </w:pPr>
      <w:r>
        <w:t xml:space="preserve">Le JournalAudit doit avoir une caractéristique impérative : **aucune opération UPDATE ou DELETE n'y est autorisée**. Une fois écrit, c'est gravé. Cela peut être imposé via : un rôle DB en INSERT-only, un trigger bloquant UPDATE/DELETE, et idéalement un export régulier vers un stockage immuable (S3 avec Object Lock par exemple).</w:t>
      </w:r>
    </w:p>
    <w:p>
      <w:pPr>
        <w:pStyle w:val="Heading2"/>
        <w:spacing w:after="160" w:before="280"/>
      </w:pPr>
      <w:r>
        <w:t xml:space="preserve">Niveau 4 — Résilience face aux pannes</w:t>
      </w:r>
    </w:p>
    <w:p>
      <w:pPr>
        <w:pStyle w:val="Heading3"/>
        <w:spacing w:after="120" w:before="220"/>
      </w:pPr>
      <w:r>
        <w:t xml:space="preserve">4.1. Transactions atomiques rigoureuses (ACID)</w:t>
      </w:r>
    </w:p>
    <w:p>
      <w:pPr>
        <w:spacing w:after="120" w:line="300"/>
        <w:jc w:val="both"/>
      </w:pPr>
      <w:r>
        <w:t xml:space="preserve">Toute opération qui touche à l'argent doit être dans une seule transaction DB avec niveau d'isolation SERIALIZABLE ou au minimum REPEATABLE READ. Exemple pour un décaissement : vérifier que la caisse est ouverte, vérifier le solde, créer les écritures comptables, mettre à jour le statut du bon, créer le BonDeCaisse, insérer l'événement. Si n'importe quoi échoue, ROLLBACK complet. Pas d'état intermédiaire possible.</w:t>
      </w:r>
    </w:p>
    <w:p>
      <w:pPr>
        <w:pStyle w:val="Heading3"/>
        <w:spacing w:after="120" w:before="220"/>
      </w:pPr>
      <w:r>
        <w:t xml:space="preserve">4.2. Pattern Outbox pour la synchronisation SAP</w:t>
      </w:r>
    </w:p>
    <w:p>
      <w:pPr>
        <w:spacing w:after="120" w:line="300"/>
        <w:jc w:val="both"/>
      </w:pPr>
      <w:r>
        <w:t xml:space="preserve">**Problème classique :** écrire en base ET appeler l'API SAP dans la même fonction. Si SAP est down, soit on perd la donnée, soit on rollback la base alors que SAP a déjà traité (cas du timeout).</w:t>
      </w:r>
    </w:p>
    <w:p>
      <w:pPr>
        <w:spacing w:after="120" w:line="300"/>
        <w:jc w:val="both"/>
      </w:pPr>
      <w:r>
        <w:t xml:space="preserve">**Solution Outbox :** une table Outbox stocke les messages à envoyer (type_message, payload JSON, statut, tentatives, prochaine_tentative, dernière_erreur). Dans la même transaction que l'opération métier, on écrit une ligne dans Outbox. Un worker séparé lit cette table et envoie à SAP avec un retry exponentiel. Si SAP est down 3 heures, ce n'est pas grave : les messages s'accumulent et partent quand SAP revient. C'est le pattern indispensable pour le script de clôture 20h00.</w:t>
      </w:r>
    </w:p>
    <w:p>
      <w:pPr>
        <w:pStyle w:val="Heading3"/>
        <w:spacing w:after="120" w:before="220"/>
      </w:pPr>
      <w:r>
        <w:t xml:space="preserve">4.3. Saga ou compensation pour les opérations multi-étapes</w:t>
      </w:r>
    </w:p>
    <w:p>
      <w:pPr>
        <w:spacing w:after="120" w:line="300"/>
        <w:jc w:val="both"/>
      </w:pPr>
      <w:r>
        <w:t xml:space="preserve">Pour un transfert inter-caisses entre devises (qui touche 4 comptes : caisse source, caisse cible, gain ou perte de change), prévoir un statut de saga : INITIÉ → DÉBIT_SOURCE_OK → CRÉDIT_CIBLE_OK → ÉCRITURE_CHANGE_OK → TERMINÉ. En cas d'échec : COMPENSATION → ANNULÉ. Si une étape échoue, on compense les étapes précédentes par des écritures inverses. On retrouve un état cohérent même après un crash.</w:t>
      </w:r>
    </w:p>
    <w:p>
      <w:pPr>
        <w:pStyle w:val="Heading3"/>
        <w:spacing w:after="120" w:before="220"/>
      </w:pPr>
      <w:r>
        <w:t xml:space="preserve">4.4. Sauvegardes et Point-In-Time Recovery</w:t>
      </w:r>
    </w:p>
    <w:p>
      <w:pPr>
        <w:pStyle w:val="ListParagraph"/>
        <w:numPr>
          <w:ilvl w:val="0"/>
          <w:numId w:val="3"/>
        </w:numPr>
        <w:spacing w:after="80" w:line="300"/>
        <w:jc w:val="both"/>
      </w:pPr>
      <w:r>
        <w:t xml:space="preserve">Sauvegarde </w:t>
      </w:r>
      <w:r>
        <w:rPr>
          <w:b/>
          <w:bCs/>
        </w:rPr>
        <w:t xml:space="preserve">chiffrée</w:t>
      </w:r>
      <w:r>
        <w:t xml:space="preserve"> quotidienne hors-site (S3, Backblaze).</w:t>
      </w:r>
    </w:p>
    <w:p>
      <w:pPr>
        <w:pStyle w:val="ListParagraph"/>
        <w:numPr>
          <w:ilvl w:val="0"/>
          <w:numId w:val="3"/>
        </w:numPr>
        <w:spacing w:after="80" w:line="300"/>
        <w:jc w:val="both"/>
      </w:pPr>
      <w:r>
        <w:rPr>
          <w:b/>
          <w:bCs/>
        </w:rPr>
        <w:t xml:space="preserve">WAL archiving</w:t>
      </w:r>
      <w:r>
        <w:t xml:space="preserve"> PostgreSQL : restauration à la seconde près.</w:t>
      </w:r>
    </w:p>
    <w:p>
      <w:pPr>
        <w:pStyle w:val="ListParagraph"/>
        <w:numPr>
          <w:ilvl w:val="0"/>
          <w:numId w:val="3"/>
        </w:numPr>
        <w:spacing w:after="80" w:line="300"/>
        <w:jc w:val="both"/>
      </w:pPr>
      <w:r>
        <w:t xml:space="preserve">Test de restauration </w:t>
      </w:r>
      <w:r>
        <w:rPr>
          <w:b/>
          <w:bCs/>
        </w:rPr>
        <w:t xml:space="preserve">mensuel</w:t>
      </w:r>
      <w:r>
        <w:t xml:space="preserve"> (une sauvegarde non testée égale pas de sauvegarde).</w:t>
      </w:r>
    </w:p>
    <w:p>
      <w:pPr>
        <w:pStyle w:val="ListParagraph"/>
        <w:numPr>
          <w:ilvl w:val="0"/>
          <w:numId w:val="3"/>
        </w:numPr>
        <w:spacing w:after="80" w:line="300"/>
        <w:jc w:val="both"/>
      </w:pPr>
      <w:r>
        <w:t xml:space="preserve">Réplication </w:t>
      </w:r>
      <w:r>
        <w:rPr>
          <w:b/>
          <w:bCs/>
        </w:rPr>
        <w:t xml:space="preserve">streaming</w:t>
      </w:r>
      <w:r>
        <w:t xml:space="preserve"> vers un secondaire en lecture seule pour la continuité d'activité.</w:t>
      </w:r>
    </w:p>
    <w:p>
      <w:pPr>
        <w:pStyle w:val="Heading2"/>
        <w:spacing w:after="160" w:before="280"/>
      </w:pPr>
      <w:r>
        <w:t xml:space="preserve">Niveau 5 — Bonnes pratiques transverses</w:t>
      </w:r>
    </w:p>
    <w:p>
      <w:pPr>
        <w:pStyle w:val="Heading3"/>
        <w:spacing w:after="120" w:before="220"/>
      </w:pPr>
      <w:r>
        <w:t xml:space="preserve">5.1. Soft delete partout, jamais de DELETE physique</w:t>
      </w:r>
    </w:p>
    <w:p>
      <w:pPr>
        <w:spacing w:after="120" w:line="300"/>
        <w:jc w:val="both"/>
      </w:pPr>
      <w:r>
        <w:t xml:space="preserve">Ajouter supprimé_le (TIMESTAMP nullable) sur toutes les entités. Le DELETE devient UPDATE SET supprimé_le = NOW(). On peut retrouver les données et tracer qui a supprimé. Exception : les tables techniques (sessions, idempotency keys expirées) peuvent être purgées physiquement.</w:t>
      </w:r>
    </w:p>
    <w:p>
      <w:pPr>
        <w:pStyle w:val="Heading3"/>
        <w:spacing w:after="120" w:before="220"/>
      </w:pPr>
      <w:r>
        <w:t xml:space="preserve">5.2. Champs d'audit standard sur toutes les tables</w:t>
      </w:r>
    </w:p>
    <w:p>
      <w:pPr>
        <w:spacing w:after="120" w:line="300"/>
        <w:jc w:val="both"/>
      </w:pPr>
      <w:r>
        <w:t xml:space="preserve">Chaque table doit comporter : créé_le, créé_par_id, modifié_le, modifié_par_id, supprimé_le, supprimé_par_id, version. Cette uniformité facilite l'audit, les jointures, et la mise en place de triggers génériques.</w:t>
      </w:r>
    </w:p>
    <w:p>
      <w:pPr>
        <w:pStyle w:val="Heading3"/>
        <w:spacing w:after="120" w:before="220"/>
      </w:pPr>
      <w:r>
        <w:t xml:space="preserve">5.3. UUID en plus des IDs auto-incrémentés</w:t>
      </w:r>
    </w:p>
    <w:p>
      <w:pPr>
        <w:spacing w:after="120" w:line="300"/>
        <w:jc w:val="both"/>
      </w:pPr>
      <w:r>
        <w:t xml:space="preserve">Utiliser à la fois id BIGSERIAL (performance interne, joins) et uuid UNIQUE (exposition externe via API, URL, mobile). Si on expose des IDs séquentiels, un attaquant devine bon/124, bon/125. Avec UUID, c'est imprévisible. De plus, la synchronisation mobile/web devient plus simple (UUID généré offline côté mobile).</w:t>
      </w:r>
    </w:p>
    <w:p>
      <w:pPr>
        <w:pStyle w:val="Heading3"/>
        <w:spacing w:after="120" w:before="220"/>
      </w:pPr>
      <w:r>
        <w:t xml:space="preserve">5.4. Contraintes CHECK métier directement en base</w:t>
      </w:r>
    </w:p>
    <w:p>
      <w:pPr>
        <w:spacing w:after="120" w:line="300"/>
        <w:jc w:val="both"/>
      </w:pPr>
      <w:r>
        <w:t xml:space="preserve">Exemples :</w:t>
      </w:r>
    </w:p>
    <w:p>
      <w:pPr>
        <w:pStyle w:val="ListParagraph"/>
        <w:numPr>
          <w:ilvl w:val="0"/>
          <w:numId w:val="3"/>
        </w:numPr>
        <w:spacing w:after="80" w:line="300"/>
        <w:jc w:val="both"/>
      </w:pPr>
      <w:r>
        <w:t xml:space="preserve">CHECK (montant_total &gt; 0)</w:t>
      </w:r>
    </w:p>
    <w:p>
      <w:pPr>
        <w:pStyle w:val="ListParagraph"/>
        <w:numPr>
          <w:ilvl w:val="0"/>
          <w:numId w:val="3"/>
        </w:numPr>
        <w:spacing w:after="80" w:line="300"/>
        <w:jc w:val="both"/>
      </w:pPr>
      <w:r>
        <w:t xml:space="preserve">CHECK (statut IN ('CRÉÉ','VALIDÉ','DÉCAISSÉ','COMPTABILISÉ','ANNULÉ','REFUSÉ'))</w:t>
      </w:r>
    </w:p>
    <w:p>
      <w:pPr>
        <w:pStyle w:val="ListParagraph"/>
        <w:numPr>
          <w:ilvl w:val="0"/>
          <w:numId w:val="3"/>
        </w:numPr>
        <w:spacing w:after="80" w:line="300"/>
        <w:jc w:val="both"/>
      </w:pPr>
      <w:r>
        <w:t xml:space="preserve">CHECK ((débit IS NOT NULL AND crédit IS NULL) OR (débit IS NULL AND crédit IS NOT NULL))</w:t>
      </w:r>
    </w:p>
    <w:p>
      <w:pPr>
        <w:spacing w:after="120" w:line="300"/>
        <w:jc w:val="both"/>
      </w:pPr>
      <w:r>
        <w:t xml:space="preserve">Une règle métier en base est infaillible. Une règle métier seulement applicative peut être contournée (script ad-hoc, bug, mauvaise migration).</w:t>
      </w:r>
    </w:p>
    <w:p>
      <w:pPr>
        <w:pStyle w:val="Heading3"/>
        <w:spacing w:after="120" w:before="220"/>
      </w:pPr>
      <w:r>
        <w:t xml:space="preserve">5.5. Snapshots de réconciliation quotidiens</w:t>
      </w:r>
    </w:p>
    <w:p>
      <w:pPr>
        <w:spacing w:after="120" w:line="300"/>
        <w:jc w:val="both"/>
      </w:pPr>
      <w:r>
        <w:t xml:space="preserve">Chaque soir (avant la clôture 20h00), un job calcule et stocke un SnapshotJournalier comportant : date, caisse_id, solde_calculé_écritures (SUM des écritures), solde_caisse_table (champ Caisse.solde), solde_SAP (récupéré via API), écart, statut_réconciliation. Si écart est différent de zéro, alerte immédiate. On détecte les problèmes le jour même, pas trois mois plus tard quand le commissaire aux comptes les trouve.</w:t>
      </w:r>
    </w:p>
    <w:p>
      <w:pPr>
        <w:pStyle w:val="Heading2"/>
        <w:spacing w:after="160" w:before="280"/>
      </w:pPr>
      <w:r>
        <w:t xml:space="preserve">Synthèse — Priorités d'implémentation</w:t>
      </w:r>
    </w:p>
    <w:p>
      <w:pPr>
        <w:spacing w:after="120" w:line="300"/>
        <w:jc w:val="both"/>
      </w:pPr>
      <w:r>
        <w:t xml:space="preserve">Hiérarchisation des mesures selon leur impact sur la fiabilité du système et leur coût de mise en œuvre :</w:t>
      </w:r>
    </w:p>
    <w:p>
      <w:pPr>
        <w:spacing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2000"/>
        <w:gridCol w:w="2460"/>
      </w:tblGrid>
      <w:tr>
        <w:trPr>
          <w:tblHeader/>
        </w:trPr>
        <w:tc>
          <w:tcPr>
            <w:tcW w:type="dxa" w:w="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w:t>
            </w:r>
          </w:p>
        </w:tc>
        <w:tc>
          <w:tcPr>
            <w:tcW w:type="dxa" w:w="4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Mesure</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Impact</w:t>
            </w:r>
          </w:p>
        </w:tc>
        <w:tc>
          <w:tcPr>
            <w:tcW w:type="dxa" w:w="24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Coût implémentation</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center"/>
            </w:pPr>
            <w:r>
              <w:rPr>
                <w:b/>
                <w:bCs/>
                <w:sz w:val="20"/>
                <w:szCs w:val="20"/>
              </w:rPr>
              <w:t xml:space="preserve">1</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Comptabilité en partie double (écritures immuables)</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 Critique</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Moyen</w:t>
            </w:r>
          </w:p>
        </w:tc>
      </w:tr>
      <w:tr>
        <w:tc>
          <w:tcPr>
            <w:tcW w:type="dxa" w:w="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center"/>
            </w:pPr>
            <w:r>
              <w:rPr>
                <w:b/>
                <w:bCs/>
                <w:sz w:val="20"/>
                <w:szCs w:val="20"/>
              </w:rPr>
              <w:t xml:space="preserve">2</w:t>
            </w:r>
          </w:p>
        </w:tc>
        <w:tc>
          <w:tcPr>
            <w:tcW w:type="dxa" w:w="4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Idempotency keys</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 Critique</w:t>
            </w:r>
          </w:p>
        </w:tc>
        <w:tc>
          <w:tcPr>
            <w:tcW w:type="dxa" w:w="24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Faible</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center"/>
            </w:pPr>
            <w:r>
              <w:rPr>
                <w:b/>
                <w:bCs/>
                <w:sz w:val="20"/>
                <w:szCs w:val="20"/>
              </w:rPr>
              <w:t xml:space="preserve">3</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Argent en BIGINT / DECIMAL strict</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 Critique</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Faible</w:t>
            </w:r>
          </w:p>
        </w:tc>
      </w:tr>
      <w:tr>
        <w:tc>
          <w:tcPr>
            <w:tcW w:type="dxa" w:w="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center"/>
            </w:pPr>
            <w:r>
              <w:rPr>
                <w:b/>
                <w:bCs/>
                <w:sz w:val="20"/>
                <w:szCs w:val="20"/>
              </w:rPr>
              <w:t xml:space="preserve">4</w:t>
            </w:r>
          </w:p>
        </w:tc>
        <w:tc>
          <w:tcPr>
            <w:tcW w:type="dxa" w:w="4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Transactions ACID + isolation forte</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 Critique</w:t>
            </w:r>
          </w:p>
        </w:tc>
        <w:tc>
          <w:tcPr>
            <w:tcW w:type="dxa" w:w="24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Faible</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center"/>
            </w:pPr>
            <w:r>
              <w:rPr>
                <w:b/>
                <w:bCs/>
                <w:sz w:val="20"/>
                <w:szCs w:val="20"/>
              </w:rPr>
              <w:t xml:space="preserve">5</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Pattern Outbox pour SAP</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 Élevé</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Moyen</w:t>
            </w:r>
          </w:p>
        </w:tc>
      </w:tr>
      <w:tr>
        <w:tc>
          <w:tcPr>
            <w:tcW w:type="dxa" w:w="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center"/>
            </w:pPr>
            <w:r>
              <w:rPr>
                <w:b/>
                <w:bCs/>
                <w:sz w:val="20"/>
                <w:szCs w:val="20"/>
              </w:rPr>
              <w:t xml:space="preserve">6</w:t>
            </w:r>
          </w:p>
        </w:tc>
        <w:tc>
          <w:tcPr>
            <w:tcW w:type="dxa" w:w="4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Event sourcing sur les bons</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 Élevé</w:t>
            </w:r>
          </w:p>
        </w:tc>
        <w:tc>
          <w:tcPr>
            <w:tcW w:type="dxa" w:w="24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Moyen</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center"/>
            </w:pPr>
            <w:r>
              <w:rPr>
                <w:b/>
                <w:bCs/>
                <w:sz w:val="20"/>
                <w:szCs w:val="20"/>
              </w:rPr>
              <w:t xml:space="preserve">7</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Verrous optimistes (version)</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 Élevé</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Faible</w:t>
            </w:r>
          </w:p>
        </w:tc>
      </w:tr>
      <w:tr>
        <w:tc>
          <w:tcPr>
            <w:tcW w:type="dxa" w:w="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center"/>
            </w:pPr>
            <w:r>
              <w:rPr>
                <w:b/>
                <w:bCs/>
                <w:sz w:val="20"/>
                <w:szCs w:val="20"/>
              </w:rPr>
              <w:t xml:space="preserve">8</w:t>
            </w:r>
          </w:p>
        </w:tc>
        <w:tc>
          <w:tcPr>
            <w:tcW w:type="dxa" w:w="4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Snapshots de réconciliation quotidiens</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 Élevé</w:t>
            </w:r>
          </w:p>
        </w:tc>
        <w:tc>
          <w:tcPr>
            <w:tcW w:type="dxa" w:w="24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Faible</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center"/>
            </w:pPr>
            <w:r>
              <w:rPr>
                <w:b/>
                <w:bCs/>
                <w:sz w:val="20"/>
                <w:szCs w:val="20"/>
              </w:rPr>
              <w:t xml:space="preserve">9</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Audit log append-only</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 Important</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Faible</w:t>
            </w:r>
          </w:p>
        </w:tc>
      </w:tr>
      <w:tr>
        <w:tc>
          <w:tcPr>
            <w:tcW w:type="dxa" w:w="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center"/>
            </w:pPr>
            <w:r>
              <w:rPr>
                <w:b/>
                <w:bCs/>
                <w:sz w:val="20"/>
                <w:szCs w:val="20"/>
              </w:rPr>
              <w:t xml:space="preserve">10</w:t>
            </w:r>
          </w:p>
        </w:tc>
        <w:tc>
          <w:tcPr>
            <w:tcW w:type="dxa" w:w="4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Soft delete + UUID externes</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 Important</w:t>
            </w:r>
          </w:p>
        </w:tc>
        <w:tc>
          <w:tcPr>
            <w:tcW w:type="dxa" w:w="24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Faible</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center"/>
            </w:pPr>
            <w:r>
              <w:rPr>
                <w:b/>
                <w:bCs/>
                <w:sz w:val="20"/>
                <w:szCs w:val="20"/>
              </w:rPr>
              <w:t xml:space="preserve">11</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Saga / compensation transferts</w:t>
            </w:r>
          </w:p>
        </w:tc>
        <w:tc>
          <w:tcPr>
            <w:tcW w:type="dxa" w:w="2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 Confort</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Élevé</w:t>
            </w:r>
          </w:p>
        </w:tc>
      </w:tr>
      <w:tr>
        <w:tc>
          <w:tcPr>
            <w:tcW w:type="dxa" w:w="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center"/>
            </w:pPr>
            <w:r>
              <w:rPr>
                <w:b/>
                <w:bCs/>
                <w:sz w:val="20"/>
                <w:szCs w:val="20"/>
              </w:rPr>
              <w:t xml:space="preserve">12</w:t>
            </w:r>
          </w:p>
        </w:tc>
        <w:tc>
          <w:tcPr>
            <w:tcW w:type="dxa" w:w="45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Tables temporelles</w:t>
            </w:r>
          </w:p>
        </w:tc>
        <w:tc>
          <w:tcPr>
            <w:tcW w:type="dxa" w:w="20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 Confort</w:t>
            </w:r>
          </w:p>
        </w:tc>
        <w:tc>
          <w:tcPr>
            <w:tcW w:type="dxa" w:w="24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Moyen</w:t>
            </w:r>
          </w:p>
        </w:tc>
      </w:tr>
    </w:tbl>
    <w:p>
      <w:pPr>
        <w:spacing w:after="80"/>
      </w:pPr>
      <w:r>
        <w:t xml:space="preserve"> </w:t>
      </w:r>
    </w:p>
    <w:p>
      <w:pPr>
        <w:pStyle w:val="Heading2"/>
        <w:spacing w:after="160" w:before="280"/>
      </w:pPr>
      <w:r>
        <w:t xml:space="preserve">Conclusion</w:t>
      </w:r>
    </w:p>
    <w:p>
      <w:pPr>
        <w:spacing w:after="120" w:line="300"/>
        <w:jc w:val="both"/>
      </w:pPr>
      <w:r>
        <w:t xml:space="preserve">L'application de gestion de fond de caisse manipule des données financières sensibles, à fort enjeu de conformité et d'auditabilité. Sa conception ne peut pas se limiter au respect du cahier des charges fonctionnel : elle doit intégrer dès le départ les mécanismes structurels qui ont fait leurs preuves dans le secteur bancaire (partie double, idempotence, outbox, event sourcing).</w:t>
      </w:r>
    </w:p>
    <w:p>
      <w:pPr>
        <w:spacing w:after="120" w:line="300"/>
        <w:jc w:val="both"/>
      </w:pPr>
      <w:r>
        <w:t xml:space="preserve">Les recommandations de la Partie IV ne sont pas optionnelles pour un système qui gère de l'argent — elles constituent le socle minimal pour garantir l'intégrité, la traçabilité et la résilience attendues. Leur intégration au stade de la conception coûte significativement moins cher que leur ajout après la mise en production.</w:t>
      </w:r>
    </w:p>
    <w:p>
      <w:pPr>
        <w:spacing w:after="120" w:line="300"/>
        <w:jc w:val="both"/>
      </w:pPr>
      <w:r>
        <w:rPr>
          <w:i/>
          <w:iCs/>
        </w:rPr>
        <w:t xml:space="preserve">Ce document constitue la référence partagée entre la direction et l'équipe technique pour cadrer le démarrage du projet.</w:t>
      </w:r>
    </w:p>
    <w:p>
      <w:r>
        <w:br w:type="page"/>
      </w:r>
    </w:p>
    <w:p>
      <w:pPr>
        <w:pStyle w:val="Heading1"/>
        <w:spacing w:after="200" w:before="360"/>
      </w:pPr>
      <w:r>
        <w:t xml:space="preserve">Partie V — Proposition de stack technique</w:t>
      </w:r>
    </w:p>
    <w:p>
      <w:pPr>
        <w:spacing w:after="120" w:line="300"/>
        <w:jc w:val="both"/>
      </w:pPr>
      <w:r>
        <w:t xml:space="preserve">Cette partie propose une architecture technique cohérente pour la mise en œuvre du projet. Les choix sont justifiés par les contraintes métier (intégrité financière, audit, multi-devises, intégration SAP) et par l'état de l'art des écosystèmes en 2026. La cohérence linguistique (TypeScript du backend au mobile) est un objectif explicite : elle réduit la charge cognitive, facilite le partage de code et accélère le recrutement.</w:t>
      </w:r>
    </w:p>
    <w:p>
      <w:pPr>
        <w:pStyle w:val="Heading2"/>
        <w:spacing w:after="160" w:before="280"/>
      </w:pPr>
      <w:r>
        <w:t xml:space="preserve">1. Vue d'ensemble de la stack</w:t>
      </w:r>
    </w:p>
    <w:p>
      <w:pPr>
        <w:spacing w:after="120" w:line="300"/>
        <w:jc w:val="both"/>
      </w:pPr>
      <w:r>
        <w:t xml:space="preserve">La stack proposée s'articule autour d'un noyau **TypeScript** partagé entre les trois composantes (backend, web, mobile). Ce choix permet de mutualiser les types de données, les validateurs (Zod, class-validator) et une partie de la logique métier.</w:t>
      </w:r>
    </w:p>
    <w:p>
      <w:pPr>
        <w:spacing w:after="80"/>
      </w:pPr>
      <w:r>
        <w:t xml:space="preserve"> </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9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Couche</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Technologie retenue</w:t>
            </w:r>
          </w:p>
        </w:tc>
        <w:tc>
          <w:tcPr>
            <w:tcW w:type="dxa" w:w="4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Justification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Backend API</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NestJS (Node.js + TypeScript)</w:t>
            </w:r>
          </w:p>
        </w:tc>
        <w:tc>
          <w:tcPr>
            <w:tcW w:type="dxa" w:w="4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Framework structurant, modulaire, fortement typé. Standard entreprise en 2026.</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Base de données</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PostgreSQL 16+</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ACID strict, types DECIMAL natifs, contraintes CHECK puissantes, partial indexes.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ORM</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Prisma ou TypeORM</w:t>
            </w:r>
          </w:p>
        </w:tc>
        <w:tc>
          <w:tcPr>
            <w:tcW w:type="dxa" w:w="4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Prisma pour la productivité ; TypeORM pour les besoins avancés (héritage, polymorphisme).</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Frontend Web</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Vite + React 19 + TypeScript</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Build ultra-rapide, HMR instantané, écosystème React mature.</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UI Web</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Tailwind CSS + shadcn/ui</w:t>
            </w:r>
          </w:p>
        </w:tc>
        <w:tc>
          <w:tcPr>
            <w:tcW w:type="dxa" w:w="4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Composants modernes, accessibles, personnalisables sans surcouche lourde.</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Application mobile</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Expo (React Native)</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Partage de logique métier avec le web, OTA updates, EAS Build.</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État / Data fetching</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TanStack Query + Zustand</w:t>
            </w:r>
          </w:p>
        </w:tc>
        <w:tc>
          <w:tcPr>
            <w:tcW w:type="dxa" w:w="4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Cache serveur intelligent + état client léger.</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Authentification</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JWT + refresh tokens</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Stateless, compatible mobile, rotation des tokens.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Files de tâches</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BullMQ (Redis)</w:t>
            </w:r>
          </w:p>
        </w:tc>
        <w:tc>
          <w:tcPr>
            <w:tcW w:type="dxa" w:w="4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Pour la clôture 20h, le pattern Outbox, les renouvellements de bons récurrents.</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Conteneurisation</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Docker + Docker Compose</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Déploiement reproductible en dev comme en production.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CI/CD</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GitHub Actions ou GitLab CI</w:t>
            </w:r>
          </w:p>
        </w:tc>
        <w:tc>
          <w:tcPr>
            <w:tcW w:type="dxa" w:w="49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Tests + build + déploiement automatisés.</w:t>
            </w:r>
          </w:p>
        </w:tc>
      </w:tr>
      <w:tr>
        <w:tc>
          <w:tcPr>
            <w:tcW w:type="dxa" w:w="2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Monitoring</w:t>
            </w:r>
          </w:p>
        </w:tc>
        <w:tc>
          <w:tcPr>
            <w:tcW w:type="dxa" w:w="2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Sentry + Prometheus/Grafana</w:t>
            </w:r>
          </w:p>
        </w:tc>
        <w:tc>
          <w:tcPr>
            <w:tcW w:type="dxa" w:w="49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Erreurs applicatives + métriques système.</w:t>
            </w:r>
          </w:p>
        </w:tc>
      </w:tr>
    </w:tbl>
    <w:p>
      <w:pPr>
        <w:spacing w:after="80"/>
      </w:pPr>
      <w:r>
        <w:t xml:space="preserve"> </w:t>
      </w:r>
    </w:p>
    <w:p>
      <w:pPr>
        <w:pStyle w:val="Heading2"/>
        <w:spacing w:after="160" w:before="280"/>
      </w:pPr>
      <w:r>
        <w:t xml:space="preserve">2. Backend — NestJS</w:t>
      </w:r>
    </w:p>
    <w:p>
      <w:pPr>
        <w:pStyle w:val="Heading3"/>
        <w:spacing w:after="120" w:before="220"/>
      </w:pPr>
      <w:r>
        <w:t xml:space="preserve">2.1. Pourquoi NestJS</w:t>
      </w:r>
    </w:p>
    <w:p>
      <w:pPr>
        <w:spacing w:after="120" w:line="300"/>
        <w:jc w:val="both"/>
      </w:pPr>
      <w:r>
        <w:t xml:space="preserve">NestJS est, en 2026, **le framework Node.js de référence pour les applications d'entreprise**. Il est utilisé en production par Adidas, Roche, Société Générale et de nombreuses fintech. Il s'impose dans notre contexte pour les raisons suivantes :</w:t>
      </w:r>
    </w:p>
    <w:p>
      <w:pPr>
        <w:pStyle w:val="ListParagraph"/>
        <w:numPr>
          <w:ilvl w:val="0"/>
          <w:numId w:val="3"/>
        </w:numPr>
        <w:spacing w:after="80" w:line="300"/>
        <w:jc w:val="both"/>
      </w:pPr>
      <w:r>
        <w:rPr>
          <w:b/>
          <w:bCs/>
        </w:rPr>
        <w:t xml:space="preserve">Architecture modulaire native</w:t>
      </w:r>
      <w:r>
        <w:t xml:space="preserve"> : modules, contrôleurs, services, providers. Cette structure cartographie naturellement les cinq domaines de notre MCD (Sécurité, Référentiel, Financier, Transactionnel, Intégration).</w:t>
      </w:r>
    </w:p>
    <w:p>
      <w:pPr>
        <w:pStyle w:val="ListParagraph"/>
        <w:numPr>
          <w:ilvl w:val="0"/>
          <w:numId w:val="3"/>
        </w:numPr>
        <w:spacing w:after="80" w:line="300"/>
        <w:jc w:val="both"/>
      </w:pPr>
      <w:r>
        <w:rPr>
          <w:b/>
          <w:bCs/>
        </w:rPr>
        <w:t xml:space="preserve">TypeScript first</w:t>
      </w:r>
      <w:r>
        <w:t xml:space="preserve"> : typage strict de bout en bout. En manipulant des montants et des soldes, le typage compilé élimine une classe entière de bugs (confusion entre montants, devises, identifiants).</w:t>
      </w:r>
    </w:p>
    <w:p>
      <w:pPr>
        <w:pStyle w:val="ListParagraph"/>
        <w:numPr>
          <w:ilvl w:val="0"/>
          <w:numId w:val="3"/>
        </w:numPr>
        <w:spacing w:after="80" w:line="300"/>
        <w:jc w:val="both"/>
      </w:pPr>
      <w:r>
        <w:rPr>
          <w:b/>
          <w:bCs/>
        </w:rPr>
        <w:t xml:space="preserve">Injection de dépendances</w:t>
      </w:r>
      <w:r>
        <w:t xml:space="preserve"> intégrée : facilite les tests unitaires (mock des dépôts, des intégrations SAP) et l'inversion de contrôle.</w:t>
      </w:r>
    </w:p>
    <w:p>
      <w:pPr>
        <w:pStyle w:val="ListParagraph"/>
        <w:numPr>
          <w:ilvl w:val="0"/>
          <w:numId w:val="3"/>
        </w:numPr>
        <w:spacing w:after="80" w:line="300"/>
        <w:jc w:val="both"/>
      </w:pPr>
      <w:r>
        <w:rPr>
          <w:b/>
          <w:bCs/>
        </w:rPr>
        <w:t xml:space="preserve">Écosystème mature</w:t>
      </w:r>
      <w:r>
        <w:t xml:space="preserve"> : packages officiels pour Prisma/TypeORM, BullMQ, Swagger/OpenAPI, JWT, Passport, validation, cache, microservices, GraphQL.</w:t>
      </w:r>
    </w:p>
    <w:p>
      <w:pPr>
        <w:pStyle w:val="ListParagraph"/>
        <w:numPr>
          <w:ilvl w:val="0"/>
          <w:numId w:val="3"/>
        </w:numPr>
        <w:spacing w:after="80" w:line="300"/>
        <w:jc w:val="both"/>
      </w:pPr>
      <w:r>
        <w:rPr>
          <w:b/>
          <w:bCs/>
        </w:rPr>
        <w:t xml:space="preserve">CLI productif</w:t>
      </w:r>
      <w:r>
        <w:t xml:space="preserve"> : </w:t>
      </w:r>
      <w:r>
        <w:rPr>
          <w:rFonts w:ascii="Consolas" w:cs="Consolas" w:eastAsia="Consolas" w:hAnsi="Consolas"/>
          <w:color w:val="C7254E"/>
          <w:sz w:val="20"/>
          <w:szCs w:val="20"/>
        </w:rPr>
        <w:t xml:space="preserve">nest generate resource</w:t>
      </w:r>
      <w:r>
        <w:t xml:space="preserve"> génère un CRUD complet (module, contrôleur, service, DTO, tests) en une commande.</w:t>
      </w:r>
    </w:p>
    <w:p>
      <w:pPr>
        <w:pStyle w:val="ListParagraph"/>
        <w:numPr>
          <w:ilvl w:val="0"/>
          <w:numId w:val="3"/>
        </w:numPr>
        <w:spacing w:after="80" w:line="300"/>
        <w:jc w:val="both"/>
      </w:pPr>
      <w:r>
        <w:rPr>
          <w:b/>
          <w:bCs/>
        </w:rPr>
        <w:t xml:space="preserve">Compilation native</w:t>
      </w:r>
      <w:r>
        <w:t xml:space="preserve"> : NestJS compile en JavaScript via le compilateur TypeScript ou SWC. Le binaire de production est rapide à démarrer et léger en mémoire.</w:t>
      </w:r>
    </w:p>
    <w:p>
      <w:pPr>
        <w:pStyle w:val="Heading3"/>
        <w:spacing w:after="120" w:before="220"/>
      </w:pPr>
      <w:r>
        <w:t xml:space="preserve">2.2. Modules à mettre en place</w:t>
      </w:r>
    </w:p>
    <w:p>
      <w:pPr>
        <w:spacing w:after="120" w:line="300"/>
        <w:jc w:val="both"/>
      </w:pPr>
      <w:r>
        <w:t xml:space="preserve">Le découpage du backend reprend les domaines fonctionnels du MCD :</w:t>
      </w:r>
    </w:p>
    <w:p>
      <w:pPr>
        <w:pStyle w:val="ListParagraph"/>
        <w:numPr>
          <w:ilvl w:val="0"/>
          <w:numId w:val="3"/>
        </w:numPr>
        <w:spacing w:after="80" w:line="300"/>
        <w:jc w:val="both"/>
      </w:pPr>
      <w:r>
        <w:rPr>
          <w:b/>
          <w:bCs/>
        </w:rPr>
        <w:t xml:space="preserve">AuthModule</w:t>
      </w:r>
      <w:r>
        <w:t xml:space="preserve"> : authentification JWT, refresh tokens, gestion des sessions, rotation des tokens.</w:t>
      </w:r>
    </w:p>
    <w:p>
      <w:pPr>
        <w:pStyle w:val="ListParagraph"/>
        <w:numPr>
          <w:ilvl w:val="0"/>
          <w:numId w:val="3"/>
        </w:numPr>
        <w:spacing w:after="80" w:line="300"/>
        <w:jc w:val="both"/>
      </w:pPr>
      <w:r>
        <w:rPr>
          <w:b/>
          <w:bCs/>
        </w:rPr>
        <w:t xml:space="preserve">UsersModule</w:t>
      </w:r>
      <w:r>
        <w:t xml:space="preserve"> : utilisateurs, rôles, permissions, directions, intérims.</w:t>
      </w:r>
    </w:p>
    <w:p>
      <w:pPr>
        <w:pStyle w:val="ListParagraph"/>
        <w:numPr>
          <w:ilvl w:val="0"/>
          <w:numId w:val="3"/>
        </w:numPr>
        <w:spacing w:after="80" w:line="300"/>
        <w:jc w:val="both"/>
      </w:pPr>
      <w:r>
        <w:rPr>
          <w:b/>
          <w:bCs/>
        </w:rPr>
        <w:t xml:space="preserve">ReferenceModule</w:t>
      </w:r>
      <w:r>
        <w:t xml:space="preserve"> : clients, fournisseurs, plan comptable, centres de coût, natures d'opération.</w:t>
      </w:r>
    </w:p>
    <w:p>
      <w:pPr>
        <w:pStyle w:val="ListParagraph"/>
        <w:numPr>
          <w:ilvl w:val="0"/>
          <w:numId w:val="3"/>
        </w:numPr>
        <w:spacing w:after="80" w:line="300"/>
        <w:jc w:val="both"/>
      </w:pPr>
      <w:r>
        <w:rPr>
          <w:b/>
          <w:bCs/>
        </w:rPr>
        <w:t xml:space="preserve">FinanceModule</w:t>
      </w:r>
      <w:r>
        <w:t xml:space="preserve"> : caisses, portefeuilles, devises, taux d'échange, sessions de caisse, comptes de gain/perte de change.</w:t>
      </w:r>
    </w:p>
    <w:p>
      <w:pPr>
        <w:pStyle w:val="ListParagraph"/>
        <w:numPr>
          <w:ilvl w:val="0"/>
          <w:numId w:val="3"/>
        </w:numPr>
        <w:spacing w:after="80" w:line="300"/>
        <w:jc w:val="both"/>
      </w:pPr>
      <w:r>
        <w:rPr>
          <w:b/>
          <w:bCs/>
        </w:rPr>
        <w:t xml:space="preserve">BonsModule</w:t>
      </w:r>
      <w:r>
        <w:t xml:space="preserve"> : bons, sous-bons, validations, signatures, impressions, récurrence.</w:t>
      </w:r>
    </w:p>
    <w:p>
      <w:pPr>
        <w:pStyle w:val="ListParagraph"/>
        <w:numPr>
          <w:ilvl w:val="0"/>
          <w:numId w:val="3"/>
        </w:numPr>
        <w:spacing w:after="80" w:line="300"/>
        <w:jc w:val="both"/>
      </w:pPr>
      <w:r>
        <w:rPr>
          <w:b/>
          <w:bCs/>
        </w:rPr>
        <w:t xml:space="preserve">TreasuryModule</w:t>
      </w:r>
      <w:r>
        <w:t xml:space="preserve"> : décaissements, transferts, opérations, écritures comptables (partie double).</w:t>
      </w:r>
    </w:p>
    <w:p>
      <w:pPr>
        <w:pStyle w:val="ListParagraph"/>
        <w:numPr>
          <w:ilvl w:val="0"/>
          <w:numId w:val="3"/>
        </w:numPr>
        <w:spacing w:after="80" w:line="300"/>
        <w:jc w:val="both"/>
      </w:pPr>
      <w:r>
        <w:rPr>
          <w:b/>
          <w:bCs/>
        </w:rPr>
        <w:t xml:space="preserve">LedgerModule</w:t>
      </w:r>
      <w:r>
        <w:t xml:space="preserve"> : table d'écritures immuables, calcul des soldes, signatures d'intégrité (SHA-256 chaînés).</w:t>
      </w:r>
    </w:p>
    <w:p>
      <w:pPr>
        <w:pStyle w:val="ListParagraph"/>
        <w:numPr>
          <w:ilvl w:val="0"/>
          <w:numId w:val="3"/>
        </w:numPr>
        <w:spacing w:after="80" w:line="300"/>
        <w:jc w:val="both"/>
      </w:pPr>
      <w:r>
        <w:rPr>
          <w:b/>
          <w:bCs/>
        </w:rPr>
        <w:t xml:space="preserve">IntegrationModule</w:t>
      </w:r>
      <w:r>
        <w:t xml:space="preserve"> : intégration SAP via le pattern Outbox, synchronisation, logs.</w:t>
      </w:r>
    </w:p>
    <w:p>
      <w:pPr>
        <w:pStyle w:val="ListParagraph"/>
        <w:numPr>
          <w:ilvl w:val="0"/>
          <w:numId w:val="3"/>
        </w:numPr>
        <w:spacing w:after="80" w:line="300"/>
        <w:jc w:val="both"/>
      </w:pPr>
      <w:r>
        <w:rPr>
          <w:b/>
          <w:bCs/>
        </w:rPr>
        <w:t xml:space="preserve">AuditModule</w:t>
      </w:r>
      <w:r>
        <w:t xml:space="preserve"> : journal d'audit append-only, événements métier (event sourcing).</w:t>
      </w:r>
    </w:p>
    <w:p>
      <w:pPr>
        <w:pStyle w:val="ListParagraph"/>
        <w:numPr>
          <w:ilvl w:val="0"/>
          <w:numId w:val="3"/>
        </w:numPr>
        <w:spacing w:after="80" w:line="300"/>
        <w:jc w:val="both"/>
      </w:pPr>
      <w:r>
        <w:rPr>
          <w:b/>
          <w:bCs/>
        </w:rPr>
        <w:t xml:space="preserve">JobsModule</w:t>
      </w:r>
      <w:r>
        <w:t xml:space="preserve"> : tâches planifiées (clôture 20h, renouvellements de bons récurrents, snapshots de réconciliation) via BullMQ.</w:t>
      </w:r>
    </w:p>
    <w:p>
      <w:pPr>
        <w:pStyle w:val="Heading3"/>
        <w:spacing w:after="120" w:before="220"/>
      </w:pPr>
      <w:r>
        <w:t xml:space="preserve">2.3. Stack périphérique recommandée</w:t>
      </w:r>
    </w:p>
    <w:p>
      <w:pPr>
        <w:pStyle w:val="ListParagraph"/>
        <w:numPr>
          <w:ilvl w:val="0"/>
          <w:numId w:val="3"/>
        </w:numPr>
        <w:spacing w:after="80" w:line="300"/>
        <w:jc w:val="both"/>
      </w:pPr>
      <w:r>
        <w:rPr>
          <w:b/>
          <w:bCs/>
        </w:rPr>
        <w:t xml:space="preserve">ORM</w:t>
      </w:r>
      <w:r>
        <w:t xml:space="preserve"> : </w:t>
      </w:r>
      <w:r>
        <w:rPr>
          <w:b/>
          <w:bCs/>
        </w:rPr>
        <w:t xml:space="preserve">Prisma</w:t>
      </w:r>
      <w:r>
        <w:t xml:space="preserve"> pour sa productivité et son générateur de types ; alternative TypeORM si des fonctionnalités avancées sont nécessaires (héritage, audit hooks).</w:t>
      </w:r>
    </w:p>
    <w:p>
      <w:pPr>
        <w:pStyle w:val="ListParagraph"/>
        <w:numPr>
          <w:ilvl w:val="0"/>
          <w:numId w:val="3"/>
        </w:numPr>
        <w:spacing w:after="80" w:line="300"/>
        <w:jc w:val="both"/>
      </w:pPr>
      <w:r>
        <w:rPr>
          <w:b/>
          <w:bCs/>
        </w:rPr>
        <w:t xml:space="preserve">Validation</w:t>
      </w:r>
      <w:r>
        <w:t xml:space="preserve"> : </w:t>
      </w:r>
      <w:r>
        <w:rPr>
          <w:b/>
          <w:bCs/>
        </w:rPr>
        <w:t xml:space="preserve">Zod</w:t>
      </w:r>
      <w:r>
        <w:t xml:space="preserve"> ou </w:t>
      </w:r>
      <w:r>
        <w:rPr>
          <w:b/>
          <w:bCs/>
        </w:rPr>
        <w:t xml:space="preserve">class-validator</w:t>
      </w:r>
      <w:r>
        <w:t xml:space="preserve"> pour valider les DTOs entrants. Indispensable pour les montants, devises et statuts.</w:t>
      </w:r>
    </w:p>
    <w:p>
      <w:pPr>
        <w:pStyle w:val="ListParagraph"/>
        <w:numPr>
          <w:ilvl w:val="0"/>
          <w:numId w:val="3"/>
        </w:numPr>
        <w:spacing w:after="80" w:line="300"/>
        <w:jc w:val="both"/>
      </w:pPr>
      <w:r>
        <w:rPr>
          <w:b/>
          <w:bCs/>
        </w:rPr>
        <w:t xml:space="preserve">Documentation API</w:t>
      </w:r>
      <w:r>
        <w:t xml:space="preserve"> : </w:t>
      </w:r>
      <w:r>
        <w:rPr>
          <w:b/>
          <w:bCs/>
        </w:rPr>
        <w:t xml:space="preserve">@nestjs/swagger</w:t>
      </w:r>
      <w:r>
        <w:t xml:space="preserve"> génère automatiquement une documentation OpenAPI à partir des décorateurs. Cette documentation est consommée par le frontend et le mobile.</w:t>
      </w:r>
    </w:p>
    <w:p>
      <w:pPr>
        <w:pStyle w:val="ListParagraph"/>
        <w:numPr>
          <w:ilvl w:val="0"/>
          <w:numId w:val="3"/>
        </w:numPr>
        <w:spacing w:after="80" w:line="300"/>
        <w:jc w:val="both"/>
      </w:pPr>
      <w:r>
        <w:rPr>
          <w:b/>
          <w:bCs/>
        </w:rPr>
        <w:t xml:space="preserve">Tests</w:t>
      </w:r>
      <w:r>
        <w:t xml:space="preserve"> : </w:t>
      </w:r>
      <w:r>
        <w:rPr>
          <w:b/>
          <w:bCs/>
        </w:rPr>
        <w:t xml:space="preserve">Jest</w:t>
      </w:r>
      <w:r>
        <w:t xml:space="preserve"> pour les tests unitaires, </w:t>
      </w:r>
      <w:r>
        <w:rPr>
          <w:b/>
          <w:bCs/>
        </w:rPr>
        <w:t xml:space="preserve">Supertest</w:t>
      </w:r>
      <w:r>
        <w:t xml:space="preserve"> pour les tests d'intégration.</w:t>
      </w:r>
    </w:p>
    <w:p>
      <w:pPr>
        <w:pStyle w:val="ListParagraph"/>
        <w:numPr>
          <w:ilvl w:val="0"/>
          <w:numId w:val="3"/>
        </w:numPr>
        <w:spacing w:after="80" w:line="300"/>
        <w:jc w:val="both"/>
      </w:pPr>
      <w:r>
        <w:rPr>
          <w:b/>
          <w:bCs/>
        </w:rPr>
        <w:t xml:space="preserve">Logs</w:t>
      </w:r>
      <w:r>
        <w:t xml:space="preserve"> : </w:t>
      </w:r>
      <w:r>
        <w:rPr>
          <w:b/>
          <w:bCs/>
        </w:rPr>
        <w:t xml:space="preserve">Pino</w:t>
      </w:r>
      <w:r>
        <w:t xml:space="preserve"> (le plus rapide en Node.js), structuré en JSON.</w:t>
      </w:r>
    </w:p>
    <w:p>
      <w:pPr>
        <w:pStyle w:val="ListParagraph"/>
        <w:numPr>
          <w:ilvl w:val="0"/>
          <w:numId w:val="3"/>
        </w:numPr>
        <w:spacing w:after="80" w:line="300"/>
        <w:jc w:val="both"/>
      </w:pPr>
      <w:r>
        <w:rPr>
          <w:b/>
          <w:bCs/>
        </w:rPr>
        <w:t xml:space="preserve">Cache</w:t>
      </w:r>
      <w:r>
        <w:t xml:space="preserve"> : </w:t>
      </w:r>
      <w:r>
        <w:rPr>
          <w:b/>
          <w:bCs/>
        </w:rPr>
        <w:t xml:space="preserve">Redis</w:t>
      </w:r>
      <w:r>
        <w:t xml:space="preserve"> pour les sessions, les caches de lecture, les idempotency keys, et les files de tâches BullMQ.</w:t>
      </w:r>
    </w:p>
    <w:p>
      <w:pPr>
        <w:pStyle w:val="Heading3"/>
        <w:spacing w:after="120" w:before="220"/>
      </w:pPr>
      <w:r>
        <w:t xml:space="preserve">2.4. Compilation et déploiement</w:t>
      </w:r>
    </w:p>
    <w:p>
      <w:pPr>
        <w:spacing w:after="120" w:line="300"/>
        <w:jc w:val="both"/>
      </w:pPr>
      <w:r>
        <w:t xml:space="preserve">Le code TypeScript est compilé en JavaScript optimisé via SWC (10x plus rapide que tsc). Le résultat est packagé dans une image Docker multi-stage (build → runtime), ce qui produit une image finale de moins de 200 Mo basée sur node:alpine. Le déploiement se fait via Docker Compose en environnement de pré-production et via Kubernetes ou un orchestrateur équivalent en production.</w:t>
      </w:r>
    </w:p>
    <w:p>
      <w:pPr>
        <w:pStyle w:val="Heading2"/>
        <w:spacing w:after="160" w:before="280"/>
      </w:pPr>
      <w:r>
        <w:t xml:space="preserve">3. Frontend Web — Vite + React + TypeScript</w:t>
      </w:r>
    </w:p>
    <w:p>
      <w:pPr>
        <w:pStyle w:val="Heading3"/>
        <w:spacing w:after="120" w:before="220"/>
      </w:pPr>
      <w:r>
        <w:t xml:space="preserve">3.1. Pourquoi Vite</w:t>
      </w:r>
    </w:p>
    <w:p>
      <w:pPr>
        <w:spacing w:after="120" w:line="300"/>
        <w:jc w:val="both"/>
      </w:pPr>
      <w:r>
        <w:t xml:space="preserve">**Vite** est le bundler de référence en 2026 pour les applications React. Il remplace définitivement Create React App (déprécié) et webpack pour les nouveaux projets. Ses atouts :</w:t>
      </w:r>
    </w:p>
    <w:p>
      <w:pPr>
        <w:pStyle w:val="ListParagraph"/>
        <w:numPr>
          <w:ilvl w:val="0"/>
          <w:numId w:val="3"/>
        </w:numPr>
        <w:spacing w:after="80" w:line="300"/>
        <w:jc w:val="both"/>
      </w:pPr>
      <w:r>
        <w:rPr>
          <w:b/>
          <w:bCs/>
        </w:rPr>
        <w:t xml:space="preserve">Démarrage instantané</w:t>
      </w:r>
      <w:r>
        <w:t xml:space="preserve"> : Vite utilise ESM natif en développement, le serveur de dev se lance en moins d'une seconde même sur de gros projets.</w:t>
      </w:r>
    </w:p>
    <w:p>
      <w:pPr>
        <w:pStyle w:val="ListParagraph"/>
        <w:numPr>
          <w:ilvl w:val="0"/>
          <w:numId w:val="3"/>
        </w:numPr>
        <w:spacing w:after="80" w:line="300"/>
        <w:jc w:val="both"/>
      </w:pPr>
      <w:r>
        <w:rPr>
          <w:b/>
          <w:bCs/>
        </w:rPr>
        <w:t xml:space="preserve">Hot Module Replacement (HMR)</w:t>
      </w:r>
      <w:r>
        <w:t xml:space="preserve"> sous 50ms : la productivité des développeurs est multipliée.</w:t>
      </w:r>
    </w:p>
    <w:p>
      <w:pPr>
        <w:pStyle w:val="ListParagraph"/>
        <w:numPr>
          <w:ilvl w:val="0"/>
          <w:numId w:val="3"/>
        </w:numPr>
        <w:spacing w:after="80" w:line="300"/>
        <w:jc w:val="both"/>
      </w:pPr>
      <w:r>
        <w:rPr>
          <w:b/>
          <w:bCs/>
        </w:rPr>
        <w:t xml:space="preserve">Build de production via Rollup</w:t>
      </w:r>
      <w:r>
        <w:t xml:space="preserve"> : tree-shaking agressif, code splitting automatique, bundle final minimal.</w:t>
      </w:r>
    </w:p>
    <w:p>
      <w:pPr>
        <w:pStyle w:val="ListParagraph"/>
        <w:numPr>
          <w:ilvl w:val="0"/>
          <w:numId w:val="3"/>
        </w:numPr>
        <w:spacing w:after="80" w:line="300"/>
        <w:jc w:val="both"/>
      </w:pPr>
      <w:r>
        <w:rPr>
          <w:b/>
          <w:bCs/>
        </w:rPr>
        <w:t xml:space="preserve">Support natif TypeScript, JSX, CSS modules, PostCSS, Tailwind, SVG</w:t>
      </w:r>
      <w:r>
        <w:t xml:space="preserve"> sans configuration.</w:t>
      </w:r>
    </w:p>
    <w:p>
      <w:pPr>
        <w:pStyle w:val="ListParagraph"/>
        <w:numPr>
          <w:ilvl w:val="0"/>
          <w:numId w:val="3"/>
        </w:numPr>
        <w:spacing w:after="80" w:line="300"/>
        <w:jc w:val="both"/>
      </w:pPr>
      <w:r>
        <w:rPr>
          <w:b/>
          <w:bCs/>
        </w:rPr>
        <w:t xml:space="preserve">Écosystème de plugins</w:t>
      </w:r>
      <w:r>
        <w:t xml:space="preserve"> très riche (PWA, compression, analyseur de bundle, tests Vitest).</w:t>
      </w:r>
    </w:p>
    <w:p>
      <w:pPr>
        <w:pStyle w:val="Heading3"/>
        <w:spacing w:after="120" w:before="220"/>
      </w:pPr>
      <w:r>
        <w:t xml:space="preserve">3.2. Stack frontend recommandée</w:t>
      </w:r>
    </w:p>
    <w:p>
      <w:pPr>
        <w:pStyle w:val="ListParagraph"/>
        <w:numPr>
          <w:ilvl w:val="0"/>
          <w:numId w:val="3"/>
        </w:numPr>
        <w:spacing w:after="80" w:line="300"/>
        <w:jc w:val="both"/>
      </w:pPr>
      <w:r>
        <w:rPr>
          <w:b/>
          <w:bCs/>
        </w:rPr>
        <w:t xml:space="preserve">React 19</w:t>
      </w:r>
      <w:r>
        <w:t xml:space="preserve"> : Server Components, transitions, suspense — les briques modernes pour des interfaces réactives.</w:t>
      </w:r>
    </w:p>
    <w:p>
      <w:pPr>
        <w:pStyle w:val="ListParagraph"/>
        <w:numPr>
          <w:ilvl w:val="0"/>
          <w:numId w:val="3"/>
        </w:numPr>
        <w:spacing w:after="80" w:line="300"/>
        <w:jc w:val="both"/>
      </w:pPr>
      <w:r>
        <w:rPr>
          <w:b/>
          <w:bCs/>
        </w:rPr>
        <w:t xml:space="preserve">TypeScript</w:t>
      </w:r>
      <w:r>
        <w:t xml:space="preserve"> : types partagés avec le backend NestJS via un package commun ou via la génération de types depuis l'OpenAPI.</w:t>
      </w:r>
    </w:p>
    <w:p>
      <w:pPr>
        <w:pStyle w:val="ListParagraph"/>
        <w:numPr>
          <w:ilvl w:val="0"/>
          <w:numId w:val="3"/>
        </w:numPr>
        <w:spacing w:after="80" w:line="300"/>
        <w:jc w:val="both"/>
      </w:pPr>
      <w:r>
        <w:rPr>
          <w:b/>
          <w:bCs/>
        </w:rPr>
        <w:t xml:space="preserve">TanStack Router</w:t>
      </w:r>
      <w:r>
        <w:t xml:space="preserve"> : routeur type-safe, plus avancé que React Router pour les applications complexes.</w:t>
      </w:r>
    </w:p>
    <w:p>
      <w:pPr>
        <w:pStyle w:val="ListParagraph"/>
        <w:numPr>
          <w:ilvl w:val="0"/>
          <w:numId w:val="3"/>
        </w:numPr>
        <w:spacing w:after="80" w:line="300"/>
        <w:jc w:val="both"/>
      </w:pPr>
      <w:r>
        <w:rPr>
          <w:b/>
          <w:bCs/>
        </w:rPr>
        <w:t xml:space="preserve">TanStack Query (React Query)</w:t>
      </w:r>
      <w:r>
        <w:t xml:space="preserve"> : gestion du cache serveur, mutations optimistes, retry automatique. Indispensable pour un dashboard temps réel.</w:t>
      </w:r>
    </w:p>
    <w:p>
      <w:pPr>
        <w:pStyle w:val="ListParagraph"/>
        <w:numPr>
          <w:ilvl w:val="0"/>
          <w:numId w:val="3"/>
        </w:numPr>
        <w:spacing w:after="80" w:line="300"/>
        <w:jc w:val="both"/>
      </w:pPr>
      <w:r>
        <w:rPr>
          <w:b/>
          <w:bCs/>
        </w:rPr>
        <w:t xml:space="preserve">Zustand</w:t>
      </w:r>
      <w:r>
        <w:t xml:space="preserve"> : gestion d'état client minimaliste (préférences UI, filtres, sélections). Plus simple et plus rapide que Redux pour ce type d'application.</w:t>
      </w:r>
    </w:p>
    <w:p>
      <w:pPr>
        <w:pStyle w:val="ListParagraph"/>
        <w:numPr>
          <w:ilvl w:val="0"/>
          <w:numId w:val="3"/>
        </w:numPr>
        <w:spacing w:after="80" w:line="300"/>
        <w:jc w:val="both"/>
      </w:pPr>
      <w:r>
        <w:rPr>
          <w:b/>
          <w:bCs/>
        </w:rPr>
        <w:t xml:space="preserve">Tailwind CSS</w:t>
      </w:r>
      <w:r>
        <w:t xml:space="preserve"> : système d'utilitaires, dark mode, design system cohérent.</w:t>
      </w:r>
    </w:p>
    <w:p>
      <w:pPr>
        <w:pStyle w:val="ListParagraph"/>
        <w:numPr>
          <w:ilvl w:val="0"/>
          <w:numId w:val="3"/>
        </w:numPr>
        <w:spacing w:after="80" w:line="300"/>
        <w:jc w:val="both"/>
      </w:pPr>
      <w:r>
        <w:rPr>
          <w:b/>
          <w:bCs/>
        </w:rPr>
        <w:t xml:space="preserve">shadcn/ui</w:t>
      </w:r>
      <w:r>
        <w:t xml:space="preserve"> : bibliothèque de composants accessibles (boutons, modals, tables, formulaires) basée sur Radix UI. Les composants sont </w:t>
      </w:r>
      <w:r>
        <w:rPr>
          <w:b/>
          <w:bCs/>
        </w:rPr>
        <w:t xml:space="preserve">copiés</w:t>
      </w:r>
      <w:r>
        <w:t xml:space="preserve"> dans le projet, ce qui donne un contrôle total et évite le verrouillage.</w:t>
      </w:r>
    </w:p>
    <w:p>
      <w:pPr>
        <w:pStyle w:val="ListParagraph"/>
        <w:numPr>
          <w:ilvl w:val="0"/>
          <w:numId w:val="3"/>
        </w:numPr>
        <w:spacing w:after="80" w:line="300"/>
        <w:jc w:val="both"/>
      </w:pPr>
      <w:r>
        <w:rPr>
          <w:b/>
          <w:bCs/>
        </w:rPr>
        <w:t xml:space="preserve">React Hook Form + Zod</w:t>
      </w:r>
      <w:r>
        <w:t xml:space="preserve"> : formulaires performants avec validation typée.</w:t>
      </w:r>
    </w:p>
    <w:p>
      <w:pPr>
        <w:pStyle w:val="ListParagraph"/>
        <w:numPr>
          <w:ilvl w:val="0"/>
          <w:numId w:val="3"/>
        </w:numPr>
        <w:spacing w:after="80" w:line="300"/>
        <w:jc w:val="both"/>
      </w:pPr>
      <w:r>
        <w:rPr>
          <w:b/>
          <w:bCs/>
        </w:rPr>
        <w:t xml:space="preserve">TanStack Table</w:t>
      </w:r>
      <w:r>
        <w:t xml:space="preserve"> : tables de données avancées (tri, filtrage, pagination, virtualisation) — parfait pour les listes de bons et d'opérations.</w:t>
      </w:r>
    </w:p>
    <w:p>
      <w:pPr>
        <w:pStyle w:val="ListParagraph"/>
        <w:numPr>
          <w:ilvl w:val="0"/>
          <w:numId w:val="3"/>
        </w:numPr>
        <w:spacing w:after="80" w:line="300"/>
        <w:jc w:val="both"/>
      </w:pPr>
      <w:r>
        <w:rPr>
          <w:b/>
          <w:bCs/>
        </w:rPr>
        <w:t xml:space="preserve">Recharts ou Chart.js</w:t>
      </w:r>
      <w:r>
        <w:t xml:space="preserve"> : graphiques pour les tableaux de bord de trésorerie.</w:t>
      </w:r>
    </w:p>
    <w:p>
      <w:pPr>
        <w:pStyle w:val="Heading3"/>
        <w:spacing w:after="120" w:before="220"/>
      </w:pPr>
      <w:r>
        <w:t xml:space="preserve">3.3. Génération automatique du client API</w:t>
      </w:r>
    </w:p>
    <w:p>
      <w:pPr>
        <w:spacing w:after="120" w:line="300"/>
        <w:jc w:val="both"/>
      </w:pPr>
      <w:r>
        <w:t xml:space="preserve">Le backend NestJS expose une spécification **OpenAPI** générée automatiquement par Swagger. Côté frontend, un outil comme **Orval** ou **openapi-typescript-codegen** consomme cette spec et génère :</w:t>
      </w:r>
    </w:p>
    <w:p>
      <w:pPr>
        <w:pStyle w:val="ListParagraph"/>
        <w:numPr>
          <w:ilvl w:val="0"/>
          <w:numId w:val="3"/>
        </w:numPr>
        <w:spacing w:after="80" w:line="300"/>
        <w:jc w:val="both"/>
      </w:pPr>
      <w:r>
        <w:t xml:space="preserve">Les types TypeScript de toutes les entités (Bon, SousBon, Caisse...).</w:t>
      </w:r>
    </w:p>
    <w:p>
      <w:pPr>
        <w:pStyle w:val="ListParagraph"/>
        <w:numPr>
          <w:ilvl w:val="0"/>
          <w:numId w:val="3"/>
        </w:numPr>
        <w:spacing w:after="80" w:line="300"/>
        <w:jc w:val="both"/>
      </w:pPr>
      <w:r>
        <w:t xml:space="preserve">Les hooks React Query prêts à l'emploi pour chaque endpoint.</w:t>
      </w:r>
    </w:p>
    <w:p>
      <w:pPr>
        <w:pStyle w:val="ListParagraph"/>
        <w:numPr>
          <w:ilvl w:val="0"/>
          <w:numId w:val="3"/>
        </w:numPr>
        <w:spacing w:after="80" w:line="300"/>
        <w:jc w:val="both"/>
      </w:pPr>
      <w:r>
        <w:t xml:space="preserve">La validation des payloads.</w:t>
      </w:r>
    </w:p>
    <w:p>
      <w:pPr>
        <w:spacing w:after="120" w:line="300"/>
        <w:jc w:val="both"/>
      </w:pPr>
      <w:r>
        <w:t xml:space="preserve">Avantage : zéro divergence entre les types backend et frontend, refactoring sans risque, autocomplétion partout.</w:t>
      </w:r>
    </w:p>
    <w:p>
      <w:pPr>
        <w:pStyle w:val="Heading2"/>
        <w:spacing w:after="160" w:before="280"/>
      </w:pPr>
      <w:r>
        <w:t xml:space="preserve">4. Application mobile — Expo (React Native) ou Flutter</w:t>
      </w:r>
    </w:p>
    <w:p>
      <w:pPr>
        <w:pStyle w:val="Heading3"/>
        <w:spacing w:after="120" w:before="220"/>
      </w:pPr>
      <w:r>
        <w:t xml:space="preserve">4.1. Recommandation : Expo</w:t>
      </w:r>
    </w:p>
    <w:p>
      <w:pPr>
        <w:spacing w:after="120" w:line="300"/>
        <w:jc w:val="both"/>
      </w:pPr>
      <w:r>
        <w:t xml:space="preserve">Pour notre contexte, **Expo** (React Native managé) est la solution recommandée plutôt que Flutter, pour quatre raisons majeures :</w:t>
      </w:r>
    </w:p>
    <w:p>
      <w:pPr>
        <w:pStyle w:val="ListParagraph"/>
        <w:numPr>
          <w:ilvl w:val="0"/>
          <w:numId w:val="3"/>
        </w:numPr>
        <w:spacing w:after="80" w:line="300"/>
        <w:jc w:val="both"/>
      </w:pPr>
      <w:r>
        <w:rPr>
          <w:b/>
          <w:bCs/>
        </w:rPr>
        <w:t xml:space="preserve">Cohérence linguistique</w:t>
      </w:r>
      <w:r>
        <w:t xml:space="preserve"> : le mobile partage TypeScript avec le web et le backend. Les types métier, les validateurs et même certaines fonctions utilitaires (calcul de change, formatage des montants) peuvent être mutualisés via un package commun.</w:t>
      </w:r>
    </w:p>
    <w:p>
      <w:pPr>
        <w:pStyle w:val="ListParagraph"/>
        <w:numPr>
          <w:ilvl w:val="0"/>
          <w:numId w:val="3"/>
        </w:numPr>
        <w:spacing w:after="80" w:line="300"/>
        <w:jc w:val="both"/>
      </w:pPr>
      <w:r>
        <w:rPr>
          <w:b/>
          <w:bCs/>
        </w:rPr>
        <w:t xml:space="preserve">Capitalisation des compétences</w:t>
      </w:r>
      <w:r>
        <w:t xml:space="preserve"> : l'équipe qui développe le frontend React peut contribuer au mobile sans changer de langage ni de paradigme. C'est un gain immédiat sur la productivité et le recrutement.</w:t>
      </w:r>
    </w:p>
    <w:p>
      <w:pPr>
        <w:pStyle w:val="ListParagraph"/>
        <w:numPr>
          <w:ilvl w:val="0"/>
          <w:numId w:val="3"/>
        </w:numPr>
        <w:spacing w:after="80" w:line="300"/>
        <w:jc w:val="both"/>
      </w:pPr>
      <w:r>
        <w:rPr>
          <w:b/>
          <w:bCs/>
        </w:rPr>
        <w:t xml:space="preserve">OTA updates</w:t>
      </w:r>
      <w:r>
        <w:t xml:space="preserve"> : Expo permet, via </w:t>
      </w:r>
      <w:r>
        <w:rPr>
          <w:b/>
          <w:bCs/>
        </w:rPr>
        <w:t xml:space="preserve">EAS Update</w:t>
      </w:r>
      <w:r>
        <w:t xml:space="preserve">, de pousser des correctifs en production </w:t>
      </w:r>
      <w:r>
        <w:rPr>
          <w:b/>
          <w:bCs/>
        </w:rPr>
        <w:t xml:space="preserve">sans passer par les stores Apple et Google</w:t>
      </w:r>
      <w:r>
        <w:t xml:space="preserve">. Pour une application interne d'entreprise où la rapidité de correction est critique, c'est un avantage opérationnel décisif.</w:t>
      </w:r>
    </w:p>
    <w:p>
      <w:pPr>
        <w:pStyle w:val="ListParagraph"/>
        <w:numPr>
          <w:ilvl w:val="0"/>
          <w:numId w:val="3"/>
        </w:numPr>
        <w:spacing w:after="80" w:line="300"/>
        <w:jc w:val="both"/>
      </w:pPr>
      <w:r>
        <w:rPr>
          <w:b/>
          <w:bCs/>
        </w:rPr>
        <w:t xml:space="preserve">Écosystème JavaScript</w:t>
      </w:r>
      <w:r>
        <w:t xml:space="preserve"> : accès à tout npm, partage de bibliothèques avec le web (validation, formatage de dates, etc.).</w:t>
      </w:r>
    </w:p>
    <w:p>
      <w:pPr>
        <w:spacing w:after="80"/>
      </w:pPr>
      <w:r>
        <w:t xml:space="preserve"> </w:t>
      </w:r>
    </w:p>
    <w:p>
      <w:pPr>
        <w:spacing w:after="120" w:line="300"/>
        <w:jc w:val="both"/>
      </w:pPr>
      <w:r>
        <w:t xml:space="preserve">La New Architecture de React Native (stable depuis fin 2024) a éliminé le bottleneck historique du pont JS-natif. Les performances sont désormais comparables à Flutter pour 95% des applications métier (formulaires, listes, tableaux de bord, flux transactionnels). Pour notre cas d'usage (création et validation de bons), la différence est imperceptible.</w:t>
      </w:r>
    </w:p>
    <w:p>
      <w:pPr>
        <w:pStyle w:val="Heading3"/>
        <w:spacing w:after="120" w:before="220"/>
      </w:pPr>
      <w:r>
        <w:t xml:space="preserve">4.2. Quand préférer Flutter</w:t>
      </w:r>
    </w:p>
    <w:p>
      <w:pPr>
        <w:spacing w:after="120" w:line="300"/>
        <w:jc w:val="both"/>
      </w:pPr>
      <w:r>
        <w:t xml:space="preserve">Flutter resterait pertinent uniquement si :</w:t>
      </w:r>
    </w:p>
    <w:p>
      <w:pPr>
        <w:pStyle w:val="ListParagraph"/>
        <w:numPr>
          <w:ilvl w:val="0"/>
          <w:numId w:val="3"/>
        </w:numPr>
        <w:spacing w:after="80" w:line="300"/>
        <w:jc w:val="both"/>
      </w:pPr>
      <w:r>
        <w:t xml:space="preserve">L'équipe maîtrise déjà Dart et n'a aucune expérience JavaScript/TypeScript.</w:t>
      </w:r>
    </w:p>
    <w:p>
      <w:pPr>
        <w:pStyle w:val="ListParagraph"/>
        <w:numPr>
          <w:ilvl w:val="0"/>
          <w:numId w:val="3"/>
        </w:numPr>
        <w:spacing w:after="80" w:line="300"/>
        <w:jc w:val="both"/>
      </w:pPr>
      <w:r>
        <w:t xml:space="preserve">L'application doit fournir des animations très complexes ou des rendus pixel-perfect identiques iOS/Android.</w:t>
      </w:r>
    </w:p>
    <w:p>
      <w:pPr>
        <w:pStyle w:val="ListParagraph"/>
        <w:numPr>
          <w:ilvl w:val="0"/>
          <w:numId w:val="3"/>
        </w:numPr>
        <w:spacing w:after="80" w:line="300"/>
        <w:jc w:val="both"/>
      </w:pPr>
      <w:r>
        <w:t xml:space="preserve">Aucune mutualisation avec le frontend web n'est envisagée.</w:t>
      </w:r>
    </w:p>
    <w:p>
      <w:pPr>
        <w:spacing w:after="120" w:line="300"/>
        <w:jc w:val="both"/>
      </w:pPr>
      <w:r>
        <w:t xml:space="preserve">Aucun de ces critères ne s'applique à notre projet. **Expo est donc le choix par défaut.**</w:t>
      </w:r>
    </w:p>
    <w:p>
      <w:pPr>
        <w:pStyle w:val="Heading3"/>
        <w:spacing w:after="120" w:before="220"/>
      </w:pPr>
      <w:r>
        <w:t xml:space="preserve">4.3. Stack mobile recommandée</w:t>
      </w:r>
    </w:p>
    <w:p>
      <w:pPr>
        <w:pStyle w:val="ListParagraph"/>
        <w:numPr>
          <w:ilvl w:val="0"/>
          <w:numId w:val="3"/>
        </w:numPr>
        <w:spacing w:after="80" w:line="300"/>
        <w:jc w:val="both"/>
      </w:pPr>
      <w:r>
        <w:rPr>
          <w:b/>
          <w:bCs/>
        </w:rPr>
        <w:t xml:space="preserve">Expo SDK 54+</w:t>
      </w:r>
      <w:r>
        <w:t xml:space="preserve"> : workflow managé, EAS Build pour la compilation cloud iOS/Android.</w:t>
      </w:r>
    </w:p>
    <w:p>
      <w:pPr>
        <w:pStyle w:val="ListParagraph"/>
        <w:numPr>
          <w:ilvl w:val="0"/>
          <w:numId w:val="3"/>
        </w:numPr>
        <w:spacing w:after="80" w:line="300"/>
        <w:jc w:val="both"/>
      </w:pPr>
      <w:r>
        <w:rPr>
          <w:b/>
          <w:bCs/>
        </w:rPr>
        <w:t xml:space="preserve">Expo Router</w:t>
      </w:r>
      <w:r>
        <w:t xml:space="preserve"> : routeur basé sur le système de fichiers, type-safe.</w:t>
      </w:r>
    </w:p>
    <w:p>
      <w:pPr>
        <w:pStyle w:val="ListParagraph"/>
        <w:numPr>
          <w:ilvl w:val="0"/>
          <w:numId w:val="3"/>
        </w:numPr>
        <w:spacing w:after="80" w:line="300"/>
        <w:jc w:val="both"/>
      </w:pPr>
      <w:r>
        <w:rPr>
          <w:b/>
          <w:bCs/>
        </w:rPr>
        <w:t xml:space="preserve">TanStack Query</w:t>
      </w:r>
      <w:r>
        <w:t xml:space="preserve"> : même librairie que sur le web, même cache logic.</w:t>
      </w:r>
    </w:p>
    <w:p>
      <w:pPr>
        <w:pStyle w:val="ListParagraph"/>
        <w:numPr>
          <w:ilvl w:val="0"/>
          <w:numId w:val="3"/>
        </w:numPr>
        <w:spacing w:after="80" w:line="300"/>
        <w:jc w:val="both"/>
      </w:pPr>
      <w:r>
        <w:rPr>
          <w:b/>
          <w:bCs/>
        </w:rPr>
        <w:t xml:space="preserve">Zustand</w:t>
      </w:r>
      <w:r>
        <w:t xml:space="preserve"> : même gestion d'état que sur le web.</w:t>
      </w:r>
    </w:p>
    <w:p>
      <w:pPr>
        <w:pStyle w:val="ListParagraph"/>
        <w:numPr>
          <w:ilvl w:val="0"/>
          <w:numId w:val="3"/>
        </w:numPr>
        <w:spacing w:after="80" w:line="300"/>
        <w:jc w:val="both"/>
      </w:pPr>
      <w:r>
        <w:rPr>
          <w:b/>
          <w:bCs/>
        </w:rPr>
        <w:t xml:space="preserve">React Hook Form + Zod</w:t>
      </w:r>
      <w:r>
        <w:t xml:space="preserve"> : formulaires avec les mêmes schémas de validation que le web.</w:t>
      </w:r>
    </w:p>
    <w:p>
      <w:pPr>
        <w:pStyle w:val="ListParagraph"/>
        <w:numPr>
          <w:ilvl w:val="0"/>
          <w:numId w:val="3"/>
        </w:numPr>
        <w:spacing w:after="80" w:line="300"/>
        <w:jc w:val="both"/>
      </w:pPr>
      <w:r>
        <w:rPr>
          <w:b/>
          <w:bCs/>
        </w:rPr>
        <w:t xml:space="preserve">Expo SecureStore</w:t>
      </w:r>
      <w:r>
        <w:t xml:space="preserve"> : stockage chiffré natif des tokens JWT.</w:t>
      </w:r>
    </w:p>
    <w:p>
      <w:pPr>
        <w:pStyle w:val="ListParagraph"/>
        <w:numPr>
          <w:ilvl w:val="0"/>
          <w:numId w:val="3"/>
        </w:numPr>
        <w:spacing w:after="80" w:line="300"/>
        <w:jc w:val="both"/>
      </w:pPr>
      <w:r>
        <w:rPr>
          <w:b/>
          <w:bCs/>
        </w:rPr>
        <w:t xml:space="preserve">Expo Notifications</w:t>
      </w:r>
      <w:r>
        <w:t xml:space="preserve"> : notifications push pour les validations en attente.</w:t>
      </w:r>
    </w:p>
    <w:p>
      <w:pPr>
        <w:pStyle w:val="ListParagraph"/>
        <w:numPr>
          <w:ilvl w:val="0"/>
          <w:numId w:val="3"/>
        </w:numPr>
        <w:spacing w:after="80" w:line="300"/>
        <w:jc w:val="both"/>
      </w:pPr>
      <w:r>
        <w:rPr>
          <w:b/>
          <w:bCs/>
        </w:rPr>
        <w:t xml:space="preserve">EAS Update</w:t>
      </w:r>
      <w:r>
        <w:t xml:space="preserve"> : mises à jour OTA pour livrer des corrections en quelques minutes.</w:t>
      </w:r>
    </w:p>
    <w:p>
      <w:pPr>
        <w:pStyle w:val="Heading3"/>
        <w:spacing w:after="120" w:before="220"/>
      </w:pPr>
      <w:r>
        <w:t xml:space="preserve">4.4. Fonctionnalités mobiles couvertes</w:t>
      </w:r>
    </w:p>
    <w:p>
      <w:pPr>
        <w:spacing w:after="120" w:line="300"/>
        <w:jc w:val="both"/>
      </w:pPr>
      <w:r>
        <w:t xml:space="preserve">Conformément au cahier des charges, l'application mobile expose :</w:t>
      </w:r>
    </w:p>
    <w:p>
      <w:pPr>
        <w:pStyle w:val="ListParagraph"/>
        <w:numPr>
          <w:ilvl w:val="0"/>
          <w:numId w:val="3"/>
        </w:numPr>
        <w:spacing w:after="80" w:line="300"/>
        <w:jc w:val="both"/>
      </w:pPr>
      <w:r>
        <w:t xml:space="preserve">Création d'une demande de bon (formulaire complet avec choix client, fournisseur, montants, sous-bons).</w:t>
      </w:r>
    </w:p>
    <w:p>
      <w:pPr>
        <w:pStyle w:val="ListParagraph"/>
        <w:numPr>
          <w:ilvl w:val="0"/>
          <w:numId w:val="3"/>
        </w:numPr>
        <w:spacing w:after="80" w:line="300"/>
        <w:jc w:val="both"/>
      </w:pPr>
      <w:r>
        <w:t xml:space="preserve">Validation d'un bon par un signataire (notification push, signature, refus avec commentaire).</w:t>
      </w:r>
    </w:p>
    <w:p>
      <w:pPr>
        <w:pStyle w:val="ListParagraph"/>
        <w:numPr>
          <w:ilvl w:val="0"/>
          <w:numId w:val="3"/>
        </w:numPr>
        <w:spacing w:after="80" w:line="300"/>
        <w:jc w:val="both"/>
      </w:pPr>
      <w:r>
        <w:t xml:space="preserve">Marquage d'un bon comme récurrent et renouvellement en un clic.</w:t>
      </w:r>
    </w:p>
    <w:p>
      <w:pPr>
        <w:pStyle w:val="ListParagraph"/>
        <w:numPr>
          <w:ilvl w:val="0"/>
          <w:numId w:val="3"/>
        </w:numPr>
        <w:spacing w:after="80" w:line="300"/>
        <w:jc w:val="both"/>
      </w:pPr>
      <w:r>
        <w:t xml:space="preserve">Consultation de l'historique des bons (demandés et validés).</w:t>
      </w:r>
    </w:p>
    <w:p>
      <w:pPr>
        <w:pStyle w:val="ListParagraph"/>
        <w:numPr>
          <w:ilvl w:val="0"/>
          <w:numId w:val="3"/>
        </w:numPr>
        <w:spacing w:after="80" w:line="300"/>
        <w:jc w:val="both"/>
      </w:pPr>
      <w:r>
        <w:t xml:space="preserve">Authentification sécurisée biométrique (Face ID, Touch ID) en complément du mot de passe.</w:t>
      </w:r>
    </w:p>
    <w:p>
      <w:pPr>
        <w:pStyle w:val="Heading2"/>
        <w:spacing w:after="160" w:before="280"/>
      </w:pPr>
      <w:r>
        <w:t xml:space="preserve">5. Schéma d'architecture global</w:t>
      </w:r>
    </w:p>
    <w:p>
      <w:pPr>
        <w:spacing w:after="120" w:line="300"/>
        <w:jc w:val="both"/>
      </w:pPr>
      <w:r>
        <w:t xml:space="preserve">L'architecture cible suit le modèle classique d'une application moderne, avec un backend central exposant une API consommée par deux clients (web et mobile), une base de données relationnelle, un cache Redis pour la performance et les tâches asynchrones, et une intégration SAP via le pattern Outbox.</w:t>
      </w:r>
    </w:p>
    <w:p>
      <w:pPr>
        <w:spacing w:after="80"/>
      </w:pPr>
      <w:r>
        <w:t xml:space="preserve"> </w:t>
      </w:r>
    </w:p>
    <w:p>
      <w:pPr>
        <w:spacing w:after="100"/>
        <w:jc w:val="both"/>
      </w:pPr>
      <w:r>
        <w:t xml:space="preserve">**Flux de données type — création d'un bon :**</w:t>
      </w:r>
    </w:p>
    <w:p>
      <w:pPr>
        <w:pStyle w:val="ListParagraph"/>
        <w:numPr>
          <w:ilvl w:val="0"/>
          <w:numId w:val="2"/>
        </w:numPr>
        <w:spacing w:after="80" w:line="300"/>
      </w:pPr>
      <w:r>
        <w:t xml:space="preserve">Le demandeur saisit le bon via le mobile Expo ou le web React/Vite.</w:t>
      </w:r>
    </w:p>
    <w:p>
      <w:pPr>
        <w:pStyle w:val="ListParagraph"/>
        <w:numPr>
          <w:ilvl w:val="0"/>
          <w:numId w:val="2"/>
        </w:numPr>
        <w:spacing w:after="80" w:line="300"/>
      </w:pPr>
      <w:r>
        <w:t xml:space="preserve">La requête arrive sur l'API NestJS, accompagnée d'un idempotency_key généré côté client.</w:t>
      </w:r>
    </w:p>
    <w:p>
      <w:pPr>
        <w:pStyle w:val="ListParagraph"/>
        <w:numPr>
          <w:ilvl w:val="0"/>
          <w:numId w:val="2"/>
        </w:numPr>
        <w:spacing w:after="80" w:line="300"/>
      </w:pPr>
      <w:r>
        <w:t xml:space="preserve">NestJS valide les permissions, vérifie l'idempotence (Redis), valide les données (Zod).</w:t>
      </w:r>
    </w:p>
    <w:p>
      <w:pPr>
        <w:pStyle w:val="ListParagraph"/>
        <w:numPr>
          <w:ilvl w:val="0"/>
          <w:numId w:val="2"/>
        </w:numPr>
        <w:spacing w:after="80" w:line="300"/>
      </w:pPr>
      <w:r>
        <w:t xml:space="preserve">Dans une transaction PostgreSQL serializable, NestJS insère le bon, les sous-bons, l'événement de création (event sourcing), et un message dans la table Outbox.</w:t>
      </w:r>
    </w:p>
    <w:p>
      <w:pPr>
        <w:pStyle w:val="ListParagraph"/>
        <w:numPr>
          <w:ilvl w:val="0"/>
          <w:numId w:val="2"/>
        </w:numPr>
        <w:spacing w:after="80" w:line="300"/>
      </w:pPr>
      <w:r>
        <w:t xml:space="preserve">Un worker BullMQ consomme l'Outbox et notifie les signataires (push via Expo Notifications, email).</w:t>
      </w:r>
    </w:p>
    <w:p>
      <w:pPr>
        <w:pStyle w:val="ListParagraph"/>
        <w:numPr>
          <w:ilvl w:val="0"/>
          <w:numId w:val="2"/>
        </w:numPr>
        <w:spacing w:after="80" w:line="300"/>
      </w:pPr>
      <w:r>
        <w:t xml:space="preserve">Le signataire valide depuis son mobile : nouvelle transaction, écriture de l'événement, message Outbox pour SAP si requis.</w:t>
      </w:r>
    </w:p>
    <w:p>
      <w:pPr>
        <w:pStyle w:val="ListParagraph"/>
        <w:numPr>
          <w:ilvl w:val="0"/>
          <w:numId w:val="2"/>
        </w:numPr>
        <w:spacing w:after="80" w:line="300"/>
      </w:pPr>
      <w:r>
        <w:t xml:space="preserve">À 20h00, le job de clôture lit les opérations de la journée, génère le payload SAP via Outbox, et le worker l'envoie avec retry exponentiel.</w:t>
      </w:r>
    </w:p>
    <w:p>
      <w:pPr>
        <w:pStyle w:val="Heading2"/>
        <w:spacing w:after="160" w:before="280"/>
      </w:pPr>
      <w:r>
        <w:t xml:space="preserve">6. Pourquoi cette stack est cohérente avec la Partie IV</w:t>
      </w:r>
    </w:p>
    <w:p>
      <w:pPr>
        <w:spacing w:after="120" w:line="300"/>
        <w:jc w:val="both"/>
      </w:pPr>
      <w:r>
        <w:t xml:space="preserve">Les recommandations techniques de la Partie IV (intégrité financière, idempotence, audit, résilience) trouvent leur implémentation naturelle dans cette stack :</w:t>
      </w:r>
    </w:p>
    <w:p>
      <w:pPr>
        <w:pStyle w:val="ListParagraph"/>
        <w:numPr>
          <w:ilvl w:val="0"/>
          <w:numId w:val="3"/>
        </w:numPr>
        <w:spacing w:after="80" w:line="300"/>
        <w:jc w:val="both"/>
      </w:pPr>
      <w:r>
        <w:rPr>
          <w:b/>
          <w:bCs/>
        </w:rPr>
        <w:t xml:space="preserve">Partie double et écritures immuables</w:t>
      </w:r>
      <w:r>
        <w:t xml:space="preserve"> : implémentables en NestJS via un module Ledger dédié, avec PostgreSQL et ses contraintes CHECK.</w:t>
      </w:r>
    </w:p>
    <w:p>
      <w:pPr>
        <w:pStyle w:val="ListParagraph"/>
        <w:numPr>
          <w:ilvl w:val="0"/>
          <w:numId w:val="3"/>
        </w:numPr>
        <w:spacing w:after="80" w:line="300"/>
        <w:jc w:val="both"/>
      </w:pPr>
      <w:r>
        <w:rPr>
          <w:b/>
          <w:bCs/>
        </w:rPr>
        <w:t xml:space="preserve">Idempotency keys</w:t>
      </w:r>
      <w:r>
        <w:t xml:space="preserve"> : middleware NestJS dédié, stockage Redis avec TTL.</w:t>
      </w:r>
    </w:p>
    <w:p>
      <w:pPr>
        <w:pStyle w:val="ListParagraph"/>
        <w:numPr>
          <w:ilvl w:val="0"/>
          <w:numId w:val="3"/>
        </w:numPr>
        <w:spacing w:after="80" w:line="300"/>
        <w:jc w:val="both"/>
      </w:pPr>
      <w:r>
        <w:rPr>
          <w:b/>
          <w:bCs/>
        </w:rPr>
        <w:t xml:space="preserve">Pattern Outbox</w:t>
      </w:r>
      <w:r>
        <w:t xml:space="preserve"> : table PostgreSQL + worker BullMQ. Pattern reconnu et bien documenté dans l'écosystème NestJS.</w:t>
      </w:r>
    </w:p>
    <w:p>
      <w:pPr>
        <w:pStyle w:val="ListParagraph"/>
        <w:numPr>
          <w:ilvl w:val="0"/>
          <w:numId w:val="3"/>
        </w:numPr>
        <w:spacing w:after="80" w:line="300"/>
        <w:jc w:val="both"/>
      </w:pPr>
      <w:r>
        <w:rPr>
          <w:b/>
          <w:bCs/>
        </w:rPr>
        <w:t xml:space="preserve">Event sourcing</w:t>
      </w:r>
      <w:r>
        <w:t xml:space="preserve"> : module Events de NestJS, écriture systématique dans une table append-only.</w:t>
      </w:r>
    </w:p>
    <w:p>
      <w:pPr>
        <w:pStyle w:val="ListParagraph"/>
        <w:numPr>
          <w:ilvl w:val="0"/>
          <w:numId w:val="3"/>
        </w:numPr>
        <w:spacing w:after="80" w:line="300"/>
        <w:jc w:val="both"/>
      </w:pPr>
      <w:r>
        <w:rPr>
          <w:b/>
          <w:bCs/>
        </w:rPr>
        <w:t xml:space="preserve">Transactions ACID</w:t>
      </w:r>
      <w:r>
        <w:t xml:space="preserve"> : Prisma et TypeORM exposent les transactions PostgreSQL avec niveau d'isolation configurable.</w:t>
      </w:r>
    </w:p>
    <w:p>
      <w:pPr>
        <w:pStyle w:val="ListParagraph"/>
        <w:numPr>
          <w:ilvl w:val="0"/>
          <w:numId w:val="3"/>
        </w:numPr>
        <w:spacing w:after="80" w:line="300"/>
        <w:jc w:val="both"/>
      </w:pPr>
      <w:r>
        <w:rPr>
          <w:b/>
          <w:bCs/>
        </w:rPr>
        <w:t xml:space="preserve">Tests</w:t>
      </w:r>
      <w:r>
        <w:t xml:space="preserve"> : la testabilité native de NestJS (DI, mocks) permet de tester chaque règle métier critique.</w:t>
      </w:r>
    </w:p>
    <w:p>
      <w:pPr>
        <w:pStyle w:val="ListParagraph"/>
        <w:numPr>
          <w:ilvl w:val="0"/>
          <w:numId w:val="3"/>
        </w:numPr>
        <w:spacing w:after="80" w:line="300"/>
        <w:jc w:val="both"/>
      </w:pPr>
      <w:r>
        <w:rPr>
          <w:b/>
          <w:bCs/>
        </w:rPr>
        <w:t xml:space="preserve">Audit log append-only</w:t>
      </w:r>
      <w:r>
        <w:t xml:space="preserve"> : rôle PostgreSQL en INSERT-only sur la table d'audit, application accédant via ce rôle.</w:t>
      </w:r>
    </w:p>
    <w:p>
      <w:pPr>
        <w:pStyle w:val="Heading2"/>
        <w:spacing w:after="160" w:before="280"/>
      </w:pPr>
      <w:r>
        <w:t xml:space="preserve">7. Compétences à mobiliser dans l'équipe</w:t>
      </w:r>
    </w:p>
    <w:p>
      <w:pPr>
        <w:spacing w:after="120" w:line="300"/>
        <w:jc w:val="both"/>
      </w:pPr>
      <w:r>
        <w:t xml:space="preserve">La stack étant homogène en TypeScript, l'équipe de développement peut être structurée autour des profils suivants :</w:t>
      </w:r>
    </w:p>
    <w:p>
      <w:pPr>
        <w:pStyle w:val="ListParagraph"/>
        <w:numPr>
          <w:ilvl w:val="0"/>
          <w:numId w:val="3"/>
        </w:numPr>
        <w:spacing w:after="80" w:line="300"/>
        <w:jc w:val="both"/>
      </w:pPr>
      <w:r>
        <w:rPr>
          <w:b/>
          <w:bCs/>
        </w:rPr>
        <w:t xml:space="preserve">1 Tech Lead</w:t>
      </w:r>
      <w:r>
        <w:t xml:space="preserve"> maîtrisant NestJS, PostgreSQL et l'architecture distribuée.</w:t>
      </w:r>
    </w:p>
    <w:p>
      <w:pPr>
        <w:pStyle w:val="ListParagraph"/>
        <w:numPr>
          <w:ilvl w:val="0"/>
          <w:numId w:val="3"/>
        </w:numPr>
        <w:spacing w:after="80" w:line="300"/>
        <w:jc w:val="both"/>
      </w:pPr>
      <w:r>
        <w:rPr>
          <w:b/>
          <w:bCs/>
        </w:rPr>
        <w:t xml:space="preserve">2 à 3 Développeurs Backend</w:t>
      </w:r>
      <w:r>
        <w:t xml:space="preserve"> TypeScript / NestJS.</w:t>
      </w:r>
    </w:p>
    <w:p>
      <w:pPr>
        <w:pStyle w:val="ListParagraph"/>
        <w:numPr>
          <w:ilvl w:val="0"/>
          <w:numId w:val="3"/>
        </w:numPr>
        <w:spacing w:after="80" w:line="300"/>
        <w:jc w:val="both"/>
      </w:pPr>
      <w:r>
        <w:rPr>
          <w:b/>
          <w:bCs/>
        </w:rPr>
        <w:t xml:space="preserve">2 Développeurs Frontend</w:t>
      </w:r>
      <w:r>
        <w:t xml:space="preserve"> React / Vite / Tailwind.</w:t>
      </w:r>
    </w:p>
    <w:p>
      <w:pPr>
        <w:pStyle w:val="ListParagraph"/>
        <w:numPr>
          <w:ilvl w:val="0"/>
          <w:numId w:val="3"/>
        </w:numPr>
        <w:spacing w:after="80" w:line="300"/>
        <w:jc w:val="both"/>
      </w:pPr>
      <w:r>
        <w:rPr>
          <w:b/>
          <w:bCs/>
        </w:rPr>
        <w:t xml:space="preserve">1 Développeur Mobile</w:t>
      </w:r>
      <w:r>
        <w:t xml:space="preserve"> Expo / React Native (ou un des frontends qui monte en compétence).</w:t>
      </w:r>
    </w:p>
    <w:p>
      <w:pPr>
        <w:pStyle w:val="ListParagraph"/>
        <w:numPr>
          <w:ilvl w:val="0"/>
          <w:numId w:val="3"/>
        </w:numPr>
        <w:spacing w:after="80" w:line="300"/>
        <w:jc w:val="both"/>
      </w:pPr>
      <w:r>
        <w:rPr>
          <w:b/>
          <w:bCs/>
        </w:rPr>
        <w:t xml:space="preserve">1 DevOps</w:t>
      </w:r>
      <w:r>
        <w:t xml:space="preserve"> à temps partiel pour Docker, CI/CD, monitoring, sauvegardes.</w:t>
      </w:r>
    </w:p>
    <w:p>
      <w:pPr>
        <w:spacing w:after="120" w:line="300"/>
        <w:jc w:val="both"/>
      </w:pPr>
      <w:r>
        <w:t xml:space="preserve">La cohérence linguistique réduit le besoin de profils spécialisés et facilite la mobilité interne en cas d'absence.</w:t>
      </w:r>
    </w:p>
    <w:p>
      <w:pPr>
        <w:pStyle w:val="Heading2"/>
        <w:spacing w:after="160" w:before="280"/>
      </w:pPr>
      <w:r>
        <w:t xml:space="preserve">8. Synthèse</w:t>
      </w:r>
    </w:p>
    <w:p>
      <w:pPr>
        <w:spacing w:after="120" w:line="300"/>
        <w:jc w:val="both"/>
      </w:pPr>
      <w:r>
        <w:t xml:space="preserve">La stack proposée — **NestJS + PostgreSQL côté serveur, Vite + React côté web, Expo côté mobile** — constitue un choix mainstream, mature et reconnu par la communauté en 2026. Elle minimise les risques techniques, maximise la productivité de l'équipe par la cohérence du langage, et s'aligne parfaitement avec les exigences d'intégrité, d'audit et de résilience identifiées dans la Partie IV.</w:t>
      </w:r>
    </w:p>
    <w:p>
      <w:pPr>
        <w:spacing w:after="120" w:line="300"/>
        <w:jc w:val="both"/>
      </w:pPr>
      <w:r>
        <w:rPr>
          <w:i/>
          <w:iCs/>
        </w:rPr>
        <w:t xml:space="preserve">Cette stack est un choix conservateur **par design** : sur un système qui manipule des données financières, l'innovation se fait dans les règles métier et l'architecture des données, pas dans le choix de technologies expérimentales.</w:t>
      </w:r>
    </w:p>
    <w:p>
      <w:r>
        <w:br w:type="page"/>
      </w:r>
    </w:p>
    <w:p>
      <w:pPr>
        <w:pStyle w:val="Heading1"/>
        <w:spacing w:after="200" w:before="360"/>
      </w:pPr>
      <w:r>
        <w:t xml:space="preserve">Annexe — Schéma physique de la base de données</w:t>
      </w:r>
    </w:p>
    <w:p>
      <w:pPr>
        <w:spacing w:after="120" w:line="300"/>
        <w:jc w:val="both"/>
      </w:pPr>
      <w:r>
        <w:t xml:space="preserve">Cette annexe traduit le Modèle Conceptuel de Données (Partie II) en un schéma physique prêt pour l'implémentation. Elle adopte une nomenclature standardisée — sans caractères accentués et avec préfixes de domaine — qui sera la référence pour l'équipe de développement.</w:t>
      </w:r>
    </w:p>
    <w:p>
      <w:pPr>
        <w:pStyle w:val="Heading2"/>
        <w:spacing w:after="160" w:before="280"/>
      </w:pPr>
      <w:r>
        <w:t xml:space="preserve">1. Règles de nommage</w:t>
      </w:r>
    </w:p>
    <w:p>
      <w:pPr>
        <w:pStyle w:val="Heading3"/>
        <w:spacing w:after="120" w:before="220"/>
      </w:pPr>
      <w:r>
        <w:t xml:space="preserve">1.1. Préfixes par domaine</w:t>
      </w:r>
    </w:p>
    <w:p>
      <w:pPr>
        <w:spacing w:after="120" w:line="300"/>
        <w:jc w:val="both"/>
      </w:pPr>
      <w:r>
        <w:t xml:space="preserve">Toutes les tables sont préfixées selon leur domaine fonctionnel. Cela facilite la lecture du schéma, le regroupement dans les outils d'administration, la mise en place de permissions par domaine, et la maintenance par équipe spécialisée.</w:t>
      </w:r>
    </w:p>
    <w:p>
      <w:pPr>
        <w:spacing w:after="80"/>
      </w:pPr>
      <w:r>
        <w:t xml:space="preserve"> </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616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Préfixe</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Domaine</w:t>
            </w:r>
          </w:p>
        </w:tc>
        <w:tc>
          <w:tcPr>
            <w:tcW w:type="dxa" w:w="6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Contenu</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sec_</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Sécurité</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Utilisateurs, rôles, permissions, directions, intérims</w:t>
            </w:r>
          </w:p>
        </w:tc>
      </w:tr>
      <w:tr>
        <w:tc>
          <w:tcPr>
            <w:tcW w:type="dxa" w:w="16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ref_</w:t>
            </w:r>
          </w:p>
        </w:tc>
        <w:tc>
          <w:tcPr>
            <w:tcW w:type="dxa" w:w="2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Référentiel</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Clients, fournisseurs, plan comptable, centres de coût, natures d'opération</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fin_</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Financier</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Caisses, devises, portefeuilles, taux de change, sessions</w:t>
            </w:r>
          </w:p>
        </w:tc>
      </w:tr>
      <w:tr>
        <w:tc>
          <w:tcPr>
            <w:tcW w:type="dxa" w:w="16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trx_</w:t>
            </w:r>
          </w:p>
        </w:tc>
        <w:tc>
          <w:tcPr>
            <w:tcW w:type="dxa" w:w="22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Transactionnel</w:t>
            </w:r>
          </w:p>
        </w:tc>
        <w:tc>
          <w:tcPr>
            <w:tcW w:type="dxa" w:w="61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Bons, sous-bons, opérations, transferts, écritures comptables</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aud_</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Audit &amp; Intégration</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Journaux, événements, outbox, idempotence, snapshots</w:t>
            </w:r>
          </w:p>
        </w:tc>
      </w:tr>
    </w:tbl>
    <w:p>
      <w:pPr>
        <w:spacing w:after="80"/>
      </w:pPr>
      <w:r>
        <w:t xml:space="preserve"> </w:t>
      </w:r>
    </w:p>
    <w:p>
      <w:pPr>
        <w:pStyle w:val="Heading3"/>
        <w:spacing w:after="120" w:before="220"/>
      </w:pPr>
      <w:r>
        <w:t xml:space="preserve">1.2. Conventions générales</w:t>
      </w:r>
    </w:p>
    <w:p>
      <w:pPr>
        <w:pStyle w:val="ListParagraph"/>
        <w:numPr>
          <w:ilvl w:val="0"/>
          <w:numId w:val="3"/>
        </w:numPr>
        <w:spacing w:after="80" w:line="300"/>
        <w:jc w:val="both"/>
      </w:pPr>
      <w:r>
        <w:t xml:space="preserve">Tables au </w:t>
      </w:r>
      <w:r>
        <w:rPr>
          <w:b/>
          <w:bCs/>
        </w:rPr>
        <w:t xml:space="preserve">singulier</w:t>
      </w:r>
      <w:r>
        <w:t xml:space="preserve"> : </w:t>
      </w:r>
      <w:r>
        <w:rPr>
          <w:rFonts w:ascii="Consolas" w:cs="Consolas" w:eastAsia="Consolas" w:hAnsi="Consolas"/>
          <w:color w:val="C7254E"/>
          <w:sz w:val="20"/>
          <w:szCs w:val="20"/>
        </w:rPr>
        <w:t xml:space="preserve">sec_user</w:t>
      </w:r>
      <w:r>
        <w:t xml:space="preserve">, </w:t>
      </w:r>
      <w:r>
        <w:rPr>
          <w:rFonts w:ascii="Consolas" w:cs="Consolas" w:eastAsia="Consolas" w:hAnsi="Consolas"/>
          <w:color w:val="C7254E"/>
          <w:sz w:val="20"/>
          <w:szCs w:val="20"/>
        </w:rPr>
        <w:t xml:space="preserve">trx_bon</w:t>
      </w:r>
      <w:r>
        <w:t xml:space="preserve">, </w:t>
      </w:r>
      <w:r>
        <w:rPr>
          <w:rFonts w:ascii="Consolas" w:cs="Consolas" w:eastAsia="Consolas" w:hAnsi="Consolas"/>
          <w:color w:val="C7254E"/>
          <w:sz w:val="20"/>
          <w:szCs w:val="20"/>
        </w:rPr>
        <w:t xml:space="preserve">fin_caisse</w:t>
      </w:r>
      <w:r>
        <w:t xml:space="preserve"> (et non </w:t>
      </w:r>
      <w:r>
        <w:rPr>
          <w:rFonts w:ascii="Consolas" w:cs="Consolas" w:eastAsia="Consolas" w:hAnsi="Consolas"/>
          <w:color w:val="C7254E"/>
          <w:sz w:val="20"/>
          <w:szCs w:val="20"/>
        </w:rPr>
        <w:t xml:space="preserve">sec_users</w:t>
      </w:r>
      <w:r>
        <w:t xml:space="preserve">).</w:t>
      </w:r>
    </w:p>
    <w:p>
      <w:pPr>
        <w:pStyle w:val="ListParagraph"/>
        <w:numPr>
          <w:ilvl w:val="0"/>
          <w:numId w:val="3"/>
        </w:numPr>
        <w:spacing w:after="80" w:line="300"/>
        <w:jc w:val="both"/>
      </w:pPr>
      <w:r>
        <w:t xml:space="preserve">Tous les noms sont en </w:t>
      </w:r>
      <w:r>
        <w:rPr>
          <w:b/>
          <w:bCs/>
        </w:rPr>
        <w:t xml:space="preserve">snake_case</w:t>
      </w:r>
      <w:r>
        <w:t xml:space="preserve"> et </w:t>
      </w:r>
      <w:r>
        <w:rPr>
          <w:b/>
          <w:bCs/>
        </w:rPr>
        <w:t xml:space="preserve">sans accents</w:t>
      </w:r>
      <w:r>
        <w:t xml:space="preserve"> : </w:t>
      </w:r>
      <w:r>
        <w:rPr>
          <w:rFonts w:ascii="Consolas" w:cs="Consolas" w:eastAsia="Consolas" w:hAnsi="Consolas"/>
          <w:color w:val="C7254E"/>
          <w:sz w:val="20"/>
          <w:szCs w:val="20"/>
        </w:rPr>
        <w:t xml:space="preserve">date_creation</w:t>
      </w:r>
      <w:r>
        <w:t xml:space="preserve">, </w:t>
      </w:r>
      <w:r>
        <w:rPr>
          <w:rFonts w:ascii="Consolas" w:cs="Consolas" w:eastAsia="Consolas" w:hAnsi="Consolas"/>
          <w:color w:val="C7254E"/>
          <w:sz w:val="20"/>
          <w:szCs w:val="20"/>
        </w:rPr>
        <w:t xml:space="preserve">montant_total</w:t>
      </w:r>
      <w:r>
        <w:t xml:space="preserve">, </w:t>
      </w:r>
      <w:r>
        <w:rPr>
          <w:rFonts w:ascii="Consolas" w:cs="Consolas" w:eastAsia="Consolas" w:hAnsi="Consolas"/>
          <w:color w:val="C7254E"/>
          <w:sz w:val="20"/>
          <w:szCs w:val="20"/>
        </w:rPr>
        <w:t xml:space="preserve">cree_par_id</w:t>
      </w:r>
      <w:r>
        <w:t xml:space="preserve">.</w:t>
      </w:r>
    </w:p>
    <w:p>
      <w:pPr>
        <w:pStyle w:val="ListParagraph"/>
        <w:numPr>
          <w:ilvl w:val="0"/>
          <w:numId w:val="3"/>
        </w:numPr>
        <w:spacing w:after="80" w:line="300"/>
        <w:jc w:val="both"/>
      </w:pPr>
      <w:r>
        <w:t xml:space="preserve">Clé primaire toujours nommée </w:t>
      </w:r>
      <w:r>
        <w:rPr>
          <w:rFonts w:ascii="Consolas" w:cs="Consolas" w:eastAsia="Consolas" w:hAnsi="Consolas"/>
          <w:color w:val="C7254E"/>
          <w:sz w:val="20"/>
          <w:szCs w:val="20"/>
        </w:rPr>
        <w:t xml:space="preserve">id</w:t>
      </w:r>
      <w:r>
        <w:t xml:space="preserve"> (BIGSERIAL en PostgreSQL).</w:t>
      </w:r>
    </w:p>
    <w:p>
      <w:pPr>
        <w:pStyle w:val="ListParagraph"/>
        <w:numPr>
          <w:ilvl w:val="0"/>
          <w:numId w:val="3"/>
        </w:numPr>
        <w:spacing w:after="80" w:line="300"/>
        <w:jc w:val="both"/>
      </w:pPr>
      <w:r>
        <w:t xml:space="preserve">Identifiant public exposé par l'API : colonne </w:t>
      </w:r>
      <w:r>
        <w:rPr>
          <w:rFonts w:ascii="Consolas" w:cs="Consolas" w:eastAsia="Consolas" w:hAnsi="Consolas"/>
          <w:color w:val="C7254E"/>
          <w:sz w:val="20"/>
          <w:szCs w:val="20"/>
        </w:rPr>
        <w:t xml:space="preserve">uuid</w:t>
      </w:r>
      <w:r>
        <w:t xml:space="preserve"> (UUID v4) en plus de </w:t>
      </w:r>
      <w:r>
        <w:rPr>
          <w:rFonts w:ascii="Consolas" w:cs="Consolas" w:eastAsia="Consolas" w:hAnsi="Consolas"/>
          <w:color w:val="C7254E"/>
          <w:sz w:val="20"/>
          <w:szCs w:val="20"/>
        </w:rPr>
        <w:t xml:space="preserve">id</w:t>
      </w:r>
      <w:r>
        <w:t xml:space="preserve">.</w:t>
      </w:r>
    </w:p>
    <w:p>
      <w:pPr>
        <w:pStyle w:val="ListParagraph"/>
        <w:numPr>
          <w:ilvl w:val="0"/>
          <w:numId w:val="3"/>
        </w:numPr>
        <w:spacing w:after="80" w:line="300"/>
        <w:jc w:val="both"/>
      </w:pPr>
      <w:r>
        <w:t xml:space="preserve">Clés étrangères suffixées par </w:t>
      </w:r>
      <w:r>
        <w:rPr>
          <w:rFonts w:ascii="Consolas" w:cs="Consolas" w:eastAsia="Consolas" w:hAnsi="Consolas"/>
          <w:color w:val="C7254E"/>
          <w:sz w:val="20"/>
          <w:szCs w:val="20"/>
        </w:rPr>
        <w:t xml:space="preserve">_id</w:t>
      </w:r>
      <w:r>
        <w:t xml:space="preserve"> : </w:t>
      </w:r>
      <w:r>
        <w:rPr>
          <w:rFonts w:ascii="Consolas" w:cs="Consolas" w:eastAsia="Consolas" w:hAnsi="Consolas"/>
          <w:color w:val="C7254E"/>
          <w:sz w:val="20"/>
          <w:szCs w:val="20"/>
        </w:rPr>
        <w:t xml:space="preserve">user_id</w:t>
      </w:r>
      <w:r>
        <w:t xml:space="preserve">, </w:t>
      </w:r>
      <w:r>
        <w:rPr>
          <w:rFonts w:ascii="Consolas" w:cs="Consolas" w:eastAsia="Consolas" w:hAnsi="Consolas"/>
          <w:color w:val="C7254E"/>
          <w:sz w:val="20"/>
          <w:szCs w:val="20"/>
        </w:rPr>
        <w:t xml:space="preserve">bon_id</w:t>
      </w:r>
      <w:r>
        <w:t xml:space="preserve">, </w:t>
      </w:r>
      <w:r>
        <w:rPr>
          <w:rFonts w:ascii="Consolas" w:cs="Consolas" w:eastAsia="Consolas" w:hAnsi="Consolas"/>
          <w:color w:val="C7254E"/>
          <w:sz w:val="20"/>
          <w:szCs w:val="20"/>
        </w:rPr>
        <w:t xml:space="preserve">caisse_id</w:t>
      </w:r>
      <w:r>
        <w:t xml:space="preserve">.</w:t>
      </w:r>
    </w:p>
    <w:p>
      <w:pPr>
        <w:pStyle w:val="ListParagraph"/>
        <w:numPr>
          <w:ilvl w:val="0"/>
          <w:numId w:val="3"/>
        </w:numPr>
        <w:spacing w:after="80" w:line="300"/>
        <w:jc w:val="both"/>
      </w:pPr>
      <w:r>
        <w:t xml:space="preserve">Booléens préfixés par </w:t>
      </w:r>
      <w:r>
        <w:rPr>
          <w:rFonts w:ascii="Consolas" w:cs="Consolas" w:eastAsia="Consolas" w:hAnsi="Consolas"/>
          <w:color w:val="C7254E"/>
          <w:sz w:val="20"/>
          <w:szCs w:val="20"/>
        </w:rPr>
        <w:t xml:space="preserve">est_</w:t>
      </w:r>
      <w:r>
        <w:t xml:space="preserve"> ou </w:t>
      </w:r>
      <w:r>
        <w:rPr>
          <w:rFonts w:ascii="Consolas" w:cs="Consolas" w:eastAsia="Consolas" w:hAnsi="Consolas"/>
          <w:color w:val="C7254E"/>
          <w:sz w:val="20"/>
          <w:szCs w:val="20"/>
        </w:rPr>
        <w:t xml:space="preserve">a_</w:t>
      </w:r>
      <w:r>
        <w:t xml:space="preserve"> : </w:t>
      </w:r>
      <w:r>
        <w:rPr>
          <w:rFonts w:ascii="Consolas" w:cs="Consolas" w:eastAsia="Consolas" w:hAnsi="Consolas"/>
          <w:color w:val="C7254E"/>
          <w:sz w:val="20"/>
          <w:szCs w:val="20"/>
        </w:rPr>
        <w:t xml:space="preserve">est_actif</w:t>
      </w:r>
      <w:r>
        <w:t xml:space="preserve">, </w:t>
      </w:r>
      <w:r>
        <w:rPr>
          <w:rFonts w:ascii="Consolas" w:cs="Consolas" w:eastAsia="Consolas" w:hAnsi="Consolas"/>
          <w:color w:val="C7254E"/>
          <w:sz w:val="20"/>
          <w:szCs w:val="20"/>
        </w:rPr>
        <w:t xml:space="preserve">est_recurrent</w:t>
      </w:r>
      <w:r>
        <w:t xml:space="preserve">, </w:t>
      </w:r>
      <w:r>
        <w:rPr>
          <w:rFonts w:ascii="Consolas" w:cs="Consolas" w:eastAsia="Consolas" w:hAnsi="Consolas"/>
          <w:color w:val="C7254E"/>
          <w:sz w:val="20"/>
          <w:szCs w:val="20"/>
        </w:rPr>
        <w:t xml:space="preserve">a_signe</w:t>
      </w:r>
      <w:r>
        <w:t xml:space="preserve">.</w:t>
      </w:r>
    </w:p>
    <w:p>
      <w:pPr>
        <w:pStyle w:val="ListParagraph"/>
        <w:numPr>
          <w:ilvl w:val="0"/>
          <w:numId w:val="3"/>
        </w:numPr>
        <w:spacing w:after="80" w:line="300"/>
        <w:jc w:val="both"/>
      </w:pPr>
      <w:r>
        <w:t xml:space="preserve">Dates préfixées par </w:t>
      </w:r>
      <w:r>
        <w:rPr>
          <w:rFonts w:ascii="Consolas" w:cs="Consolas" w:eastAsia="Consolas" w:hAnsi="Consolas"/>
          <w:color w:val="C7254E"/>
          <w:sz w:val="20"/>
          <w:szCs w:val="20"/>
        </w:rPr>
        <w:t xml:space="preserve">date_</w:t>
      </w:r>
      <w:r>
        <w:t xml:space="preserve"> : </w:t>
      </w:r>
      <w:r>
        <w:rPr>
          <w:rFonts w:ascii="Consolas" w:cs="Consolas" w:eastAsia="Consolas" w:hAnsi="Consolas"/>
          <w:color w:val="C7254E"/>
          <w:sz w:val="20"/>
          <w:szCs w:val="20"/>
        </w:rPr>
        <w:t xml:space="preserve">date_creation</w:t>
      </w:r>
      <w:r>
        <w:t xml:space="preserve">, </w:t>
      </w:r>
      <w:r>
        <w:rPr>
          <w:rFonts w:ascii="Consolas" w:cs="Consolas" w:eastAsia="Consolas" w:hAnsi="Consolas"/>
          <w:color w:val="C7254E"/>
          <w:sz w:val="20"/>
          <w:szCs w:val="20"/>
        </w:rPr>
        <w:t xml:space="preserve">date_validation</w:t>
      </w:r>
      <w:r>
        <w:t xml:space="preserve">, </w:t>
      </w:r>
      <w:r>
        <w:rPr>
          <w:rFonts w:ascii="Consolas" w:cs="Consolas" w:eastAsia="Consolas" w:hAnsi="Consolas"/>
          <w:color w:val="C7254E"/>
          <w:sz w:val="20"/>
          <w:szCs w:val="20"/>
        </w:rPr>
        <w:t xml:space="preserve">date_decaissement</w:t>
      </w:r>
      <w:r>
        <w:t xml:space="preserve">.</w:t>
      </w:r>
    </w:p>
    <w:p>
      <w:pPr>
        <w:pStyle w:val="ListParagraph"/>
        <w:numPr>
          <w:ilvl w:val="0"/>
          <w:numId w:val="3"/>
        </w:numPr>
        <w:spacing w:after="80" w:line="300"/>
        <w:jc w:val="both"/>
      </w:pPr>
      <w:r>
        <w:t xml:space="preserve">Énumérations stockées en MAJUSCULES sans accents : </w:t>
      </w:r>
      <w:r>
        <w:rPr>
          <w:rFonts w:ascii="Consolas" w:cs="Consolas" w:eastAsia="Consolas" w:hAnsi="Consolas"/>
          <w:color w:val="C7254E"/>
          <w:sz w:val="20"/>
          <w:szCs w:val="20"/>
        </w:rPr>
        <w:t xml:space="preserve">CREE</w:t>
      </w:r>
      <w:r>
        <w:t xml:space="preserve">, </w:t>
      </w:r>
      <w:r>
        <w:rPr>
          <w:rFonts w:ascii="Consolas" w:cs="Consolas" w:eastAsia="Consolas" w:hAnsi="Consolas"/>
          <w:color w:val="C7254E"/>
          <w:sz w:val="20"/>
          <w:szCs w:val="20"/>
        </w:rPr>
        <w:t xml:space="preserve">VALIDE</w:t>
      </w:r>
      <w:r>
        <w:t xml:space="preserve">, </w:t>
      </w:r>
      <w:r>
        <w:rPr>
          <w:rFonts w:ascii="Consolas" w:cs="Consolas" w:eastAsia="Consolas" w:hAnsi="Consolas"/>
          <w:color w:val="C7254E"/>
          <w:sz w:val="20"/>
          <w:szCs w:val="20"/>
        </w:rPr>
        <w:t xml:space="preserve">DECAISSE</w:t>
      </w:r>
      <w:r>
        <w:t xml:space="preserve">, </w:t>
      </w:r>
      <w:r>
        <w:rPr>
          <w:rFonts w:ascii="Consolas" w:cs="Consolas" w:eastAsia="Consolas" w:hAnsi="Consolas"/>
          <w:color w:val="C7254E"/>
          <w:sz w:val="20"/>
          <w:szCs w:val="20"/>
        </w:rPr>
        <w:t xml:space="preserve">COMPTABILISE</w:t>
      </w:r>
      <w:r>
        <w:t xml:space="preserve">, </w:t>
      </w:r>
      <w:r>
        <w:rPr>
          <w:rFonts w:ascii="Consolas" w:cs="Consolas" w:eastAsia="Consolas" w:hAnsi="Consolas"/>
          <w:color w:val="C7254E"/>
          <w:sz w:val="20"/>
          <w:szCs w:val="20"/>
        </w:rPr>
        <w:t xml:space="preserve">ANNULE</w:t>
      </w:r>
      <w:r>
        <w:t xml:space="preserve">, </w:t>
      </w:r>
      <w:r>
        <w:rPr>
          <w:rFonts w:ascii="Consolas" w:cs="Consolas" w:eastAsia="Consolas" w:hAnsi="Consolas"/>
          <w:color w:val="C7254E"/>
          <w:sz w:val="20"/>
          <w:szCs w:val="20"/>
        </w:rPr>
        <w:t xml:space="preserve">REFUSE</w:t>
      </w:r>
      <w:r>
        <w:t xml:space="preserve">.</w:t>
      </w:r>
    </w:p>
    <w:p>
      <w:pPr>
        <w:pStyle w:val="ListParagraph"/>
        <w:numPr>
          <w:ilvl w:val="0"/>
          <w:numId w:val="3"/>
        </w:numPr>
        <w:spacing w:after="80" w:line="300"/>
        <w:jc w:val="both"/>
      </w:pPr>
      <w:r>
        <w:t xml:space="preserve">Montants stockés en </w:t>
      </w:r>
      <w:r>
        <w:rPr>
          <w:rFonts w:ascii="Consolas" w:cs="Consolas" w:eastAsia="Consolas" w:hAnsi="Consolas"/>
          <w:color w:val="C7254E"/>
          <w:sz w:val="20"/>
          <w:szCs w:val="20"/>
        </w:rPr>
        <w:t xml:space="preserve">NUMERIC(19,4)</w:t>
      </w:r>
      <w:r>
        <w:t xml:space="preserve"> (PostgreSQL) ou </w:t>
      </w:r>
      <w:r>
        <w:rPr>
          <w:rFonts w:ascii="Consolas" w:cs="Consolas" w:eastAsia="Consolas" w:hAnsi="Consolas"/>
          <w:color w:val="C7254E"/>
          <w:sz w:val="20"/>
          <w:szCs w:val="20"/>
        </w:rPr>
        <w:t xml:space="preserve">BIGINT</w:t>
      </w:r>
      <w:r>
        <w:t xml:space="preserve"> en centimes ; jamais en </w:t>
      </w:r>
      <w:r>
        <w:rPr>
          <w:rFonts w:ascii="Consolas" w:cs="Consolas" w:eastAsia="Consolas" w:hAnsi="Consolas"/>
          <w:color w:val="C7254E"/>
          <w:sz w:val="20"/>
          <w:szCs w:val="20"/>
        </w:rPr>
        <w:t xml:space="preserve">FLOAT</w:t>
      </w:r>
      <w:r>
        <w:t xml:space="preserve">.</w:t>
      </w:r>
    </w:p>
    <w:p>
      <w:pPr>
        <w:pStyle w:val="ListParagraph"/>
        <w:numPr>
          <w:ilvl w:val="0"/>
          <w:numId w:val="3"/>
        </w:numPr>
        <w:spacing w:after="80" w:line="300"/>
        <w:jc w:val="both"/>
      </w:pPr>
      <w:r>
        <w:t xml:space="preserve">Tables de jointure nommées par concaténation : </w:t>
      </w:r>
      <w:r>
        <w:rPr>
          <w:rFonts w:ascii="Consolas" w:cs="Consolas" w:eastAsia="Consolas" w:hAnsi="Consolas"/>
          <w:color w:val="C7254E"/>
          <w:sz w:val="20"/>
          <w:szCs w:val="20"/>
        </w:rPr>
        <w:t xml:space="preserve">sec_user_role</w:t>
      </w:r>
      <w:r>
        <w:t xml:space="preserve">, </w:t>
      </w:r>
      <w:r>
        <w:rPr>
          <w:rFonts w:ascii="Consolas" w:cs="Consolas" w:eastAsia="Consolas" w:hAnsi="Consolas"/>
          <w:color w:val="C7254E"/>
          <w:sz w:val="20"/>
          <w:szCs w:val="20"/>
        </w:rPr>
        <w:t xml:space="preserve">sec_role_permission</w:t>
      </w:r>
      <w:r>
        <w:t xml:space="preserve">.</w:t>
      </w:r>
    </w:p>
    <w:p>
      <w:pPr>
        <w:pStyle w:val="Heading3"/>
        <w:spacing w:after="120" w:before="220"/>
      </w:pPr>
      <w:r>
        <w:t xml:space="preserve">1.3. Colonnes d'audit standard</w:t>
      </w:r>
    </w:p>
    <w:p>
      <w:pPr>
        <w:spacing w:after="120" w:line="300"/>
        <w:jc w:val="both"/>
      </w:pPr>
      <w:r>
        <w:t xml:space="preserve">Toutes les tables métier comportent les colonnes d'audit suivantes (sauf tables techniques comme `aud_idempotency_key`) :</w:t>
      </w:r>
    </w:p>
    <w:p>
      <w:pPr>
        <w:pStyle w:val="ListParagraph"/>
        <w:numPr>
          <w:ilvl w:val="0"/>
          <w:numId w:val="3"/>
        </w:numPr>
        <w:spacing w:after="80" w:line="300"/>
        <w:jc w:val="both"/>
      </w:pPr>
      <w:r>
        <w:rPr>
          <w:rFonts w:ascii="Consolas" w:cs="Consolas" w:eastAsia="Consolas" w:hAnsi="Consolas"/>
          <w:color w:val="C7254E"/>
          <w:sz w:val="20"/>
          <w:szCs w:val="20"/>
        </w:rPr>
        <w:t xml:space="preserve">created_at</w:t>
      </w:r>
      <w:r>
        <w:t xml:space="preserve"> (TIMESTAMP) : date de création de la ligne.</w:t>
      </w:r>
    </w:p>
    <w:p>
      <w:pPr>
        <w:pStyle w:val="ListParagraph"/>
        <w:numPr>
          <w:ilvl w:val="0"/>
          <w:numId w:val="3"/>
        </w:numPr>
        <w:spacing w:after="80" w:line="300"/>
        <w:jc w:val="both"/>
      </w:pPr>
      <w:r>
        <w:rPr>
          <w:rFonts w:ascii="Consolas" w:cs="Consolas" w:eastAsia="Consolas" w:hAnsi="Consolas"/>
          <w:color w:val="C7254E"/>
          <w:sz w:val="20"/>
          <w:szCs w:val="20"/>
        </w:rPr>
        <w:t xml:space="preserve">created_by_id</w:t>
      </w:r>
      <w:r>
        <w:t xml:space="preserve"> (BIGINT) : identifiant de l'utilisateur créateur.</w:t>
      </w:r>
    </w:p>
    <w:p>
      <w:pPr>
        <w:pStyle w:val="ListParagraph"/>
        <w:numPr>
          <w:ilvl w:val="0"/>
          <w:numId w:val="3"/>
        </w:numPr>
        <w:spacing w:after="80" w:line="300"/>
        <w:jc w:val="both"/>
      </w:pPr>
      <w:r>
        <w:rPr>
          <w:rFonts w:ascii="Consolas" w:cs="Consolas" w:eastAsia="Consolas" w:hAnsi="Consolas"/>
          <w:color w:val="C7254E"/>
          <w:sz w:val="20"/>
          <w:szCs w:val="20"/>
        </w:rPr>
        <w:t xml:space="preserve">updated_at</w:t>
      </w:r>
      <w:r>
        <w:t xml:space="preserve"> (TIMESTAMP nullable) : date de dernière modification.</w:t>
      </w:r>
    </w:p>
    <w:p>
      <w:pPr>
        <w:pStyle w:val="ListParagraph"/>
        <w:numPr>
          <w:ilvl w:val="0"/>
          <w:numId w:val="3"/>
        </w:numPr>
        <w:spacing w:after="80" w:line="300"/>
        <w:jc w:val="both"/>
      </w:pPr>
      <w:r>
        <w:rPr>
          <w:rFonts w:ascii="Consolas" w:cs="Consolas" w:eastAsia="Consolas" w:hAnsi="Consolas"/>
          <w:color w:val="C7254E"/>
          <w:sz w:val="20"/>
          <w:szCs w:val="20"/>
        </w:rPr>
        <w:t xml:space="preserve">updated_by_id</w:t>
      </w:r>
      <w:r>
        <w:t xml:space="preserve"> (BIGINT nullable) : identifiant du dernier modificateur.</w:t>
      </w:r>
    </w:p>
    <w:p>
      <w:pPr>
        <w:pStyle w:val="ListParagraph"/>
        <w:numPr>
          <w:ilvl w:val="0"/>
          <w:numId w:val="3"/>
        </w:numPr>
        <w:spacing w:after="80" w:line="300"/>
        <w:jc w:val="both"/>
      </w:pPr>
      <w:r>
        <w:rPr>
          <w:rFonts w:ascii="Consolas" w:cs="Consolas" w:eastAsia="Consolas" w:hAnsi="Consolas"/>
          <w:color w:val="C7254E"/>
          <w:sz w:val="20"/>
          <w:szCs w:val="20"/>
        </w:rPr>
        <w:t xml:space="preserve">deleted_at</w:t>
      </w:r>
      <w:r>
        <w:t xml:space="preserve"> (TIMESTAMP nullable) : pour le soft delete.</w:t>
      </w:r>
    </w:p>
    <w:p>
      <w:pPr>
        <w:pStyle w:val="ListParagraph"/>
        <w:numPr>
          <w:ilvl w:val="0"/>
          <w:numId w:val="3"/>
        </w:numPr>
        <w:spacing w:after="80" w:line="300"/>
        <w:jc w:val="both"/>
      </w:pPr>
      <w:r>
        <w:rPr>
          <w:rFonts w:ascii="Consolas" w:cs="Consolas" w:eastAsia="Consolas" w:hAnsi="Consolas"/>
          <w:color w:val="C7254E"/>
          <w:sz w:val="20"/>
          <w:szCs w:val="20"/>
        </w:rPr>
        <w:t xml:space="preserve">deleted_by_id</w:t>
      </w:r>
      <w:r>
        <w:t xml:space="preserve"> (BIGINT nullable) : utilisateur ayant supprimé.</w:t>
      </w:r>
    </w:p>
    <w:p>
      <w:pPr>
        <w:pStyle w:val="ListParagraph"/>
        <w:numPr>
          <w:ilvl w:val="0"/>
          <w:numId w:val="3"/>
        </w:numPr>
        <w:spacing w:after="80" w:line="300"/>
        <w:jc w:val="both"/>
      </w:pPr>
      <w:r>
        <w:rPr>
          <w:rFonts w:ascii="Consolas" w:cs="Consolas" w:eastAsia="Consolas" w:hAnsi="Consolas"/>
          <w:color w:val="C7254E"/>
          <w:sz w:val="20"/>
          <w:szCs w:val="20"/>
        </w:rPr>
        <w:t xml:space="preserve">version</w:t>
      </w:r>
      <w:r>
        <w:t xml:space="preserve"> (INTEGER, défaut 1) : pour les verrous optimistes.</w:t>
      </w:r>
    </w:p>
    <w:p>
      <w:r>
        <w:br w:type="page"/>
      </w:r>
    </w:p>
    <w:p>
      <w:pPr>
        <w:pStyle w:val="Heading2"/>
        <w:spacing w:after="160" w:before="280"/>
      </w:pPr>
      <w:r>
        <w:t xml:space="preserve">2. Domaine Sécurité — préfixe sec_</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7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Table</w:t>
            </w:r>
          </w:p>
        </w:tc>
        <w:tc>
          <w:tcPr>
            <w:tcW w:type="dxa" w:w="5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Colonnes principales</w:t>
            </w:r>
          </w:p>
        </w:tc>
        <w:tc>
          <w:tcPr>
            <w:tcW w:type="dxa" w:w="1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sec_direction</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code, libelle, description, est_actif</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Directions hiérarchiques</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sec_user</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uuid, matricule, nom, prenom, email, telephone, mot_de_passe_hash, est_actif, direction_id, derniere_connexion</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Utilisateurs du système</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sec_role</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code, libelle, description, est_systeme</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Rôles métier (DG, Directeur, Caissier...)</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sec_permission</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code, libelle, module, description</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Permissions atomiques (BON_VALIDER, CAISSE_OUVRIR...)</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sec_user_role</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user_id, role_id, date_attribution, attribue_par_id</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Affectation rôle → utilisateur</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sec_role_permission</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role_id, permission_id</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Affectation permission → rôle</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sec_user_caisse_access</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user_id, caisse_id, niveau_acces</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Autorisation par caisse</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sec_interim</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initiateur_id, remplacant_id, date_debut, date_fin, commentaire, statut, permission_id</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Délégations temporaires</w:t>
            </w:r>
          </w:p>
        </w:tc>
      </w:tr>
    </w:tbl>
    <w:p>
      <w:pPr>
        <w:spacing w:after="80"/>
      </w:pPr>
      <w:r>
        <w:t xml:space="preserve"> </w:t>
      </w:r>
    </w:p>
    <w:p>
      <w:pPr>
        <w:pStyle w:val="Heading2"/>
        <w:spacing w:after="160" w:before="280"/>
      </w:pPr>
      <w:r>
        <w:t xml:space="preserve">3. Domaine Référentiel — préfixe ref_</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7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Table</w:t>
            </w:r>
          </w:p>
        </w:tc>
        <w:tc>
          <w:tcPr>
            <w:tcW w:type="dxa" w:w="5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Colonnes principales</w:t>
            </w:r>
          </w:p>
        </w:tc>
        <w:tc>
          <w:tcPr>
            <w:tcW w:type="dxa" w:w="1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ref_client</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numero_client, raison_sociale, adresse, telephone, email, est_actif</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Clients de l'entreprise</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ref_fournisseur</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code, raison_sociale, adresse, telephone, email, est_actif</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Fournisseurs</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ref_plan_comptable</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numero_compte, libelle, type_compte, parent_id</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Plan comptable hiérarchique</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ref_cost_center</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code, libelle, direction_id, est_actif</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Centres de coût</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ref_nature_operation</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code, libelle, cost_center_id, plan_comptable_id, est_actif</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Natures (ex. Achat Mat. Informatique)</w:t>
            </w:r>
          </w:p>
        </w:tc>
      </w:tr>
    </w:tbl>
    <w:p>
      <w:pPr>
        <w:spacing w:after="80"/>
      </w:pPr>
      <w:r>
        <w:t xml:space="preserve"> </w:t>
      </w:r>
    </w:p>
    <w:p>
      <w:pPr>
        <w:pStyle w:val="Heading2"/>
        <w:spacing w:after="160" w:before="280"/>
      </w:pPr>
      <w:r>
        <w:t xml:space="preserve">4. Domaine Financier — préfixe fin_</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7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Table</w:t>
            </w:r>
          </w:p>
        </w:tc>
        <w:tc>
          <w:tcPr>
            <w:tcW w:type="dxa" w:w="5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Colonnes principales</w:t>
            </w:r>
          </w:p>
        </w:tc>
        <w:tc>
          <w:tcPr>
            <w:tcW w:type="dxa" w:w="1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fin_devise</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code, libelle, symbole, nb_decimales</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Devises (XOF, EUR, USD)</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fin_taux_echange</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devise_source_id, devise_cible_id, taux, date_validite_debut, date_validite_fin, source</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Taux fixes en DB ou via API</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fin_caisse</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code, libelle, devise_id, est_principale, caissier_id, statut</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Caisses (OUVERTE / FERMEE)</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fin_session_caisse</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caisse_id, date_ouverture, date_cloture, solde_ouverture, solde_cloture, cloture_par_id, type_cloture</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Sessions journalières (AUTO_20H ou MANUEL)</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fin_portefeuille</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code, libelle, caisse_source_id, devise_id, proprietaire_type, proprietaire_id, est_actif</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Wallets utilisateur ou direction</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fin_compte_gain_change</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devise_id, description</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Compte de gain de change</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fin_compte_perte_change</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devise_id, description</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Compte de perte de change</w:t>
            </w:r>
          </w:p>
        </w:tc>
      </w:tr>
    </w:tbl>
    <w:p>
      <w:pPr>
        <w:spacing w:after="80"/>
      </w:pPr>
      <w:r>
        <w:t xml:space="preserve"> </w:t>
      </w:r>
    </w:p>
    <w:p>
      <w:pPr>
        <w:pStyle w:val="Heading2"/>
        <w:spacing w:after="160" w:before="280"/>
      </w:pPr>
      <w:r>
        <w:t xml:space="preserve">5. Domaine Transactionnel — préfixe trx_</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7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Table</w:t>
            </w:r>
          </w:p>
        </w:tc>
        <w:tc>
          <w:tcPr>
            <w:tcW w:type="dxa" w:w="5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Colonnes principales</w:t>
            </w:r>
          </w:p>
        </w:tc>
        <w:tc>
          <w:tcPr>
            <w:tcW w:type="dxa" w:w="1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trx_bon</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uuid, numero, demandeur_id, cree_par_interim_id, client_id, fournisseur_id, numero_client, code_manutention, montant_total, montant_a_payer_client, devise_id, portefeuille_id, statut, est_recurrent, frequence_recurrence, prochain_renouvellement, bon_parent_id</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Bons (entité centrale)</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trx_sous_bon</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bon_id, numero_sous_bon, libelle, montant, nature_operation_id, cost_center_id, statut, date_decaissement</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Sous-bons (statut indépendant)</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trx_bon_caisse</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bon_source_id, sous_bon_source_id, caissier_id, date_duplication, contenu_modifie (JSONB), date_decaissement, beneficiaire, statut</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Duplication au décaissement</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trx_validation_bon</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bon_id, sous_bon_id, validateur_id, date_validation, niveau_validation, action, commentaire</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Validations / refus / signatures</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trx_decaissement</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bon_caisse_id, caissier_id, beneficiaire_nom, beneficiaire_piece, montant, date_decaissement, portefeuille_id</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Décaissements effectifs</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trx_operation</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type_operation, caisse_id, portefeuille_id, montant, devise_id, date_operation, user_id, reference</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Mouvements de caisse et portefeuille</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trx_transfert</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caisse_source_id, caisse_cible_id, portefeuille_cible_id, montant_source, montant_cible, devise_source_id, devise_cible_id, taux_applique, montant_gain, montant_perte, date_transfert, initiateur_id, statut</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Transferts multi-devises</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trx_impression_bon</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bon_id, date_impression, imprime_par_id, a_signe, date_signature</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Impressions et signatures</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trx_ecriture_comptable</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transaction_uuid, compte_id, type_compte, debit, credit, devise_id, date_ecriture, reference_bon_id, hash_integrite, hash_precedent</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Partie double immuable (Niveau 1.1 Partie IV)</w:t>
            </w:r>
          </w:p>
        </w:tc>
      </w:tr>
    </w:tbl>
    <w:p>
      <w:pPr>
        <w:spacing w:after="80"/>
      </w:pPr>
      <w:r>
        <w:t xml:space="preserve"> </w:t>
      </w:r>
    </w:p>
    <w:p>
      <w:pPr>
        <w:pStyle w:val="Heading2"/>
        <w:spacing w:after="160" w:before="280"/>
      </w:pPr>
      <w:r>
        <w:t xml:space="preserve">6. Domaine Audit &amp; Intégration — préfixe aud_</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7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Table</w:t>
            </w:r>
          </w:p>
        </w:tc>
        <w:tc>
          <w:tcPr>
            <w:tcW w:type="dxa" w:w="5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Colonnes principales</w:t>
            </w:r>
          </w:p>
        </w:tc>
        <w:tc>
          <w:tcPr>
            <w:tcW w:type="dxa" w:w="1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vAlign w:val="center"/>
          </w:tcPr>
          <w:p>
            <w:pPr>
              <w:jc w:val="left"/>
            </w:pPr>
            <w:r>
              <w:rPr>
                <w:b/>
                <w:bCs/>
                <w:color w:val="FFFFFF"/>
                <w:sz w:val="20"/>
                <w:szCs w:val="20"/>
              </w:rPr>
              <w:t xml:space="preserve">Description</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aud_journal</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user_id, action, entite_concernee, entite_id, ancienne_valeur (JSONB), nouvelle_valeur (JSONB), date_action, adresse_ip, user_agent</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Journal d'audit append-only</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aud_evenement_bon</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bon_id, type_evenement, acteur_id, acteur_interim_id, payload (JSONB), date_evenement, adresse_ip</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Event sourcing sur les bons</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aud_log_sap</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session_caisse_id, date_envoi, payload (JSONB), statut, message_retour, nb_tentatives</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Synchronisations SAP</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aud_outbox</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type_message, payload (JSONB), statut, nb_tentatives, prochaine_tentative, derniere_erreur, date_traitement</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Pattern Outbox (Niveau 4.2 Partie IV)</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aud_idempotency_key</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cle, user_id, endpoint, hash_requete, reponse_cachee (JSONB), statut, expire_le</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Anti-doublon (Niveau 2.1 Partie IV)</w:t>
            </w:r>
          </w:p>
        </w:tc>
      </w:tr>
      <w:tr>
        <w:tc>
          <w:tcPr>
            <w:tcW w:type="dxa" w:w="28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bCs/>
                <w:sz w:val="20"/>
                <w:szCs w:val="20"/>
              </w:rPr>
              <w:t xml:space="preserve">aud_snapshot_journalier</w:t>
            </w:r>
          </w:p>
        </w:tc>
        <w:tc>
          <w:tcPr>
            <w:tcW w:type="dxa" w:w="540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id, date_snapshot, caisse_id, solde_calcule_ecritures, solde_caisse_table, solde_sap, ecart, statut_reconciliation</w:t>
            </w:r>
          </w:p>
        </w:tc>
        <w:tc>
          <w:tcPr>
            <w:tcW w:type="dxa" w:w="1760"/>
            <w:tcBorders>
              <w:top w:val="single" w:color="BFBFBF" w:sz="4"/>
              <w:left w:val="single" w:color="BFBFBF" w:sz="4"/>
              <w:bottom w:val="single" w:color="BFBFBF" w:sz="4"/>
              <w:right w:val="single" w:color="BFBFBF" w:sz="4"/>
            </w:tcBorders>
            <w:shd w:fill="FFFFFF" w:color="auto" w:val="clear"/>
            <w:tcMar>
              <w:top w:type="dxa" w:w="80"/>
              <w:left w:type="dxa" w:w="140"/>
              <w:bottom w:type="dxa" w:w="80"/>
              <w:right w:type="dxa" w:w="140"/>
            </w:tcMar>
            <w:vAlign w:val="center"/>
          </w:tcPr>
          <w:p>
            <w:pPr>
              <w:jc w:val="left"/>
            </w:pPr>
            <w:r>
              <w:rPr>
                <w:b w:val="false"/>
                <w:bCs w:val="false"/>
                <w:sz w:val="20"/>
                <w:szCs w:val="20"/>
              </w:rPr>
              <w:t xml:space="preserve">Réconciliation quotidienne (Niveau 5.5 Partie IV)</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bCs/>
                <w:sz w:val="20"/>
                <w:szCs w:val="20"/>
              </w:rPr>
              <w:t xml:space="preserve">aud_planification_recurrence</w:t>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id, bon_id, frequence, derniere_execution, prochaine_execution, est_actif</w:t>
            </w:r>
          </w:p>
        </w:tc>
        <w:tc>
          <w:tcPr>
            <w:tcW w:type="dxa" w:w="17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vAlign w:val="center"/>
          </w:tcPr>
          <w:p>
            <w:pPr>
              <w:jc w:val="left"/>
            </w:pPr>
            <w:r>
              <w:rPr>
                <w:b w:val="false"/>
                <w:bCs w:val="false"/>
                <w:sz w:val="20"/>
                <w:szCs w:val="20"/>
              </w:rPr>
              <w:t xml:space="preserve">Renouvellement des bons récurrents</w:t>
            </w:r>
          </w:p>
        </w:tc>
      </w:tr>
    </w:tbl>
    <w:p>
      <w:pPr>
        <w:spacing w:after="80"/>
      </w:pPr>
      <w:r>
        <w:t xml:space="preserve"> </w:t>
      </w:r>
    </w:p>
    <w:p>
      <w:pPr>
        <w:pStyle w:val="Heading2"/>
        <w:spacing w:after="160" w:before="280"/>
      </w:pPr>
      <w:r>
        <w:t xml:space="preserve">7. Énumérations utilisées</w:t>
      </w:r>
    </w:p>
    <w:p>
      <w:pPr>
        <w:spacing w:after="120" w:line="300"/>
        <w:jc w:val="both"/>
      </w:pPr>
      <w:r>
        <w:t xml:space="preserve">Toutes les énumérations sont stockées en chaînes MAJUSCULES sans accents, ce qui permet une lecture directe en base sans table de référence et un mapping aisé vers les enums TypeScript du backend NestJS.</w:t>
      </w:r>
    </w:p>
    <w:p>
      <w:pPr>
        <w:pStyle w:val="ListParagraph"/>
        <w:numPr>
          <w:ilvl w:val="0"/>
          <w:numId w:val="3"/>
        </w:numPr>
        <w:spacing w:after="80" w:line="300"/>
        <w:jc w:val="both"/>
      </w:pPr>
      <w:r>
        <w:rPr>
          <w:b/>
          <w:bCs/>
        </w:rPr>
        <w:t xml:space="preserve">Statut bon / sous-bon</w:t>
      </w:r>
      <w:r>
        <w:t xml:space="preserve"> : </w:t>
      </w:r>
      <w:r>
        <w:rPr>
          <w:rFonts w:ascii="Consolas" w:cs="Consolas" w:eastAsia="Consolas" w:hAnsi="Consolas"/>
          <w:color w:val="C7254E"/>
          <w:sz w:val="20"/>
          <w:szCs w:val="20"/>
        </w:rPr>
        <w:t xml:space="preserve">CREE</w:t>
      </w:r>
      <w:r>
        <w:t xml:space="preserve">, </w:t>
      </w:r>
      <w:r>
        <w:rPr>
          <w:rFonts w:ascii="Consolas" w:cs="Consolas" w:eastAsia="Consolas" w:hAnsi="Consolas"/>
          <w:color w:val="C7254E"/>
          <w:sz w:val="20"/>
          <w:szCs w:val="20"/>
        </w:rPr>
        <w:t xml:space="preserve">VALIDE</w:t>
      </w:r>
      <w:r>
        <w:t xml:space="preserve">, </w:t>
      </w:r>
      <w:r>
        <w:rPr>
          <w:rFonts w:ascii="Consolas" w:cs="Consolas" w:eastAsia="Consolas" w:hAnsi="Consolas"/>
          <w:color w:val="C7254E"/>
          <w:sz w:val="20"/>
          <w:szCs w:val="20"/>
        </w:rPr>
        <w:t xml:space="preserve">DECAISSE</w:t>
      </w:r>
      <w:r>
        <w:t xml:space="preserve">, </w:t>
      </w:r>
      <w:r>
        <w:rPr>
          <w:rFonts w:ascii="Consolas" w:cs="Consolas" w:eastAsia="Consolas" w:hAnsi="Consolas"/>
          <w:color w:val="C7254E"/>
          <w:sz w:val="20"/>
          <w:szCs w:val="20"/>
        </w:rPr>
        <w:t xml:space="preserve">COMPTABILISE</w:t>
      </w:r>
      <w:r>
        <w:t xml:space="preserve">, </w:t>
      </w:r>
      <w:r>
        <w:rPr>
          <w:rFonts w:ascii="Consolas" w:cs="Consolas" w:eastAsia="Consolas" w:hAnsi="Consolas"/>
          <w:color w:val="C7254E"/>
          <w:sz w:val="20"/>
          <w:szCs w:val="20"/>
        </w:rPr>
        <w:t xml:space="preserve">ANNULE</w:t>
      </w:r>
      <w:r>
        <w:t xml:space="preserve">, </w:t>
      </w:r>
      <w:r>
        <w:rPr>
          <w:rFonts w:ascii="Consolas" w:cs="Consolas" w:eastAsia="Consolas" w:hAnsi="Consolas"/>
          <w:color w:val="C7254E"/>
          <w:sz w:val="20"/>
          <w:szCs w:val="20"/>
        </w:rPr>
        <w:t xml:space="preserve">REFUSE</w:t>
      </w:r>
      <w:r>
        <w:t xml:space="preserve">.</w:t>
      </w:r>
    </w:p>
    <w:p>
      <w:pPr>
        <w:pStyle w:val="ListParagraph"/>
        <w:numPr>
          <w:ilvl w:val="0"/>
          <w:numId w:val="3"/>
        </w:numPr>
        <w:spacing w:after="80" w:line="300"/>
        <w:jc w:val="both"/>
      </w:pPr>
      <w:r>
        <w:rPr>
          <w:b/>
          <w:bCs/>
        </w:rPr>
        <w:t xml:space="preserve">Statut caisse</w:t>
      </w:r>
      <w:r>
        <w:t xml:space="preserve"> : </w:t>
      </w:r>
      <w:r>
        <w:rPr>
          <w:rFonts w:ascii="Consolas" w:cs="Consolas" w:eastAsia="Consolas" w:hAnsi="Consolas"/>
          <w:color w:val="C7254E"/>
          <w:sz w:val="20"/>
          <w:szCs w:val="20"/>
        </w:rPr>
        <w:t xml:space="preserve">OUVERTE</w:t>
      </w:r>
      <w:r>
        <w:t xml:space="preserve">, </w:t>
      </w:r>
      <w:r>
        <w:rPr>
          <w:rFonts w:ascii="Consolas" w:cs="Consolas" w:eastAsia="Consolas" w:hAnsi="Consolas"/>
          <w:color w:val="C7254E"/>
          <w:sz w:val="20"/>
          <w:szCs w:val="20"/>
        </w:rPr>
        <w:t xml:space="preserve">FERMEE</w:t>
      </w:r>
      <w:r>
        <w:t xml:space="preserve">.</w:t>
      </w:r>
    </w:p>
    <w:p>
      <w:pPr>
        <w:pStyle w:val="ListParagraph"/>
        <w:numPr>
          <w:ilvl w:val="0"/>
          <w:numId w:val="3"/>
        </w:numPr>
        <w:spacing w:after="80" w:line="300"/>
        <w:jc w:val="both"/>
      </w:pPr>
      <w:r>
        <w:rPr>
          <w:b/>
          <w:bCs/>
        </w:rPr>
        <w:t xml:space="preserve">Type de clôture</w:t>
      </w:r>
      <w:r>
        <w:t xml:space="preserve"> : </w:t>
      </w:r>
      <w:r>
        <w:rPr>
          <w:rFonts w:ascii="Consolas" w:cs="Consolas" w:eastAsia="Consolas" w:hAnsi="Consolas"/>
          <w:color w:val="C7254E"/>
          <w:sz w:val="20"/>
          <w:szCs w:val="20"/>
        </w:rPr>
        <w:t xml:space="preserve">AUTO_20H</w:t>
      </w:r>
      <w:r>
        <w:t xml:space="preserve">, </w:t>
      </w:r>
      <w:r>
        <w:rPr>
          <w:rFonts w:ascii="Consolas" w:cs="Consolas" w:eastAsia="Consolas" w:hAnsi="Consolas"/>
          <w:color w:val="C7254E"/>
          <w:sz w:val="20"/>
          <w:szCs w:val="20"/>
        </w:rPr>
        <w:t xml:space="preserve">MANUEL</w:t>
      </w:r>
      <w:r>
        <w:t xml:space="preserve">.</w:t>
      </w:r>
    </w:p>
    <w:p>
      <w:pPr>
        <w:pStyle w:val="ListParagraph"/>
        <w:numPr>
          <w:ilvl w:val="0"/>
          <w:numId w:val="3"/>
        </w:numPr>
        <w:spacing w:after="80" w:line="300"/>
        <w:jc w:val="both"/>
      </w:pPr>
      <w:r>
        <w:rPr>
          <w:b/>
          <w:bCs/>
        </w:rPr>
        <w:t xml:space="preserve">Type d'opération</w:t>
      </w:r>
      <w:r>
        <w:t xml:space="preserve"> : </w:t>
      </w:r>
      <w:r>
        <w:rPr>
          <w:rFonts w:ascii="Consolas" w:cs="Consolas" w:eastAsia="Consolas" w:hAnsi="Consolas"/>
          <w:color w:val="C7254E"/>
          <w:sz w:val="20"/>
          <w:szCs w:val="20"/>
        </w:rPr>
        <w:t xml:space="preserve">RECHARGE</w:t>
      </w:r>
      <w:r>
        <w:t xml:space="preserve">, </w:t>
      </w:r>
      <w:r>
        <w:rPr>
          <w:rFonts w:ascii="Consolas" w:cs="Consolas" w:eastAsia="Consolas" w:hAnsi="Consolas"/>
          <w:color w:val="C7254E"/>
          <w:sz w:val="20"/>
          <w:szCs w:val="20"/>
        </w:rPr>
        <w:t xml:space="preserve">DECAISSEMENT</w:t>
      </w:r>
      <w:r>
        <w:t xml:space="preserve">, </w:t>
      </w:r>
      <w:r>
        <w:rPr>
          <w:rFonts w:ascii="Consolas" w:cs="Consolas" w:eastAsia="Consolas" w:hAnsi="Consolas"/>
          <w:color w:val="C7254E"/>
          <w:sz w:val="20"/>
          <w:szCs w:val="20"/>
        </w:rPr>
        <w:t xml:space="preserve">TRANSFERT</w:t>
      </w:r>
      <w:r>
        <w:t xml:space="preserve">, </w:t>
      </w:r>
      <w:r>
        <w:rPr>
          <w:rFonts w:ascii="Consolas" w:cs="Consolas" w:eastAsia="Consolas" w:hAnsi="Consolas"/>
          <w:color w:val="C7254E"/>
          <w:sz w:val="20"/>
          <w:szCs w:val="20"/>
        </w:rPr>
        <w:t xml:space="preserve">AJUSTEMENT</w:t>
      </w:r>
      <w:r>
        <w:t xml:space="preserve">.</w:t>
      </w:r>
    </w:p>
    <w:p>
      <w:pPr>
        <w:pStyle w:val="ListParagraph"/>
        <w:numPr>
          <w:ilvl w:val="0"/>
          <w:numId w:val="3"/>
        </w:numPr>
        <w:spacing w:after="80" w:line="300"/>
        <w:jc w:val="both"/>
      </w:pPr>
      <w:r>
        <w:rPr>
          <w:b/>
          <w:bCs/>
        </w:rPr>
        <w:t xml:space="preserve">Type de compte (écriture)</w:t>
      </w:r>
      <w:r>
        <w:t xml:space="preserve"> : </w:t>
      </w:r>
      <w:r>
        <w:rPr>
          <w:rFonts w:ascii="Consolas" w:cs="Consolas" w:eastAsia="Consolas" w:hAnsi="Consolas"/>
          <w:color w:val="C7254E"/>
          <w:sz w:val="20"/>
          <w:szCs w:val="20"/>
        </w:rPr>
        <w:t xml:space="preserve">CAISSE</w:t>
      </w:r>
      <w:r>
        <w:t xml:space="preserve">, </w:t>
      </w:r>
      <w:r>
        <w:rPr>
          <w:rFonts w:ascii="Consolas" w:cs="Consolas" w:eastAsia="Consolas" w:hAnsi="Consolas"/>
          <w:color w:val="C7254E"/>
          <w:sz w:val="20"/>
          <w:szCs w:val="20"/>
        </w:rPr>
        <w:t xml:space="preserve">PORTEFEUILLE</w:t>
      </w:r>
      <w:r>
        <w:t xml:space="preserve">, </w:t>
      </w:r>
      <w:r>
        <w:rPr>
          <w:rFonts w:ascii="Consolas" w:cs="Consolas" w:eastAsia="Consolas" w:hAnsi="Consolas"/>
          <w:color w:val="C7254E"/>
          <w:sz w:val="20"/>
          <w:szCs w:val="20"/>
        </w:rPr>
        <w:t xml:space="preserve">GAIN_CHANGE</w:t>
      </w:r>
      <w:r>
        <w:t xml:space="preserve">, </w:t>
      </w:r>
      <w:r>
        <w:rPr>
          <w:rFonts w:ascii="Consolas" w:cs="Consolas" w:eastAsia="Consolas" w:hAnsi="Consolas"/>
          <w:color w:val="C7254E"/>
          <w:sz w:val="20"/>
          <w:szCs w:val="20"/>
        </w:rPr>
        <w:t xml:space="preserve">PERTE_CHANGE</w:t>
      </w:r>
      <w:r>
        <w:t xml:space="preserve">.</w:t>
      </w:r>
    </w:p>
    <w:p>
      <w:pPr>
        <w:pStyle w:val="ListParagraph"/>
        <w:numPr>
          <w:ilvl w:val="0"/>
          <w:numId w:val="3"/>
        </w:numPr>
        <w:spacing w:after="80" w:line="300"/>
        <w:jc w:val="both"/>
      </w:pPr>
      <w:r>
        <w:rPr>
          <w:b/>
          <w:bCs/>
        </w:rPr>
        <w:t xml:space="preserve">Propriétaire portefeuille</w:t>
      </w:r>
      <w:r>
        <w:t xml:space="preserve"> : </w:t>
      </w:r>
      <w:r>
        <w:rPr>
          <w:rFonts w:ascii="Consolas" w:cs="Consolas" w:eastAsia="Consolas" w:hAnsi="Consolas"/>
          <w:color w:val="C7254E"/>
          <w:sz w:val="20"/>
          <w:szCs w:val="20"/>
        </w:rPr>
        <w:t xml:space="preserve">USER</w:t>
      </w:r>
      <w:r>
        <w:t xml:space="preserve">, </w:t>
      </w:r>
      <w:r>
        <w:rPr>
          <w:rFonts w:ascii="Consolas" w:cs="Consolas" w:eastAsia="Consolas" w:hAnsi="Consolas"/>
          <w:color w:val="C7254E"/>
          <w:sz w:val="20"/>
          <w:szCs w:val="20"/>
        </w:rPr>
        <w:t xml:space="preserve">DIRECTION</w:t>
      </w:r>
      <w:r>
        <w:t xml:space="preserve">.</w:t>
      </w:r>
    </w:p>
    <w:p>
      <w:pPr>
        <w:pStyle w:val="ListParagraph"/>
        <w:numPr>
          <w:ilvl w:val="0"/>
          <w:numId w:val="3"/>
        </w:numPr>
        <w:spacing w:after="80" w:line="300"/>
        <w:jc w:val="both"/>
      </w:pPr>
      <w:r>
        <w:rPr>
          <w:b/>
          <w:bCs/>
        </w:rPr>
        <w:t xml:space="preserve">Source taux de change</w:t>
      </w:r>
      <w:r>
        <w:t xml:space="preserve"> : </w:t>
      </w:r>
      <w:r>
        <w:rPr>
          <w:rFonts w:ascii="Consolas" w:cs="Consolas" w:eastAsia="Consolas" w:hAnsi="Consolas"/>
          <w:color w:val="C7254E"/>
          <w:sz w:val="20"/>
          <w:szCs w:val="20"/>
        </w:rPr>
        <w:t xml:space="preserve">FIXE_DB</w:t>
      </w:r>
      <w:r>
        <w:t xml:space="preserve">, </w:t>
      </w:r>
      <w:r>
        <w:rPr>
          <w:rFonts w:ascii="Consolas" w:cs="Consolas" w:eastAsia="Consolas" w:hAnsi="Consolas"/>
          <w:color w:val="C7254E"/>
          <w:sz w:val="20"/>
          <w:szCs w:val="20"/>
        </w:rPr>
        <w:t xml:space="preserve">API</w:t>
      </w:r>
      <w:r>
        <w:t xml:space="preserve">.</w:t>
      </w:r>
    </w:p>
    <w:p>
      <w:pPr>
        <w:pStyle w:val="ListParagraph"/>
        <w:numPr>
          <w:ilvl w:val="0"/>
          <w:numId w:val="3"/>
        </w:numPr>
        <w:spacing w:after="80" w:line="300"/>
        <w:jc w:val="both"/>
      </w:pPr>
      <w:r>
        <w:rPr>
          <w:b/>
          <w:bCs/>
        </w:rPr>
        <w:t xml:space="preserve">Action de validation</w:t>
      </w:r>
      <w:r>
        <w:t xml:space="preserve"> : </w:t>
      </w:r>
      <w:r>
        <w:rPr>
          <w:rFonts w:ascii="Consolas" w:cs="Consolas" w:eastAsia="Consolas" w:hAnsi="Consolas"/>
          <w:color w:val="C7254E"/>
          <w:sz w:val="20"/>
          <w:szCs w:val="20"/>
        </w:rPr>
        <w:t xml:space="preserve">VALIDE</w:t>
      </w:r>
      <w:r>
        <w:t xml:space="preserve">, </w:t>
      </w:r>
      <w:r>
        <w:rPr>
          <w:rFonts w:ascii="Consolas" w:cs="Consolas" w:eastAsia="Consolas" w:hAnsi="Consolas"/>
          <w:color w:val="C7254E"/>
          <w:sz w:val="20"/>
          <w:szCs w:val="20"/>
        </w:rPr>
        <w:t xml:space="preserve">REFUSE</w:t>
      </w:r>
      <w:r>
        <w:t xml:space="preserve">, </w:t>
      </w:r>
      <w:r>
        <w:rPr>
          <w:rFonts w:ascii="Consolas" w:cs="Consolas" w:eastAsia="Consolas" w:hAnsi="Consolas"/>
          <w:color w:val="C7254E"/>
          <w:sz w:val="20"/>
          <w:szCs w:val="20"/>
        </w:rPr>
        <w:t xml:space="preserve">SIGNE</w:t>
      </w:r>
      <w:r>
        <w:t xml:space="preserve">.</w:t>
      </w:r>
    </w:p>
    <w:p>
      <w:pPr>
        <w:pStyle w:val="ListParagraph"/>
        <w:numPr>
          <w:ilvl w:val="0"/>
          <w:numId w:val="3"/>
        </w:numPr>
        <w:spacing w:after="80" w:line="300"/>
        <w:jc w:val="both"/>
      </w:pPr>
      <w:r>
        <w:rPr>
          <w:b/>
          <w:bCs/>
        </w:rPr>
        <w:t xml:space="preserve">Statut Outbox</w:t>
      </w:r>
      <w:r>
        <w:t xml:space="preserve"> : </w:t>
      </w:r>
      <w:r>
        <w:rPr>
          <w:rFonts w:ascii="Consolas" w:cs="Consolas" w:eastAsia="Consolas" w:hAnsi="Consolas"/>
          <w:color w:val="C7254E"/>
          <w:sz w:val="20"/>
          <w:szCs w:val="20"/>
        </w:rPr>
        <w:t xml:space="preserve">EN_ATTENTE</w:t>
      </w:r>
      <w:r>
        <w:t xml:space="preserve">, </w:t>
      </w:r>
      <w:r>
        <w:rPr>
          <w:rFonts w:ascii="Consolas" w:cs="Consolas" w:eastAsia="Consolas" w:hAnsi="Consolas"/>
          <w:color w:val="C7254E"/>
          <w:sz w:val="20"/>
          <w:szCs w:val="20"/>
        </w:rPr>
        <w:t xml:space="preserve">EN_COURS</w:t>
      </w:r>
      <w:r>
        <w:t xml:space="preserve">, </w:t>
      </w:r>
      <w:r>
        <w:rPr>
          <w:rFonts w:ascii="Consolas" w:cs="Consolas" w:eastAsia="Consolas" w:hAnsi="Consolas"/>
          <w:color w:val="C7254E"/>
          <w:sz w:val="20"/>
          <w:szCs w:val="20"/>
        </w:rPr>
        <w:t xml:space="preserve">ENVOYE</w:t>
      </w:r>
      <w:r>
        <w:t xml:space="preserve">, </w:t>
      </w:r>
      <w:r>
        <w:rPr>
          <w:rFonts w:ascii="Consolas" w:cs="Consolas" w:eastAsia="Consolas" w:hAnsi="Consolas"/>
          <w:color w:val="C7254E"/>
          <w:sz w:val="20"/>
          <w:szCs w:val="20"/>
        </w:rPr>
        <w:t xml:space="preserve">ECHEC</w:t>
      </w:r>
      <w:r>
        <w:t xml:space="preserve">.</w:t>
      </w:r>
    </w:p>
    <w:p>
      <w:pPr>
        <w:pStyle w:val="ListParagraph"/>
        <w:numPr>
          <w:ilvl w:val="0"/>
          <w:numId w:val="3"/>
        </w:numPr>
        <w:spacing w:after="80" w:line="300"/>
        <w:jc w:val="both"/>
      </w:pPr>
      <w:r>
        <w:rPr>
          <w:b/>
          <w:bCs/>
        </w:rPr>
        <w:t xml:space="preserve">Statut transfert (saga)</w:t>
      </w:r>
      <w:r>
        <w:t xml:space="preserve"> : </w:t>
      </w:r>
      <w:r>
        <w:rPr>
          <w:rFonts w:ascii="Consolas" w:cs="Consolas" w:eastAsia="Consolas" w:hAnsi="Consolas"/>
          <w:color w:val="C7254E"/>
          <w:sz w:val="20"/>
          <w:szCs w:val="20"/>
        </w:rPr>
        <w:t xml:space="preserve">INITIE</w:t>
      </w:r>
      <w:r>
        <w:t xml:space="preserve">, </w:t>
      </w:r>
      <w:r>
        <w:rPr>
          <w:rFonts w:ascii="Consolas" w:cs="Consolas" w:eastAsia="Consolas" w:hAnsi="Consolas"/>
          <w:color w:val="C7254E"/>
          <w:sz w:val="20"/>
          <w:szCs w:val="20"/>
        </w:rPr>
        <w:t xml:space="preserve">DEBIT_SOURCE_OK</w:t>
      </w:r>
      <w:r>
        <w:t xml:space="preserve">, </w:t>
      </w:r>
      <w:r>
        <w:rPr>
          <w:rFonts w:ascii="Consolas" w:cs="Consolas" w:eastAsia="Consolas" w:hAnsi="Consolas"/>
          <w:color w:val="C7254E"/>
          <w:sz w:val="20"/>
          <w:szCs w:val="20"/>
        </w:rPr>
        <w:t xml:space="preserve">CREDIT_CIBLE_OK</w:t>
      </w:r>
      <w:r>
        <w:t xml:space="preserve">, </w:t>
      </w:r>
      <w:r>
        <w:rPr>
          <w:rFonts w:ascii="Consolas" w:cs="Consolas" w:eastAsia="Consolas" w:hAnsi="Consolas"/>
          <w:color w:val="C7254E"/>
          <w:sz w:val="20"/>
          <w:szCs w:val="20"/>
        </w:rPr>
        <w:t xml:space="preserve">ECRITURE_CHANGE_OK</w:t>
      </w:r>
      <w:r>
        <w:t xml:space="preserve">, </w:t>
      </w:r>
      <w:r>
        <w:rPr>
          <w:rFonts w:ascii="Consolas" w:cs="Consolas" w:eastAsia="Consolas" w:hAnsi="Consolas"/>
          <w:color w:val="C7254E"/>
          <w:sz w:val="20"/>
          <w:szCs w:val="20"/>
        </w:rPr>
        <w:t xml:space="preserve">TERMINE</w:t>
      </w:r>
      <w:r>
        <w:t xml:space="preserve">, </w:t>
      </w:r>
      <w:r>
        <w:rPr>
          <w:rFonts w:ascii="Consolas" w:cs="Consolas" w:eastAsia="Consolas" w:hAnsi="Consolas"/>
          <w:color w:val="C7254E"/>
          <w:sz w:val="20"/>
          <w:szCs w:val="20"/>
        </w:rPr>
        <w:t xml:space="preserve">COMPENSATION</w:t>
      </w:r>
      <w:r>
        <w:t xml:space="preserve">, </w:t>
      </w:r>
      <w:r>
        <w:rPr>
          <w:rFonts w:ascii="Consolas" w:cs="Consolas" w:eastAsia="Consolas" w:hAnsi="Consolas"/>
          <w:color w:val="C7254E"/>
          <w:sz w:val="20"/>
          <w:szCs w:val="20"/>
        </w:rPr>
        <w:t xml:space="preserve">ANNULE</w:t>
      </w:r>
      <w:r>
        <w:t xml:space="preserve">.</w:t>
      </w:r>
    </w:p>
    <w:p>
      <w:pPr>
        <w:pStyle w:val="Heading2"/>
        <w:spacing w:after="160" w:before="280"/>
      </w:pPr>
      <w:r>
        <w:t xml:space="preserve">8. Index et contraintes critiques à créer</w:t>
      </w:r>
    </w:p>
    <w:p>
      <w:pPr>
        <w:spacing w:after="120" w:line="300"/>
        <w:jc w:val="both"/>
      </w:pPr>
      <w:r>
        <w:t xml:space="preserve">Au-delà des index automatiques sur les clés primaires et étrangères, prévoir les contraintes et index suivants pour la performance et l'intégrité :</w:t>
      </w:r>
    </w:p>
    <w:p>
      <w:pPr>
        <w:pStyle w:val="ListParagraph"/>
        <w:numPr>
          <w:ilvl w:val="0"/>
          <w:numId w:val="3"/>
        </w:numPr>
        <w:spacing w:after="80" w:line="300"/>
        <w:jc w:val="both"/>
      </w:pPr>
      <w:r>
        <w:rPr>
          <w:rFonts w:ascii="Consolas" w:cs="Consolas" w:eastAsia="Consolas" w:hAnsi="Consolas"/>
          <w:color w:val="C7254E"/>
          <w:sz w:val="20"/>
          <w:szCs w:val="20"/>
        </w:rPr>
        <w:t xml:space="preserve">UNIQUE(numero)</w:t>
      </w:r>
      <w:r>
        <w:t xml:space="preserve"> sur </w:t>
      </w:r>
      <w:r>
        <w:rPr>
          <w:rFonts w:ascii="Consolas" w:cs="Consolas" w:eastAsia="Consolas" w:hAnsi="Consolas"/>
          <w:color w:val="C7254E"/>
          <w:sz w:val="20"/>
          <w:szCs w:val="20"/>
        </w:rPr>
        <w:t xml:space="preserve">trx_bon</w:t>
      </w:r>
      <w:r>
        <w:t xml:space="preserve"> : unicité métier du numéro de bon.</w:t>
      </w:r>
    </w:p>
    <w:p>
      <w:pPr>
        <w:pStyle w:val="ListParagraph"/>
        <w:numPr>
          <w:ilvl w:val="0"/>
          <w:numId w:val="3"/>
        </w:numPr>
        <w:spacing w:after="80" w:line="300"/>
        <w:jc w:val="both"/>
      </w:pPr>
      <w:r>
        <w:rPr>
          <w:rFonts w:ascii="Consolas" w:cs="Consolas" w:eastAsia="Consolas" w:hAnsi="Consolas"/>
          <w:color w:val="C7254E"/>
          <w:sz w:val="20"/>
          <w:szCs w:val="20"/>
        </w:rPr>
        <w:t xml:space="preserve">UNIQUE(bon_id, numero_sous_bon)</w:t>
      </w:r>
      <w:r>
        <w:t xml:space="preserve"> sur </w:t>
      </w:r>
      <w:r>
        <w:rPr>
          <w:rFonts w:ascii="Consolas" w:cs="Consolas" w:eastAsia="Consolas" w:hAnsi="Consolas"/>
          <w:color w:val="C7254E"/>
          <w:sz w:val="20"/>
          <w:szCs w:val="20"/>
        </w:rPr>
        <w:t xml:space="preserve">trx_sous_bon</w:t>
      </w:r>
      <w:r>
        <w:t xml:space="preserve"> : pas de doublon dans un bon.</w:t>
      </w:r>
    </w:p>
    <w:p>
      <w:pPr>
        <w:pStyle w:val="ListParagraph"/>
        <w:numPr>
          <w:ilvl w:val="0"/>
          <w:numId w:val="3"/>
        </w:numPr>
        <w:spacing w:after="80" w:line="300"/>
        <w:jc w:val="both"/>
      </w:pPr>
      <w:r>
        <w:rPr>
          <w:rFonts w:ascii="Consolas" w:cs="Consolas" w:eastAsia="Consolas" w:hAnsi="Consolas"/>
          <w:color w:val="C7254E"/>
          <w:sz w:val="20"/>
          <w:szCs w:val="20"/>
        </w:rPr>
        <w:t xml:space="preserve">UNIQUE(cle)</w:t>
      </w:r>
      <w:r>
        <w:t xml:space="preserve"> sur </w:t>
      </w:r>
      <w:r>
        <w:rPr>
          <w:rFonts w:ascii="Consolas" w:cs="Consolas" w:eastAsia="Consolas" w:hAnsi="Consolas"/>
          <w:color w:val="C7254E"/>
          <w:sz w:val="20"/>
          <w:szCs w:val="20"/>
        </w:rPr>
        <w:t xml:space="preserve">aud_idempotency_key</w:t>
      </w:r>
      <w:r>
        <w:t xml:space="preserve"> : anti-rejeu.</w:t>
      </w:r>
    </w:p>
    <w:p>
      <w:pPr>
        <w:pStyle w:val="ListParagraph"/>
        <w:numPr>
          <w:ilvl w:val="0"/>
          <w:numId w:val="3"/>
        </w:numPr>
        <w:spacing w:after="80" w:line="300"/>
        <w:jc w:val="both"/>
      </w:pPr>
      <w:r>
        <w:t xml:space="preserve">Index partiel : </w:t>
      </w:r>
      <w:r>
        <w:rPr>
          <w:rFonts w:ascii="Consolas" w:cs="Consolas" w:eastAsia="Consolas" w:hAnsi="Consolas"/>
          <w:color w:val="C7254E"/>
          <w:sz w:val="20"/>
          <w:szCs w:val="20"/>
        </w:rPr>
        <w:t xml:space="preserve">UNIQUE(caisse_id) WHERE statut='OUVERTE'</w:t>
      </w:r>
      <w:r>
        <w:t xml:space="preserve"> sur </w:t>
      </w:r>
      <w:r>
        <w:rPr>
          <w:rFonts w:ascii="Consolas" w:cs="Consolas" w:eastAsia="Consolas" w:hAnsi="Consolas"/>
          <w:color w:val="C7254E"/>
          <w:sz w:val="20"/>
          <w:szCs w:val="20"/>
        </w:rPr>
        <w:t xml:space="preserve">fin_session_caisse</w:t>
      </w:r>
      <w:r>
        <w:t xml:space="preserve"> : une seule session ouverte par caisse.</w:t>
      </w:r>
    </w:p>
    <w:p>
      <w:pPr>
        <w:pStyle w:val="ListParagraph"/>
        <w:numPr>
          <w:ilvl w:val="0"/>
          <w:numId w:val="3"/>
        </w:numPr>
        <w:spacing w:after="80" w:line="300"/>
        <w:jc w:val="both"/>
      </w:pPr>
      <w:r>
        <w:rPr>
          <w:rFonts w:ascii="Consolas" w:cs="Consolas" w:eastAsia="Consolas" w:hAnsi="Consolas"/>
          <w:color w:val="C7254E"/>
          <w:sz w:val="20"/>
          <w:szCs w:val="20"/>
        </w:rPr>
        <w:t xml:space="preserve">CHECK (montant_total &gt; 0)</w:t>
      </w:r>
      <w:r>
        <w:t xml:space="preserve"> sur </w:t>
      </w:r>
      <w:r>
        <w:rPr>
          <w:rFonts w:ascii="Consolas" w:cs="Consolas" w:eastAsia="Consolas" w:hAnsi="Consolas"/>
          <w:color w:val="C7254E"/>
          <w:sz w:val="20"/>
          <w:szCs w:val="20"/>
        </w:rPr>
        <w:t xml:space="preserve">trx_bon</w:t>
      </w:r>
      <w:r>
        <w:t xml:space="preserve"> et </w:t>
      </w:r>
      <w:r>
        <w:rPr>
          <w:rFonts w:ascii="Consolas" w:cs="Consolas" w:eastAsia="Consolas" w:hAnsi="Consolas"/>
          <w:color w:val="C7254E"/>
          <w:sz w:val="20"/>
          <w:szCs w:val="20"/>
        </w:rPr>
        <w:t xml:space="preserve">trx_sous_bon</w:t>
      </w:r>
      <w:r>
        <w:t xml:space="preserve">.</w:t>
      </w:r>
    </w:p>
    <w:p>
      <w:pPr>
        <w:pStyle w:val="ListParagraph"/>
        <w:numPr>
          <w:ilvl w:val="0"/>
          <w:numId w:val="3"/>
        </w:numPr>
        <w:spacing w:after="80" w:line="300"/>
        <w:jc w:val="both"/>
      </w:pPr>
      <w:r>
        <w:rPr>
          <w:rFonts w:ascii="Consolas" w:cs="Consolas" w:eastAsia="Consolas" w:hAnsi="Consolas"/>
          <w:color w:val="C7254E"/>
          <w:sz w:val="20"/>
          <w:szCs w:val="20"/>
        </w:rPr>
        <w:t xml:space="preserve">CHECK ((debit IS NOT NULL AND credit IS NULL) OR (debit IS NULL AND credit IS NOT NULL))</w:t>
      </w:r>
      <w:r>
        <w:t xml:space="preserve"> sur </w:t>
      </w:r>
      <w:r>
        <w:rPr>
          <w:rFonts w:ascii="Consolas" w:cs="Consolas" w:eastAsia="Consolas" w:hAnsi="Consolas"/>
          <w:color w:val="C7254E"/>
          <w:sz w:val="20"/>
          <w:szCs w:val="20"/>
        </w:rPr>
        <w:t xml:space="preserve">trx_ecriture_comptable</w:t>
      </w:r>
      <w:r>
        <w:t xml:space="preserve">.</w:t>
      </w:r>
    </w:p>
    <w:p>
      <w:pPr>
        <w:pStyle w:val="ListParagraph"/>
        <w:numPr>
          <w:ilvl w:val="0"/>
          <w:numId w:val="3"/>
        </w:numPr>
        <w:spacing w:after="80" w:line="300"/>
        <w:jc w:val="both"/>
      </w:pPr>
      <w:r>
        <w:t xml:space="preserve">Index sur </w:t>
      </w:r>
      <w:r>
        <w:rPr>
          <w:rFonts w:ascii="Consolas" w:cs="Consolas" w:eastAsia="Consolas" w:hAnsi="Consolas"/>
          <w:color w:val="C7254E"/>
          <w:sz w:val="20"/>
          <w:szCs w:val="20"/>
        </w:rPr>
        <w:t xml:space="preserve">trx_bon(statut, date_creation)</w:t>
      </w:r>
      <w:r>
        <w:t xml:space="preserve"> pour les listes filtrées.</w:t>
      </w:r>
    </w:p>
    <w:p>
      <w:pPr>
        <w:pStyle w:val="ListParagraph"/>
        <w:numPr>
          <w:ilvl w:val="0"/>
          <w:numId w:val="3"/>
        </w:numPr>
        <w:spacing w:after="80" w:line="300"/>
        <w:jc w:val="both"/>
      </w:pPr>
      <w:r>
        <w:t xml:space="preserve">Index sur </w:t>
      </w:r>
      <w:r>
        <w:rPr>
          <w:rFonts w:ascii="Consolas" w:cs="Consolas" w:eastAsia="Consolas" w:hAnsi="Consolas"/>
          <w:color w:val="C7254E"/>
          <w:sz w:val="20"/>
          <w:szCs w:val="20"/>
        </w:rPr>
        <w:t xml:space="preserve">aud_outbox(statut, prochaine_tentative)</w:t>
      </w:r>
      <w:r>
        <w:t xml:space="preserve"> pour les workers.</w:t>
      </w:r>
    </w:p>
    <w:p>
      <w:pPr>
        <w:pStyle w:val="ListParagraph"/>
        <w:numPr>
          <w:ilvl w:val="0"/>
          <w:numId w:val="3"/>
        </w:numPr>
        <w:spacing w:after="80" w:line="300"/>
        <w:jc w:val="both"/>
      </w:pPr>
      <w:r>
        <w:t xml:space="preserve">Index GIN sur les colonnes JSONB (</w:t>
      </w:r>
      <w:r>
        <w:rPr>
          <w:rFonts w:ascii="Consolas" w:cs="Consolas" w:eastAsia="Consolas" w:hAnsi="Consolas"/>
          <w:color w:val="C7254E"/>
          <w:sz w:val="20"/>
          <w:szCs w:val="20"/>
        </w:rPr>
        <w:t xml:space="preserve">payload</w:t>
      </w:r>
      <w:r>
        <w:t xml:space="preserve">, </w:t>
      </w:r>
      <w:r>
        <w:rPr>
          <w:rFonts w:ascii="Consolas" w:cs="Consolas" w:eastAsia="Consolas" w:hAnsi="Consolas"/>
          <w:color w:val="C7254E"/>
          <w:sz w:val="20"/>
          <w:szCs w:val="20"/>
        </w:rPr>
        <w:t xml:space="preserve">contenu_modifie</w:t>
      </w:r>
      <w:r>
        <w:t xml:space="preserve">) si recherche fréquente sur leur contenu.</w:t>
      </w:r>
    </w:p>
    <w:p>
      <w:pPr>
        <w:pStyle w:val="Heading2"/>
        <w:spacing w:after="160" w:before="280"/>
      </w:pPr>
      <w:r>
        <w:t xml:space="preserve">9. Recommandations d'implémentation</w:t>
      </w:r>
    </w:p>
    <w:p>
      <w:pPr>
        <w:pStyle w:val="ListParagraph"/>
        <w:numPr>
          <w:ilvl w:val="0"/>
          <w:numId w:val="3"/>
        </w:numPr>
        <w:spacing w:after="80" w:line="300"/>
        <w:jc w:val="both"/>
      </w:pPr>
      <w:r>
        <w:rPr>
          <w:b/>
          <w:bCs/>
        </w:rPr>
        <w:t xml:space="preserve">Schémas PostgreSQL</w:t>
      </w:r>
      <w:r>
        <w:t xml:space="preserve"> : un schéma par domaine (sec, ref, fin, trx, aud) est une alternative aux préfixes. Recommandation : conserver les préfixes pour la simplicité (ORM, requêtes ad-hoc, exports), réserver les schémas à des séparations plus fortes (ex. schéma </w:t>
      </w:r>
      <w:r>
        <w:rPr>
          <w:rFonts w:ascii="Consolas" w:cs="Consolas" w:eastAsia="Consolas" w:hAnsi="Consolas"/>
          <w:color w:val="C7254E"/>
          <w:sz w:val="20"/>
          <w:szCs w:val="20"/>
        </w:rPr>
        <w:t xml:space="preserve">archive</w:t>
      </w:r>
      <w:r>
        <w:t xml:space="preserve"> pour les données froides).</w:t>
      </w:r>
    </w:p>
    <w:p>
      <w:pPr>
        <w:pStyle w:val="ListParagraph"/>
        <w:numPr>
          <w:ilvl w:val="0"/>
          <w:numId w:val="3"/>
        </w:numPr>
        <w:spacing w:after="80" w:line="300"/>
        <w:jc w:val="both"/>
      </w:pPr>
      <w:r>
        <w:rPr>
          <w:b/>
          <w:bCs/>
        </w:rPr>
        <w:t xml:space="preserve">Migrations</w:t>
      </w:r>
      <w:r>
        <w:t xml:space="preserve"> : utiliser Prisma Migrate ou TypeORM migrations. Une migration par évolution, jamais de modification directe en production.</w:t>
      </w:r>
    </w:p>
    <w:p>
      <w:pPr>
        <w:pStyle w:val="ListParagraph"/>
        <w:numPr>
          <w:ilvl w:val="0"/>
          <w:numId w:val="3"/>
        </w:numPr>
        <w:spacing w:after="80" w:line="300"/>
        <w:jc w:val="both"/>
      </w:pPr>
      <w:r>
        <w:rPr>
          <w:b/>
          <w:bCs/>
        </w:rPr>
        <w:t xml:space="preserve">Seeds</w:t>
      </w:r>
      <w:r>
        <w:t xml:space="preserve"> : prévoir un script de seeds pour les données de référence (rôles, permissions, devises, plan comptable de base).</w:t>
      </w:r>
    </w:p>
    <w:p>
      <w:pPr>
        <w:pStyle w:val="ListParagraph"/>
        <w:numPr>
          <w:ilvl w:val="0"/>
          <w:numId w:val="3"/>
        </w:numPr>
        <w:spacing w:after="80" w:line="300"/>
        <w:jc w:val="both"/>
      </w:pPr>
      <w:r>
        <w:rPr>
          <w:b/>
          <w:bCs/>
        </w:rPr>
        <w:t xml:space="preserve">Convention pour les tables temporelles</w:t>
      </w:r>
      <w:r>
        <w:t xml:space="preserve"> : </w:t>
      </w:r>
      <w:r>
        <w:rPr>
          <w:rFonts w:ascii="Consolas" w:cs="Consolas" w:eastAsia="Consolas" w:hAnsi="Consolas"/>
          <w:color w:val="C7254E"/>
          <w:sz w:val="20"/>
          <w:szCs w:val="20"/>
        </w:rPr>
        <w:t xml:space="preserve">&lt;table&gt;_history</w:t>
      </w:r>
      <w:r>
        <w:t xml:space="preserve"> (exemple : </w:t>
      </w:r>
      <w:r>
        <w:rPr>
          <w:rFonts w:ascii="Consolas" w:cs="Consolas" w:eastAsia="Consolas" w:hAnsi="Consolas"/>
          <w:color w:val="C7254E"/>
          <w:sz w:val="20"/>
          <w:szCs w:val="20"/>
        </w:rPr>
        <w:t xml:space="preserve">ref_client_history</w:t>
      </w:r>
      <w:r>
        <w:t xml:space="preserve">).</w:t>
      </w:r>
    </w:p>
    <w:p>
      <w:pPr>
        <w:pStyle w:val="ListParagraph"/>
        <w:numPr>
          <w:ilvl w:val="0"/>
          <w:numId w:val="3"/>
        </w:numPr>
        <w:spacing w:after="80" w:line="300"/>
        <w:jc w:val="both"/>
      </w:pPr>
      <w:r>
        <w:rPr>
          <w:b/>
          <w:bCs/>
        </w:rPr>
        <w:t xml:space="preserve">Vues</w:t>
      </w:r>
      <w:r>
        <w:t xml:space="preserve"> : préfixées par </w:t>
      </w:r>
      <w:r>
        <w:rPr>
          <w:rFonts w:ascii="Consolas" w:cs="Consolas" w:eastAsia="Consolas" w:hAnsi="Consolas"/>
          <w:color w:val="C7254E"/>
          <w:sz w:val="20"/>
          <w:szCs w:val="20"/>
        </w:rPr>
        <w:t xml:space="preserve">v_</w:t>
      </w:r>
      <w:r>
        <w:t xml:space="preserve"> (exemple : </w:t>
      </w:r>
      <w:r>
        <w:rPr>
          <w:rFonts w:ascii="Consolas" w:cs="Consolas" w:eastAsia="Consolas" w:hAnsi="Consolas"/>
          <w:color w:val="C7254E"/>
          <w:sz w:val="20"/>
          <w:szCs w:val="20"/>
        </w:rPr>
        <w:t xml:space="preserve">v_solde_caisse</w:t>
      </w:r>
      <w:r>
        <w:t xml:space="preserve"> calcule le solde depuis </w:t>
      </w:r>
      <w:r>
        <w:rPr>
          <w:rFonts w:ascii="Consolas" w:cs="Consolas" w:eastAsia="Consolas" w:hAnsi="Consolas"/>
          <w:color w:val="C7254E"/>
          <w:sz w:val="20"/>
          <w:szCs w:val="20"/>
        </w:rPr>
        <w:t xml:space="preserve">trx_ecriture_comptable</w:t>
      </w:r>
      <w:r>
        <w:t xml:space="preserve">).</w:t>
      </w:r>
    </w:p>
    <w:p>
      <w:pPr>
        <w:pStyle w:val="ListParagraph"/>
        <w:numPr>
          <w:ilvl w:val="0"/>
          <w:numId w:val="3"/>
        </w:numPr>
        <w:spacing w:after="80" w:line="300"/>
        <w:jc w:val="both"/>
      </w:pPr>
      <w:r>
        <w:rPr>
          <w:b/>
          <w:bCs/>
        </w:rPr>
        <w:t xml:space="preserve">Procédures et fonctions</w:t>
      </w:r>
      <w:r>
        <w:t xml:space="preserve"> : préfixées par </w:t>
      </w:r>
      <w:r>
        <w:rPr>
          <w:rFonts w:ascii="Consolas" w:cs="Consolas" w:eastAsia="Consolas" w:hAnsi="Consolas"/>
          <w:color w:val="C7254E"/>
          <w:sz w:val="20"/>
          <w:szCs w:val="20"/>
        </w:rPr>
        <w:t xml:space="preserve">fn_</w:t>
      </w:r>
      <w:r>
        <w:t xml:space="preserve"> (exemple : </w:t>
      </w:r>
      <w:r>
        <w:rPr>
          <w:rFonts w:ascii="Consolas" w:cs="Consolas" w:eastAsia="Consolas" w:hAnsi="Consolas"/>
          <w:color w:val="C7254E"/>
          <w:sz w:val="20"/>
          <w:szCs w:val="20"/>
        </w:rPr>
        <w:t xml:space="preserve">fn_calculer_solde_caisse(caisse_id)</w:t>
      </w:r>
      <w: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sur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i/>
        <w:iCs/>
        <w:color w:val="595959"/>
        <w:sz w:val="18"/>
        <w:szCs w:val="18"/>
      </w:rPr>
      <w:t xml:space="preserve">Application Fond de Caisse — Dossier de conception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80" w:before="32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40" w:before="2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conception — Application Fond de Caisse</dc:title>
  <dc:creator>Équipe projet Fond de Caisse</dc:creator>
  <dc:description>Cahier des charges, MCD et recommandations techniques</dc:description>
  <cp:lastModifiedBy>Un-named</cp:lastModifiedBy>
  <cp:revision>1</cp:revision>
  <dcterms:created xsi:type="dcterms:W3CDTF">2026-05-21T12:03:53.505Z</dcterms:created>
  <dcterms:modified xsi:type="dcterms:W3CDTF">2026-05-21T12:03:53.505Z</dcterms:modified>
</cp:coreProperties>
</file>

<file path=docProps/custom.xml><?xml version="1.0" encoding="utf-8"?>
<Properties xmlns="http://schemas.openxmlformats.org/officeDocument/2006/custom-properties" xmlns:vt="http://schemas.openxmlformats.org/officeDocument/2006/docPropsVTypes"/>
</file>