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Point d'avancement des applications</w:t>
      </w:r>
    </w:p>
    <w:p>
      <w:r>
        <w:rPr>
          <w:b w:val="0"/>
          <w:i/>
          <w:color w:val="595959"/>
        </w:rPr>
        <w:t>Yannick Atse — NPG Gandour</w:t>
      </w:r>
    </w:p>
    <w:p>
      <w:r>
        <w:rPr>
          <w:b w:val="0"/>
          <w:i w:val="0"/>
          <w:color w:val="595959"/>
        </w:rPr>
        <w:t>Date : 13 juillet 2026</w:t>
      </w:r>
    </w:p>
    <w:p/>
    <w:p>
      <w:pPr>
        <w:pStyle w:val="Heading1"/>
      </w:pPr>
      <w:r>
        <w:rPr>
          <w:color w:val="1F4E79"/>
        </w:rPr>
        <w:t>Vue d'ensemble</w:t>
      </w:r>
    </w:p>
    <w:p>
      <w:r>
        <w:rPr>
          <w:b w:val="0"/>
          <w:i w:val="0"/>
        </w:rPr>
        <w:t>Quatre chantiers en cours ; la priorité actuelle est l'application Gestion de Caisse (développement et intégration SAP).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Application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Objet du travail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Statut</w:t>
            </w:r>
          </w:p>
        </w:tc>
      </w:tr>
      <w:tr>
        <w:tc>
          <w:tcPr>
            <w:tcW w:type="dxa" w:w="2880"/>
          </w:tcPr>
          <w:p>
            <w:r>
              <w:t>Gestion de Caisse (Fond de Caisse)</w:t>
            </w:r>
          </w:p>
        </w:tc>
        <w:tc>
          <w:tcPr>
            <w:tcW w:type="dxa" w:w="2880"/>
          </w:tcPr>
          <w:p>
            <w:r>
              <w:t>Développement, corrections de tests, intégration SAP</w:t>
            </w:r>
          </w:p>
        </w:tc>
        <w:tc>
          <w:tcPr>
            <w:tcW w:type="dxa" w:w="2880"/>
          </w:tcPr>
          <w:p>
            <w:r>
              <w:t>En cours — focus actuel</w:t>
            </w:r>
          </w:p>
        </w:tc>
      </w:tr>
      <w:tr>
        <w:tc>
          <w:tcPr>
            <w:tcW w:type="dxa" w:w="2880"/>
          </w:tcPr>
          <w:p>
            <w:r>
              <w:t>Station</w:t>
            </w:r>
          </w:p>
        </w:tc>
        <w:tc>
          <w:tcPr>
            <w:tcW w:type="dxa" w:w="2880"/>
          </w:tcPr>
          <w:p>
            <w:r>
              <w:t>Mise à jour : amélioration de l'interface</w:t>
            </w:r>
          </w:p>
        </w:tc>
        <w:tc>
          <w:tcPr>
            <w:tcW w:type="dxa" w:w="2880"/>
          </w:tcPr>
          <w:p>
            <w:r>
              <w:t>À faire / planifié</w:t>
            </w:r>
          </w:p>
        </w:tc>
      </w:tr>
      <w:tr>
        <w:tc>
          <w:tcPr>
            <w:tcW w:type="dxa" w:w="2880"/>
          </w:tcPr>
          <w:p>
            <w:r>
              <w:t>Écrans de Section</w:t>
            </w:r>
          </w:p>
        </w:tc>
        <w:tc>
          <w:tcPr>
            <w:tcW w:type="dxa" w:w="2880"/>
          </w:tcPr>
          <w:p>
            <w:r>
              <w:t>Peaufinage de l'interface (amélioration)</w:t>
            </w:r>
          </w:p>
        </w:tc>
        <w:tc>
          <w:tcPr>
            <w:tcW w:type="dxa" w:w="2880"/>
          </w:tcPr>
          <w:p>
            <w:r>
              <w:t>À faire / planifié</w:t>
            </w:r>
          </w:p>
        </w:tc>
      </w:tr>
      <w:tr>
        <w:tc>
          <w:tcPr>
            <w:tcW w:type="dxa" w:w="2880"/>
          </w:tcPr>
          <w:p>
            <w:r>
              <w:t>NpgRéclamation</w:t>
            </w:r>
          </w:p>
        </w:tc>
        <w:tc>
          <w:tcPr>
            <w:tcW w:type="dxa" w:w="2880"/>
          </w:tcPr>
          <w:p>
            <w:r>
              <w:t>Mise à jour : autocomplétion des articles</w:t>
            </w:r>
          </w:p>
        </w:tc>
        <w:tc>
          <w:tcPr>
            <w:tcW w:type="dxa" w:w="2880"/>
          </w:tcPr>
          <w:p>
            <w:r>
              <w:t>À faire / planifié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Finalisation du script des Tags et de leur interface</w:t>
            </w:r>
          </w:p>
        </w:tc>
        <w:tc>
          <w:tcPr>
            <w:tcW w:type="dxa" w:w="2880"/>
          </w:tcPr>
          <w:p>
            <w:r>
              <w:t>En cours — à terminer</w:t>
            </w:r>
          </w:p>
        </w:tc>
      </w:tr>
      <w:tr>
        <w:tc>
          <w:tcPr>
            <w:tcW w:type="dxa" w:w="2880"/>
          </w:tcPr>
          <w:p>
            <w:r>
              <w:t>Situation Dossier (application)</w:t>
            </w:r>
          </w:p>
        </w:tc>
        <w:tc>
          <w:tcPr>
            <w:tcW w:type="dxa" w:w="2880"/>
          </w:tcPr>
          <w:p>
            <w:r>
              <w:t>Suivi de la situation des dossiers</w:t>
            </w:r>
          </w:p>
        </w:tc>
        <w:tc>
          <w:tcPr>
            <w:tcW w:type="dxa" w:w="2880"/>
          </w:tcPr>
          <w:p>
            <w:r>
              <w:t>En cours</w:t>
            </w:r>
          </w:p>
        </w:tc>
      </w:tr>
      <w:tr>
        <w:tc>
          <w:tcPr>
            <w:tcW w:type="dxa" w:w="2880"/>
          </w:tcPr>
          <w:p>
            <w:r>
              <w:t>Scripts de notification &amp; suivi</w:t>
            </w:r>
          </w:p>
        </w:tc>
        <w:tc>
          <w:tcPr>
            <w:tcW w:type="dxa" w:w="2880"/>
          </w:tcPr>
          <w:p>
            <w:r>
              <w:t>Alertes conteneurs, OF interrompus, palettes en retard</w:t>
            </w:r>
          </w:p>
        </w:tc>
        <w:tc>
          <w:tcPr>
            <w:tcW w:type="dxa" w:w="2880"/>
          </w:tcPr>
          <w:p>
            <w:r>
              <w:t>En service</w:t>
            </w:r>
          </w:p>
        </w:tc>
      </w:tr>
      <w:tr>
        <w:tc>
          <w:tcPr>
            <w:tcW w:type="dxa" w:w="2880"/>
          </w:tcPr>
          <w:p>
            <w:r>
              <w:t>Traitement des données de l'énergie</w:t>
            </w:r>
          </w:p>
        </w:tc>
        <w:tc>
          <w:tcPr>
            <w:tcW w:type="dxa" w:w="2880"/>
          </w:tcPr>
          <w:p>
            <w:r>
              <w:t>Collecte des données de consommation et rapports de suivi</w:t>
            </w:r>
          </w:p>
        </w:tc>
        <w:tc>
          <w:tcPr>
            <w:tcW w:type="dxa" w:w="2880"/>
          </w:tcPr>
          <w:p>
            <w:r>
              <w:t>En cours</w:t>
            </w:r>
          </w:p>
        </w:tc>
      </w:tr>
    </w:tbl>
    <w:p/>
    <w:p>
      <w:pPr>
        <w:pStyle w:val="Heading1"/>
      </w:pPr>
      <w:r>
        <w:rPr>
          <w:color w:val="1F4E79"/>
        </w:rPr>
        <w:t>1. Gestion de Caisse (Fond de Caisse)</w:t>
      </w:r>
    </w:p>
    <w:p>
      <w:r>
        <w:rPr>
          <w:b/>
        </w:rPr>
        <w:t xml:space="preserve">Description : </w:t>
      </w:r>
      <w:r>
        <w:t>Application full-stack (backend NestJS, frontend React, mobile Expo) de gestion du fond de caisse : bons de décaissement, caisses, portefeuilles, recharges, transferts et comptabilité en partie double.</w:t>
      </w:r>
    </w:p>
    <w:p>
      <w:r>
        <w:rPr>
          <w:b/>
        </w:rPr>
        <w:t xml:space="preserve">Statut : </w:t>
      </w:r>
      <w:r>
        <w:rPr>
          <w:color w:val="1E7E34"/>
        </w:rPr>
        <w:t>En cours — priorité actuelle</w:t>
      </w:r>
    </w:p>
    <w:p>
      <w:pPr>
        <w:pStyle w:val="Heading2"/>
      </w:pPr>
      <w:r>
        <w:rPr>
          <w:color w:val="1F4E79"/>
        </w:rPr>
        <w:t>Ce qui est fait</w:t>
      </w:r>
    </w:p>
    <w:p>
      <w:pPr>
        <w:pStyle w:val="ListBullet"/>
      </w:pPr>
      <w:r>
        <w:t>Périmètre fonctionnel principal livré : création / validation / décaissement des bons, bons manuels, caisses &amp; portefeuilles, recharges, transferts, journal des opérations, notifications, application mobile.</w:t>
      </w:r>
    </w:p>
    <w:p>
      <w:pPr>
        <w:pStyle w:val="ListBullet"/>
      </w:pPr>
      <w:r>
        <w:t>Corrections issues des tests intégrées : n° de compte numérique, double icône du login, annulation de bon en cascade, jauges et compteurs des tableaux de bord, session (déconnexion à la fermeture + inactivité), simulation du solde par portefeuille.</w:t>
      </w:r>
    </w:p>
    <w:p>
      <w:pPr>
        <w:pStyle w:val="ListBullet"/>
      </w:pPr>
      <w:r>
        <w:t>Règles métier renforcées : budget mensuel par centre de coût (avec plafond de décaissement), budget hérité par les portefeuilles de direction, permission dédiée d'annulation d'un bon validé, nature d'opération obligatoire à la création.</w:t>
      </w:r>
    </w:p>
    <w:p>
      <w:pPr>
        <w:pStyle w:val="ListBullet"/>
      </w:pPr>
      <w:r>
        <w:t>Journal des opérations sécurisé (périmètre par rôle appliqué côté serveur) + recherche avancée (portefeuille, centre de coût, agent).</w:t>
      </w:r>
    </w:p>
    <w:p>
      <w:pPr>
        <w:pStyle w:val="ListBullet"/>
      </w:pPr>
      <w:r>
        <w:t>Référentiel Pays chargé (245 pays) ; pagination ajoutée.</w:t>
      </w:r>
    </w:p>
    <w:p>
      <w:pPr>
        <w:pStyle w:val="Heading2"/>
      </w:pPr>
      <w:r>
        <w:rPr>
          <w:color w:val="1F4E79"/>
        </w:rPr>
        <w:t>Intégration SAP (en cours)</w:t>
      </w:r>
    </w:p>
    <w:p>
      <w:pPr>
        <w:pStyle w:val="ListBullet"/>
      </w:pPr>
      <w:r>
        <w:rPr>
          <w:b/>
        </w:rPr>
        <w:t xml:space="preserve">Fait : </w:t>
      </w:r>
      <w:r>
        <w:t>Connectivité RFC vers SAP VALIDÉE via le SAP .NET Connector (NCo) sur 3 systèmes : PN0, DS4, DN0. Appel de BAPI de test réussi (données réelles remontées).</w:t>
      </w:r>
    </w:p>
    <w:p>
      <w:pPr>
        <w:pStyle w:val="ListBullet"/>
      </w:pPr>
      <w:r>
        <w:rPr>
          <w:b/>
        </w:rPr>
        <w:t xml:space="preserve">Fait : </w:t>
      </w:r>
      <w:r>
        <w:t>Deux documents produits : « Besoins d'intégration SAP » (pour l'équipe SAP) et un « Guide de connexion SAP / NCo » (procédure technique).</w:t>
      </w:r>
    </w:p>
    <w:p>
      <w:pPr>
        <w:pStyle w:val="ListBullet"/>
      </w:pPr>
      <w:r>
        <w:rPr>
          <w:b/>
        </w:rPr>
        <w:t xml:space="preserve">À faire : </w:t>
      </w:r>
      <w:r>
        <w:t>Obtenir de l'équipe SAP les référentiels (comptes / natures comptables, centres de coût) et la spécification du format des écritures, puis brancher le connecteur.</w:t>
      </w:r>
    </w:p>
    <w:p>
      <w:pPr>
        <w:pStyle w:val="Heading2"/>
      </w:pPr>
      <w:r>
        <w:rPr>
          <w:color w:val="1F4E79"/>
        </w:rPr>
        <w:t>Prochaines étapes</w:t>
      </w:r>
    </w:p>
    <w:p>
      <w:pPr>
        <w:pStyle w:val="ListBullet"/>
      </w:pPr>
      <w:r>
        <w:t>Déploiement de la dernière version (frontend + backend) et exécution des migrations base de données.</w:t>
      </w:r>
    </w:p>
    <w:p>
      <w:pPr>
        <w:pStyle w:val="ListBullet"/>
      </w:pPr>
      <w:r>
        <w:t>Poursuite de l'intégration SAP (référentiels puis envoi des écritures de clôture).</w:t>
      </w:r>
    </w:p>
    <w:p>
      <w:pPr>
        <w:pStyle w:val="ListBullet"/>
      </w:pPr>
      <w:r>
        <w:t>Renforcement « Partie IV » : clôture automatique 20h, file d'envoi (Outbox), réconciliation.</w:t>
      </w:r>
    </w:p>
    <w:p>
      <w:pPr>
        <w:pStyle w:val="Heading1"/>
      </w:pPr>
      <w:r>
        <w:rPr>
          <w:color w:val="1F4E79"/>
        </w:rPr>
        <w:t>2. Application Station</w:t>
      </w:r>
    </w:p>
    <w:p>
      <w:r>
        <w:rPr>
          <w:b/>
        </w:rPr>
        <w:t xml:space="preserve">Objet : </w:t>
      </w:r>
      <w:r>
        <w:t>Mise à jour visant à améliorer l'interface utilisateur.</w:t>
      </w:r>
    </w:p>
    <w:p>
      <w:r>
        <w:rPr>
          <w:b/>
        </w:rPr>
        <w:t xml:space="preserve">Statut : </w:t>
      </w:r>
      <w:r>
        <w:rPr>
          <w:color w:val="B06A00"/>
        </w:rPr>
        <w:t>À faire / planifié</w:t>
      </w:r>
    </w:p>
    <w:p>
      <w:pPr>
        <w:pStyle w:val="Heading2"/>
      </w:pPr>
      <w:r>
        <w:rPr>
          <w:color w:val="1F4E79"/>
        </w:rPr>
        <w:t>Objectif</w:t>
      </w:r>
    </w:p>
    <w:p>
      <w:pPr>
        <w:pStyle w:val="ListBullet"/>
      </w:pPr>
      <w:r>
        <w:t>Améliorer l'ergonomie et la présentation de l'interface (à préciser selon les retours).</w:t>
      </w:r>
    </w:p>
    <w:p>
      <w:pPr>
        <w:pStyle w:val="Heading2"/>
      </w:pPr>
      <w:r>
        <w:rPr>
          <w:color w:val="1F4E79"/>
        </w:rPr>
        <w:t>Prochaines étapes</w:t>
      </w:r>
    </w:p>
    <w:p>
      <w:pPr>
        <w:pStyle w:val="ListBullet"/>
      </w:pPr>
      <w:r>
        <w:t>Cadrer les écrans / points d'interface à revoir.</w:t>
      </w:r>
    </w:p>
    <w:p>
      <w:pPr>
        <w:pStyle w:val="ListBullet"/>
      </w:pPr>
      <w:r>
        <w:t>Réaliser la mise à jour et la faire valider.</w:t>
      </w:r>
    </w:p>
    <w:p>
      <w:pPr>
        <w:pStyle w:val="Heading1"/>
      </w:pPr>
      <w:r>
        <w:rPr>
          <w:color w:val="1F4E79"/>
        </w:rPr>
        <w:t>3. Application NpgRéclamation</w:t>
      </w:r>
    </w:p>
    <w:p>
      <w:r>
        <w:rPr>
          <w:b/>
        </w:rPr>
        <w:t xml:space="preserve">Objet : </w:t>
      </w:r>
      <w:r>
        <w:t>Mise à jour : ajout de l'autocomplétion des articles.</w:t>
      </w:r>
    </w:p>
    <w:p>
      <w:r>
        <w:rPr>
          <w:b/>
        </w:rPr>
        <w:t xml:space="preserve">Statut : </w:t>
      </w:r>
      <w:r>
        <w:rPr>
          <w:color w:val="B06A00"/>
        </w:rPr>
        <w:t>À faire / planifié</w:t>
      </w:r>
    </w:p>
    <w:p>
      <w:pPr>
        <w:pStyle w:val="Heading2"/>
      </w:pPr>
      <w:r>
        <w:rPr>
          <w:color w:val="1F4E79"/>
        </w:rPr>
        <w:t>Objectif</w:t>
      </w:r>
    </w:p>
    <w:p>
      <w:pPr>
        <w:pStyle w:val="ListBullet"/>
      </w:pPr>
      <w:r>
        <w:t>Ajouter l'autocomplétion (recherche assistée) des articles dans la saisie, pour accélérer et fiabiliser le choix des articles.</w:t>
      </w:r>
    </w:p>
    <w:p>
      <w:pPr>
        <w:pStyle w:val="Heading2"/>
      </w:pPr>
      <w:r>
        <w:rPr>
          <w:color w:val="1F4E79"/>
        </w:rPr>
        <w:t>Prochaines étapes</w:t>
      </w:r>
    </w:p>
    <w:p>
      <w:pPr>
        <w:pStyle w:val="ListBullet"/>
      </w:pPr>
      <w:r>
        <w:t>Implémenter le champ d'autocomplétion (recherche + sélection) sur les articles.</w:t>
      </w:r>
    </w:p>
    <w:p>
      <w:pPr>
        <w:pStyle w:val="ListBullet"/>
      </w:pPr>
      <w:r>
        <w:t>Tester avec le référentiel articles et valider.</w:t>
      </w:r>
    </w:p>
    <w:p>
      <w:pPr>
        <w:pStyle w:val="Heading1"/>
      </w:pPr>
      <w:r>
        <w:rPr>
          <w:color w:val="1F4E79"/>
        </w:rPr>
        <w:t>4. Tags (script + interface)</w:t>
      </w:r>
    </w:p>
    <w:p>
      <w:r>
        <w:rPr>
          <w:b/>
        </w:rPr>
        <w:t xml:space="preserve">Objet : </w:t>
      </w:r>
      <w:r>
        <w:t>Finalisation du script des Tags et de leur interface.</w:t>
      </w:r>
    </w:p>
    <w:p>
      <w:r>
        <w:rPr>
          <w:b/>
        </w:rPr>
        <w:t xml:space="preserve">Statut : </w:t>
      </w:r>
      <w:r>
        <w:rPr>
          <w:color w:val="B06A00"/>
        </w:rPr>
        <w:t>En cours — à terminer</w:t>
      </w:r>
    </w:p>
    <w:p>
      <w:pPr>
        <w:pStyle w:val="Heading2"/>
      </w:pPr>
      <w:r>
        <w:rPr>
          <w:color w:val="1F4E79"/>
        </w:rPr>
        <w:t>Objectif</w:t>
      </w:r>
    </w:p>
    <w:p>
      <w:pPr>
        <w:pStyle w:val="ListBullet"/>
      </w:pPr>
      <w:r>
        <w:t>Terminer le script de gestion des Tags et l'interface associée.</w:t>
      </w:r>
    </w:p>
    <w:p>
      <w:pPr>
        <w:pStyle w:val="Heading2"/>
      </w:pPr>
      <w:r>
        <w:rPr>
          <w:color w:val="1F4E79"/>
        </w:rPr>
        <w:t>Prochaines étapes</w:t>
      </w:r>
    </w:p>
    <w:p>
      <w:pPr>
        <w:pStyle w:val="ListBullet"/>
      </w:pPr>
      <w:r>
        <w:t>Finaliser le script.</w:t>
      </w:r>
    </w:p>
    <w:p>
      <w:pPr>
        <w:pStyle w:val="ListBullet"/>
      </w:pPr>
      <w:r>
        <w:t>Compléter / relier l'interface et valider le rendu.</w:t>
      </w:r>
    </w:p>
    <w:p>
      <w:pPr>
        <w:pStyle w:val="Heading1"/>
      </w:pPr>
      <w:r>
        <w:rPr>
          <w:color w:val="1F4E79"/>
        </w:rPr>
        <w:t>5. Écrans de Section</w:t>
      </w:r>
    </w:p>
    <w:p>
      <w:r>
        <w:rPr>
          <w:b/>
        </w:rPr>
        <w:t xml:space="preserve">Objet : </w:t>
      </w:r>
      <w:r>
        <w:t>Peaufinage de l'interface des écrans de Section, en vue de l'améliorer.</w:t>
      </w:r>
    </w:p>
    <w:p>
      <w:r>
        <w:rPr>
          <w:b/>
        </w:rPr>
        <w:t xml:space="preserve">Statut : </w:t>
      </w:r>
      <w:r>
        <w:rPr>
          <w:color w:val="B06A00"/>
        </w:rPr>
        <w:t>À faire / planifié</w:t>
      </w:r>
    </w:p>
    <w:p>
      <w:pPr>
        <w:pStyle w:val="Heading2"/>
      </w:pPr>
      <w:r>
        <w:rPr>
          <w:color w:val="1F4E79"/>
        </w:rPr>
        <w:t>Objectif</w:t>
      </w:r>
    </w:p>
    <w:p>
      <w:pPr>
        <w:pStyle w:val="ListBullet"/>
      </w:pPr>
      <w:r>
        <w:t>Revoir et affiner l'interface des écrans de Section (présentation, ergonomie, cohérence) pour améliorer l'expérience utilisateur.</w:t>
      </w:r>
    </w:p>
    <w:p>
      <w:pPr>
        <w:pStyle w:val="Heading2"/>
      </w:pPr>
      <w:r>
        <w:rPr>
          <w:color w:val="1F4E79"/>
        </w:rPr>
        <w:t>Prochaines étapes</w:t>
      </w:r>
    </w:p>
    <w:p>
      <w:pPr>
        <w:pStyle w:val="ListBullet"/>
      </w:pPr>
      <w:r>
        <w:t>Identifier les écrans de Section à retravailler et les points à améliorer.</w:t>
      </w:r>
    </w:p>
    <w:p>
      <w:pPr>
        <w:pStyle w:val="ListBullet"/>
      </w:pPr>
      <w:r>
        <w:t>Réaliser le peaufinage de l'interface et valider le rendu.</w:t>
      </w:r>
    </w:p>
    <w:p>
      <w:pPr>
        <w:pStyle w:val="Heading1"/>
      </w:pPr>
      <w:r>
        <w:rPr>
          <w:color w:val="1F4E79"/>
        </w:rPr>
        <w:t>6. Application Situation Dossier</w:t>
      </w:r>
    </w:p>
    <w:p>
      <w:r>
        <w:rPr>
          <w:b/>
        </w:rPr>
        <w:t xml:space="preserve">Objet : </w:t>
      </w:r>
      <w:r>
        <w:t>Application de suivi de la situation des dossiers.</w:t>
      </w:r>
    </w:p>
    <w:p>
      <w:r>
        <w:rPr>
          <w:b/>
        </w:rPr>
        <w:t xml:space="preserve">Statut : </w:t>
      </w:r>
      <w:r>
        <w:rPr>
          <w:color w:val="B06A00"/>
        </w:rPr>
        <w:t>En cours</w:t>
      </w:r>
    </w:p>
    <w:p>
      <w:pPr>
        <w:pStyle w:val="Heading2"/>
      </w:pPr>
      <w:r>
        <w:rPr>
          <w:color w:val="1F4E79"/>
        </w:rPr>
        <w:t>Objectif</w:t>
      </w:r>
    </w:p>
    <w:p>
      <w:pPr>
        <w:pStyle w:val="ListBullet"/>
      </w:pPr>
      <w:r>
        <w:t>Suivre l'état / la situation des dossiers (visibilité et pilotage).</w:t>
      </w:r>
    </w:p>
    <w:p>
      <w:pPr>
        <w:pStyle w:val="Heading2"/>
      </w:pPr>
      <w:r>
        <w:rPr>
          <w:color w:val="1F4E79"/>
        </w:rPr>
        <w:t>Prochaines étapes</w:t>
      </w:r>
    </w:p>
    <w:p>
      <w:pPr>
        <w:pStyle w:val="ListBullet"/>
      </w:pPr>
      <w:r>
        <w:t>Poursuivre le développement et valider les écrans de suivi.</w:t>
      </w:r>
    </w:p>
    <w:p>
      <w:pPr>
        <w:pStyle w:val="Heading1"/>
      </w:pPr>
      <w:r>
        <w:rPr>
          <w:color w:val="1F4E79"/>
        </w:rPr>
        <w:t>7. Scripts de notification &amp; de suivi</w:t>
      </w:r>
    </w:p>
    <w:p>
      <w:r>
        <w:rPr>
          <w:b w:val="0"/>
          <w:i w:val="0"/>
        </w:rPr>
        <w:t>Ensemble de scripts qui produisent des notifications / rapports automatiques de suivi logistique et production.</w:t>
      </w:r>
    </w:p>
    <w:p>
      <w:pPr>
        <w:pStyle w:val="Heading2"/>
      </w:pPr>
      <w:r>
        <w:rPr>
          <w:color w:val="1F4E79"/>
        </w:rPr>
        <w:t>Script de Notification Conteneur</w:t>
      </w:r>
    </w:p>
    <w:p>
      <w:r>
        <w:rPr>
          <w:b/>
        </w:rPr>
        <w:t xml:space="preserve">Objet : </w:t>
      </w:r>
      <w:r>
        <w:t>Lister les dossiers et les conteneurs associés, et émettre des alertes.</w:t>
      </w:r>
    </w:p>
    <w:p>
      <w:r>
        <w:rPr>
          <w:b/>
        </w:rPr>
        <w:t xml:space="preserve">Statut : </w:t>
      </w:r>
      <w:r>
        <w:rPr>
          <w:color w:val="1E7E34"/>
        </w:rPr>
        <w:t>En service</w:t>
      </w:r>
    </w:p>
    <w:p>
      <w:r>
        <w:rPr>
          <w:b w:val="0"/>
          <w:i w:val="0"/>
        </w:rPr>
        <w:t>Rapports / alertes produits :</w:t>
      </w:r>
    </w:p>
    <w:p>
      <w:pPr>
        <w:pStyle w:val="ListBullet"/>
      </w:pPr>
      <w:r>
        <w:t>Rapport des dossiers avec conteneurs sans livraison.</w:t>
      </w:r>
    </w:p>
    <w:p>
      <w:pPr>
        <w:pStyle w:val="ListBullet"/>
      </w:pPr>
      <w:r>
        <w:t>ALERTE — Conteneurs en attente d'accord de dépotage (ex. 20 conteneurs).</w:t>
      </w:r>
    </w:p>
    <w:p>
      <w:pPr>
        <w:pStyle w:val="ListBullet"/>
      </w:pPr>
      <w:r>
        <w:t>ALERTE — Conteneurs en attente de dépotage (ex. 36 conteneurs).</w:t>
      </w:r>
    </w:p>
    <w:p>
      <w:pPr>
        <w:pStyle w:val="ListBullet"/>
      </w:pPr>
      <w:r>
        <w:t>ALERTE — Conteneurs payés et en attente.</w:t>
      </w:r>
    </w:p>
    <w:p>
      <w:pPr>
        <w:pStyle w:val="ListBullet"/>
      </w:pPr>
      <w:r>
        <w:rPr>
          <w:b/>
        </w:rPr>
        <w:t xml:space="preserve">Nouveau : </w:t>
      </w:r>
      <w:r>
        <w:t>ALERTE — Conteneurs embarqués sans LE dans SAP.</w:t>
      </w:r>
    </w:p>
    <w:p>
      <w:pPr>
        <w:pStyle w:val="ListBullet"/>
      </w:pPr>
      <w:r>
        <w:rPr>
          <w:b/>
        </w:rPr>
        <w:t xml:space="preserve">Nouveau : </w:t>
      </w:r>
      <w:r>
        <w:t>ALERTE — Conteneurs en retard de livraison.</w:t>
      </w:r>
    </w:p>
    <w:p>
      <w:pPr>
        <w:pStyle w:val="Heading2"/>
      </w:pPr>
      <w:r>
        <w:rPr>
          <w:color w:val="1F4E79"/>
        </w:rPr>
        <w:t>Script — Liste des OF interrompus</w:t>
      </w:r>
    </w:p>
    <w:p>
      <w:r>
        <w:rPr>
          <w:b/>
        </w:rPr>
        <w:t xml:space="preserve">Objet : </w:t>
      </w:r>
      <w:r>
        <w:t>Lister les ordres de fabrication (OF) interrompus (ex. 9 OF actuellement).</w:t>
      </w:r>
    </w:p>
    <w:p>
      <w:r>
        <w:rPr>
          <w:b/>
        </w:rPr>
        <w:t xml:space="preserve">Statut : </w:t>
      </w:r>
      <w:r>
        <w:rPr>
          <w:color w:val="1E7E34"/>
        </w:rPr>
        <w:t>En service</w:t>
      </w:r>
    </w:p>
    <w:p>
      <w:pPr>
        <w:pStyle w:val="Heading2"/>
      </w:pPr>
      <w:r>
        <w:rPr>
          <w:color w:val="1F4E79"/>
        </w:rPr>
        <w:t>Script — Nombre de palettes en retard</w:t>
      </w:r>
    </w:p>
    <w:p>
      <w:r>
        <w:rPr>
          <w:b/>
        </w:rPr>
        <w:t xml:space="preserve">Objet : </w:t>
      </w:r>
      <w:r>
        <w:t>Suivre le nombre de palettes en retard.</w:t>
      </w:r>
    </w:p>
    <w:p>
      <w:r>
        <w:rPr>
          <w:b/>
        </w:rPr>
        <w:t xml:space="preserve">Statut : </w:t>
      </w:r>
      <w:r>
        <w:rPr>
          <w:color w:val="1E7E34"/>
        </w:rPr>
        <w:t>En service</w:t>
      </w:r>
    </w:p>
    <w:p>
      <w:pPr>
        <w:pStyle w:val="Heading1"/>
      </w:pPr>
      <w:r>
        <w:rPr>
          <w:color w:val="1F4E79"/>
        </w:rPr>
        <w:t>8. Traitement des données de l'énergie</w:t>
      </w:r>
    </w:p>
    <w:p>
      <w:r>
        <w:rPr>
          <w:b/>
        </w:rPr>
        <w:t xml:space="preserve">Objet : </w:t>
      </w:r>
      <w:r>
        <w:t>Collecte des données de consommation d'énergie et production de rapports de suivi.</w:t>
      </w:r>
    </w:p>
    <w:p>
      <w:r>
        <w:rPr>
          <w:b/>
        </w:rPr>
        <w:t xml:space="preserve">Statut : </w:t>
      </w:r>
      <w:r>
        <w:rPr>
          <w:color w:val="B06A00"/>
        </w:rPr>
        <w:t>En cours</w:t>
      </w:r>
    </w:p>
    <w:p>
      <w:pPr>
        <w:pStyle w:val="Heading2"/>
      </w:pPr>
      <w:r>
        <w:rPr>
          <w:color w:val="1F4E79"/>
        </w:rPr>
        <w:t>Objectif</w:t>
      </w:r>
    </w:p>
    <w:p>
      <w:pPr>
        <w:pStyle w:val="ListBullet"/>
      </w:pPr>
      <w:r>
        <w:t>Récupérer et consolider les données de consommation d'énergie (relevés / compteurs).</w:t>
      </w:r>
    </w:p>
    <w:p>
      <w:pPr>
        <w:pStyle w:val="ListBullet"/>
      </w:pPr>
      <w:r>
        <w:t>Produire des rapports de suivi de la consommation.</w:t>
      </w:r>
    </w:p>
    <w:p>
      <w:pPr>
        <w:pStyle w:val="Heading2"/>
      </w:pPr>
      <w:r>
        <w:rPr>
          <w:color w:val="1F4E79"/>
        </w:rPr>
        <w:t>Prochaines étapes</w:t>
      </w:r>
    </w:p>
    <w:p>
      <w:pPr>
        <w:pStyle w:val="ListBullet"/>
      </w:pPr>
      <w:r>
        <w:t>Poursuivre le traitement et fiabiliser la collecte des données.</w:t>
      </w:r>
    </w:p>
    <w:p>
      <w:pPr>
        <w:pStyle w:val="ListBullet"/>
      </w:pPr>
      <w:r>
        <w:t>Finaliser les rapports de consommation et les faire valider.</w:t>
      </w:r>
    </w:p>
    <w:p>
      <w:pPr>
        <w:pStyle w:val="Heading1"/>
      </w:pPr>
      <w:r>
        <w:rPr>
          <w:color w:val="1F4E79"/>
        </w:rPr>
        <w:t>Synthèse pour la réunion</w:t>
      </w:r>
    </w:p>
    <w:p>
      <w:pPr>
        <w:pStyle w:val="ListBullet"/>
      </w:pPr>
      <w:r>
        <w:rPr>
          <w:b/>
        </w:rPr>
        <w:t xml:space="preserve">1. </w:t>
      </w:r>
      <w:r>
        <w:t>Priorité en cours : Gestion de Caisse — fonctionnel avancé, intégration SAP amorcée (connexion validée, en attente des éléments SAP).</w:t>
      </w:r>
    </w:p>
    <w:p>
      <w:pPr>
        <w:pStyle w:val="ListBullet"/>
      </w:pPr>
      <w:r>
        <w:rPr>
          <w:b/>
        </w:rPr>
        <w:t xml:space="preserve">2. </w:t>
      </w:r>
      <w:r>
        <w:t>Quatre mises à jour à mener en parallèle : interface Station, peaufinage des écrans de Section, autocomplétion NpgRéclamation, finalisation des Tags.</w:t>
      </w:r>
    </w:p>
    <w:p>
      <w:pPr>
        <w:pStyle w:val="ListBullet"/>
      </w:pPr>
      <w:r>
        <w:rPr>
          <w:b/>
        </w:rPr>
        <w:t xml:space="preserve">3. </w:t>
      </w:r>
      <w:r>
        <w:t>Scripts de suivi opérationnels (notifications conteneurs, OF interrompus, palettes en retard) et application Situation Dossier en cours.</w:t>
      </w:r>
    </w:p>
    <w:p>
      <w:pPr>
        <w:pStyle w:val="ListBullet"/>
      </w:pPr>
      <w:r>
        <w:rPr>
          <w:b/>
        </w:rPr>
        <w:t xml:space="preserve">4. </w:t>
      </w:r>
      <w:r>
        <w:t>Points d'attention : déploiement + migrations de la Gestion de Caisse, et obtention des spécifications SAP pour avancer l'intégration.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