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Remarques — Application Fond de Caisse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Sarah Goli — 30 juin 2026</w:t>
      </w:r>
    </w:p>
    <w:p>
      <w:pPr>
        <w:pStyle w:val="Heading1"/>
        <w:spacing w:after="10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Format du numéro de compte</w:t>
      </w:r>
    </w:p>
    <w:p>
      <w:pPr>
        <w:spacing w:after="140" w:line="290"/>
      </w:pPr>
      <w:r>
        <w:rPr>
          <w:rFonts w:ascii="Arial" w:cs="Arial" w:eastAsia="Arial" w:hAnsi="Arial"/>
          <w:sz w:val="22"/>
          <w:szCs w:val="22"/>
        </w:rPr>
        <w:t xml:space="preserve">Le champ accepte du texte libre. Exemple : un compte « cerf » créé sans erreur. Faut-il forcer un format numérique ?</w:t>
      </w:r>
    </w:p>
    <w:p>
      <w:pPr>
        <w:spacing w:after="40" w:before="80"/>
        <w:jc w:val="center"/>
      </w:pPr>
      <w:r>
        <w:drawing>
          <wp:inline distT="0" distB="0" distL="0" distR="0">
            <wp:extent cx="6858000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Compte « cerf » créé sans validation.</w:t>
      </w:r>
    </w:p>
    <w:p>
      <w:pPr>
        <w:pStyle w:val="Heading1"/>
        <w:pageBreakBefore/>
        <w:spacing w:after="10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Deux icônes pour un même usage</w:t>
      </w:r>
    </w:p>
    <w:p>
      <w:pPr>
        <w:spacing w:after="140" w:line="290"/>
      </w:pPr>
      <w:r>
        <w:rPr>
          <w:rFonts w:ascii="Arial" w:cs="Arial" w:eastAsia="Arial" w:hAnsi="Arial"/>
          <w:sz w:val="22"/>
          <w:szCs w:val="22"/>
        </w:rPr>
        <w:t xml:space="preserve">Le champ mot de passe affiche deux icônes œil au lieu d'une seule.</w:t>
      </w:r>
    </w:p>
    <w:p>
      <w:pPr>
        <w:spacing w:after="40" w:before="80"/>
        <w:jc w:val="center"/>
      </w:pPr>
      <w:r>
        <w:drawing>
          <wp:inline distT="0" distB="0" distL="0" distR="0">
            <wp:extent cx="6858000" cy="5495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Deux icônes œil côte à côte.</w:t>
      </w:r>
    </w:p>
    <w:p>
      <w:pPr>
        <w:pStyle w:val="Heading1"/>
        <w:pageBreakBefore/>
        <w:spacing w:after="10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Le caissier peut annuler un bon</w:t>
      </w:r>
    </w:p>
    <w:p>
      <w:pPr>
        <w:spacing w:after="140" w:line="290"/>
      </w:pPr>
      <w:r>
        <w:rPr>
          <w:rFonts w:ascii="Arial" w:cs="Arial" w:eastAsia="Arial" w:hAnsi="Arial"/>
          <w:sz w:val="22"/>
          <w:szCs w:val="22"/>
        </w:rPr>
        <w:t xml:space="preserve">Le caissier a accès au bouton « Annuler le bon ». Est-ce normal ? Et quelle différence avec un bon « rejeté » ?</w:t>
      </w:r>
    </w:p>
    <w:p>
      <w:pPr>
        <w:spacing w:after="40" w:before="80"/>
        <w:jc w:val="center"/>
      </w:pPr>
      <w:r>
        <w:drawing>
          <wp:inline distT="0" distB="0" distL="0" distR="0">
            <wp:extent cx="6858000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Bouton « Annuler le bon » côté caissier.</w:t>
      </w:r>
    </w:p>
    <w:p>
      <w:pPr>
        <w:pStyle w:val="Heading1"/>
        <w:pageBreakBefore/>
        <w:spacing w:after="10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Utilité de la fenêtre de filtre</w:t>
      </w:r>
    </w:p>
    <w:p>
      <w:pPr>
        <w:spacing w:after="140" w:line="290"/>
      </w:pPr>
      <w:r>
        <w:rPr>
          <w:rFonts w:ascii="Arial" w:cs="Arial" w:eastAsia="Arial" w:hAnsi="Arial"/>
          <w:sz w:val="22"/>
          <w:szCs w:val="22"/>
        </w:rPr>
        <w:t xml:space="preserve">Ce filtre est-il vraiment utile tel quel ?</w:t>
      </w:r>
    </w:p>
    <w:p>
      <w:pPr>
        <w:spacing w:after="40" w:before="80"/>
        <w:jc w:val="center"/>
      </w:pPr>
      <w:r>
        <w:drawing>
          <wp:inline distT="0" distB="0" distL="0" distR="0">
            <wp:extent cx="6858000" cy="1876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Fenêtre de filtre sur la liste des bons.</w:t>
      </w:r>
    </w:p>
    <w:p>
      <w:pPr>
        <w:pStyle w:val="Heading1"/>
        <w:pageBreakBefore/>
        <w:spacing w:after="10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Bon annulé mais « en attente » en recharge</w:t>
      </w:r>
    </w:p>
    <w:p>
      <w:pPr>
        <w:spacing w:after="140" w:line="290"/>
      </w:pPr>
      <w:r>
        <w:rPr>
          <w:rFonts w:ascii="Arial" w:cs="Arial" w:eastAsia="Arial" w:hAnsi="Arial"/>
          <w:sz w:val="22"/>
          <w:szCs w:val="22"/>
        </w:rPr>
        <w:t xml:space="preserve">BON-0014 est annulé, mais sa demande de recharge reste « En attente ».</w:t>
      </w:r>
    </w:p>
    <w:p>
      <w:pPr>
        <w:spacing w:after="40" w:before="80"/>
        <w:jc w:val="center"/>
      </w:pPr>
      <w:r>
        <w:drawing>
          <wp:inline distT="0" distB="0" distL="0" distR="0">
            <wp:extent cx="6858000" cy="288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Bon annulé, sous-bon toujours en attente.</w:t>
      </w:r>
    </w:p>
    <w:p>
      <w:pPr>
        <w:spacing w:after="40" w:before="80"/>
        <w:jc w:val="center"/>
      </w:pPr>
      <w:r>
        <w:drawing>
          <wp:inline distT="0" distB="0" distL="0" distR="0">
            <wp:extent cx="6858000" cy="2590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Demande de recharge liée, toujours en attente.</w:t>
      </w:r>
    </w:p>
    <w:p>
      <w:pPr>
        <w:pStyle w:val="Heading1"/>
        <w:pageBreakBefore/>
        <w:spacing w:after="10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Compteur non mis à jour</w:t>
      </w:r>
    </w:p>
    <w:p>
      <w:pPr>
        <w:spacing w:after="140" w:line="290"/>
      </w:pPr>
      <w:r>
        <w:rPr>
          <w:rFonts w:ascii="Arial" w:cs="Arial" w:eastAsia="Arial" w:hAnsi="Arial"/>
          <w:sz w:val="22"/>
          <w:szCs w:val="22"/>
        </w:rPr>
        <w:t xml:space="preserve">BON-0018 est annulé, mais le compteur « En attente » affiche encore 1.</w:t>
      </w:r>
    </w:p>
    <w:p>
      <w:pPr>
        <w:spacing w:after="40" w:before="80"/>
        <w:jc w:val="center"/>
      </w:pPr>
      <w:r>
        <w:drawing>
          <wp:inline distT="0" distB="0" distL="0" distR="0">
            <wp:extent cx="6858000" cy="4914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Compteur à vérifier.</w:t>
      </w:r>
    </w:p>
    <w:p>
      <w:pPr>
        <w:pStyle w:val="Heading1"/>
        <w:pageBreakBefore/>
        <w:spacing w:after="10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 Cas hypothétique : individu à deux portefeuilles</w:t>
      </w:r>
    </w:p>
    <w:p>
      <w:pPr>
        <w:spacing w:after="140" w:line="290"/>
      </w:pPr>
      <w:r>
        <w:rPr>
          <w:rFonts w:ascii="Arial" w:cs="Arial" w:eastAsia="Arial" w:hAnsi="Arial"/>
          <w:sz w:val="22"/>
          <w:szCs w:val="22"/>
        </w:rPr>
        <w:t xml:space="preserve">Que se passe-t-il quand un demandeur a deux portefeuilles actifs ?</w:t>
      </w:r>
    </w:p>
    <w:p>
      <w:pPr>
        <w:pStyle w:val="Heading1"/>
        <w:pageBreakBefore/>
        <w:spacing w:after="10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9.1. Solde figé sur le mauvais portefeuille</w:t>
      </w:r>
    </w:p>
    <w:p>
      <w:pPr>
        <w:spacing w:after="140" w:line="290"/>
      </w:pPr>
      <w:r>
        <w:rPr>
          <w:rFonts w:ascii="Arial" w:cs="Arial" w:eastAsia="Arial" w:hAnsi="Arial"/>
          <w:sz w:val="22"/>
          <w:szCs w:val="22"/>
        </w:rPr>
        <w:t xml:space="preserve">Quand on change de portefeuille dans le sous-bon, le solde affiché en haut ne change pas.</w:t>
      </w:r>
    </w:p>
    <w:p>
      <w:pPr>
        <w:spacing w:after="40" w:before="80"/>
        <w:jc w:val="center"/>
      </w:pPr>
      <w:r>
        <w:drawing>
          <wp:inline distT="0" distB="0" distL="0" distR="0">
            <wp:extent cx="68580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Solde figé sur un autre portefeuille.</w:t>
      </w:r>
    </w:p>
    <w:p>
      <w:pPr>
        <w:pStyle w:val="Heading1"/>
        <w:pageBreakBefore/>
        <w:spacing w:after="10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9.2. Solde non recalculé après saisie</w:t>
      </w:r>
    </w:p>
    <w:p>
      <w:pPr>
        <w:spacing w:after="140" w:line="290"/>
      </w:pPr>
      <w:r>
        <w:rPr>
          <w:rFonts w:ascii="Arial" w:cs="Arial" w:eastAsia="Arial" w:hAnsi="Arial"/>
          <w:sz w:val="22"/>
          <w:szCs w:val="22"/>
        </w:rPr>
        <w:t xml:space="preserve">Une fois le montant saisi, le solde disponible reste le même au lieu de se mettre à jour.</w:t>
      </w:r>
    </w:p>
    <w:p>
      <w:pPr>
        <w:spacing w:after="40" w:before="80"/>
        <w:jc w:val="center"/>
      </w:pPr>
      <w:r>
        <w:drawing>
          <wp:inline distT="0" distB="0" distL="0" distR="0">
            <wp:extent cx="6858000" cy="460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Montant saisi, solde non recalculé.</w:t>
      </w:r>
    </w:p>
    <w:p>
      <w:pPr>
        <w:pStyle w:val="Heading1"/>
        <w:pageBreakBefore/>
        <w:spacing w:after="100" w:before="3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 Écart montant du bon / montant décaissé</w:t>
      </w:r>
    </w:p>
    <w:p>
      <w:pPr>
        <w:spacing w:after="140" w:line="290"/>
      </w:pPr>
      <w:r>
        <w:rPr>
          <w:rFonts w:ascii="Arial" w:cs="Arial" w:eastAsia="Arial" w:hAnsi="Arial"/>
          <w:sz w:val="22"/>
          <w:szCs w:val="22"/>
        </w:rPr>
        <w:t xml:space="preserve">Le montant décaissé ne correspond pas toujours au montant notifié dans le récapitulatif du mois.</w:t>
      </w:r>
    </w:p>
    <w:p>
      <w:pPr>
        <w:spacing w:after="40" w:before="80"/>
        <w:jc w:val="center"/>
      </w:pPr>
      <w:r>
        <w:drawing>
          <wp:inline distT="0" distB="0" distL="0" distR="0">
            <wp:extent cx="68580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BON-0021 : montant décaissé à vérifier.</w:t>
      </w:r>
    </w:p>
    <w:sectPr>
      <w:pgSz w:w="12240" w:h="15840" w:orient="portrait"/>
      <w:pgMar w:top="720" w:right="540" w:bottom="720" w:left="5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Title">
    <w:name w:val="Title"/>
    <w:basedOn w:val="Normal"/>
    <w:next w:val="Normal"/>
    <w:qFormat/>
    <w:pPr>
      <w:spacing w:after="8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6b066468cf5fa9434de2f68a13225e21d05f7dc.png"/><Relationship Id="rId8" Type="http://schemas.openxmlformats.org/officeDocument/2006/relationships/image" Target="media/2893f31d59aeba396bfee6fef523ed253b57a23c.png"/><Relationship Id="rId9" Type="http://schemas.openxmlformats.org/officeDocument/2006/relationships/image" Target="media/b1a6864301e20919df418c72d3aaa84a96bde450.png"/><Relationship Id="rId10" Type="http://schemas.openxmlformats.org/officeDocument/2006/relationships/image" Target="media/c4d721bece61af9b6ec3cc5454478c45662deef0.png"/><Relationship Id="rId11" Type="http://schemas.openxmlformats.org/officeDocument/2006/relationships/image" Target="media/bf73d4e012fe6419ab65d9ac1578b3ef47e6de9c.png"/><Relationship Id="rId12" Type="http://schemas.openxmlformats.org/officeDocument/2006/relationships/image" Target="media/3eedbefcacd125755c16f85f259d6d88bd14754d.png"/><Relationship Id="rId13" Type="http://schemas.openxmlformats.org/officeDocument/2006/relationships/image" Target="media/2b6d94862b7c34d0542802464b313bb43ad5c440.png"/><Relationship Id="rId14" Type="http://schemas.openxmlformats.org/officeDocument/2006/relationships/image" Target="media/5ae18a932314088612196632150cf9d5c622b5de.png"/><Relationship Id="rId15" Type="http://schemas.openxmlformats.org/officeDocument/2006/relationships/image" Target="media/e3cfa529484d3660b41e7e6ed7ee0abf69d704e3.png"/><Relationship Id="rId16" Type="http://schemas.openxmlformats.org/officeDocument/2006/relationships/image" Target="media/95495bf02d24af1b5bd929d631a66a4f0cd6031f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2026-07-01T08:42:08.153Z</dcterms:created>
  <dcterms:modified xsi:type="dcterms:W3CDTF">2026-07-01T08:42:08.167Z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