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31F0C" w14:textId="77777777" w:rsidR="00EF6CC1" w:rsidRDefault="00EF6CC1">
      <w:pPr>
        <w:pStyle w:val="NormalWeb"/>
        <w:spacing w:after="40" w:afterAutospacing="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b/>
          <w:bCs/>
          <w:color w:val="000000"/>
          <w:sz w:val="20"/>
          <w:szCs w:val="20"/>
        </w:rPr>
        <w:t>NPG GANDOUR</w:t>
      </w:r>
      <w:r>
        <w:rPr>
          <w:rFonts w:ascii="Calibri" w:hAnsi="Calibri" w:cs="Calibri"/>
          <w:color w:val="000000"/>
          <w:sz w:val="20"/>
          <w:szCs w:val="20"/>
        </w:rPr>
        <w:br/>
        <w:t>Direction Administrative et Financière</w:t>
      </w:r>
    </w:p>
    <w:p w14:paraId="37FAD6C4" w14:textId="77777777" w:rsidR="00EF6CC1" w:rsidRDefault="00EF6CC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pict w14:anchorId="549F7AAE">
          <v:rect id="_x0000_i1025" style="width:0;height:1.5pt" o:hralign="center" o:hrstd="t" o:hr="t" fillcolor="#a0a0a0" stroked="f"/>
        </w:pict>
      </w:r>
    </w:p>
    <w:p w14:paraId="2D0DFB04" w14:textId="77777777" w:rsidR="00EF6CC1" w:rsidRDefault="00EF6CC1">
      <w:pPr>
        <w:pStyle w:val="NormalWeb"/>
        <w:spacing w:before="360" w:beforeAutospacing="0" w:after="4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NOTE DE SERVICE N° ______ / DAF / 2026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7377"/>
      </w:tblGrid>
      <w:tr w:rsidR="00000000" w14:paraId="7151418F" w14:textId="77777777">
        <w:trPr>
          <w:tblCellSpacing w:w="15" w:type="dxa"/>
        </w:trPr>
        <w:tc>
          <w:tcPr>
            <w:tcW w:w="1650" w:type="dxa"/>
            <w:vAlign w:val="center"/>
            <w:hideMark/>
          </w:tcPr>
          <w:p w14:paraId="0C638BD1" w14:textId="77777777" w:rsidR="00EF6CC1" w:rsidRDefault="00EF6CC1">
            <w:pPr>
              <w:spacing w:before="28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1F78FB7" w14:textId="77777777" w:rsidR="00EF6CC1" w:rsidRDefault="00EF6CC1">
            <w:pPr>
              <w:spacing w:before="28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: Abidjan, le ____ / ____ / 2026</w:t>
            </w:r>
          </w:p>
        </w:tc>
      </w:tr>
      <w:tr w:rsidR="00000000" w14:paraId="02EBE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D023C" w14:textId="77777777" w:rsidR="00EF6CC1" w:rsidRDefault="00EF6CC1">
            <w:pPr>
              <w:spacing w:before="28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Destinataires</w:t>
            </w:r>
          </w:p>
        </w:tc>
        <w:tc>
          <w:tcPr>
            <w:tcW w:w="0" w:type="auto"/>
            <w:vAlign w:val="center"/>
            <w:hideMark/>
          </w:tcPr>
          <w:p w14:paraId="065B983C" w14:textId="77777777" w:rsidR="00EF6CC1" w:rsidRDefault="00EF6CC1">
            <w:pPr>
              <w:spacing w:before="28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: Caissiers · Gestionnaires de portefeuille · Service Paie · Directeurs de direction</w:t>
            </w:r>
          </w:p>
        </w:tc>
      </w:tr>
      <w:tr w:rsidR="00000000" w14:paraId="3DD8E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0A33C" w14:textId="77777777" w:rsidR="00EF6CC1" w:rsidRDefault="00EF6CC1">
            <w:pPr>
              <w:spacing w:before="28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Copie</w:t>
            </w:r>
          </w:p>
        </w:tc>
        <w:tc>
          <w:tcPr>
            <w:tcW w:w="0" w:type="auto"/>
            <w:vAlign w:val="center"/>
            <w:hideMark/>
          </w:tcPr>
          <w:p w14:paraId="4F52FDA1" w14:textId="77777777" w:rsidR="00EF6CC1" w:rsidRDefault="00EF6CC1">
            <w:pPr>
              <w:spacing w:before="28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: Direction Générale · Direction des Systèmes d'Information</w:t>
            </w:r>
          </w:p>
        </w:tc>
      </w:tr>
      <w:tr w:rsidR="00000000" w14:paraId="4FCC0C42" w14:textId="77777777">
        <w:trPr>
          <w:tblCellSpacing w:w="15" w:type="dxa"/>
        </w:trPr>
        <w:tc>
          <w:tcPr>
            <w:tcW w:w="0" w:type="auto"/>
            <w:hideMark/>
          </w:tcPr>
          <w:p w14:paraId="4578F4F9" w14:textId="77777777" w:rsidR="00EF6CC1" w:rsidRDefault="00EF6CC1">
            <w:pPr>
              <w:spacing w:before="28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Objet</w:t>
            </w:r>
          </w:p>
        </w:tc>
        <w:tc>
          <w:tcPr>
            <w:tcW w:w="0" w:type="auto"/>
            <w:vAlign w:val="center"/>
            <w:hideMark/>
          </w:tcPr>
          <w:p w14:paraId="4C5ABB30" w14:textId="77777777" w:rsidR="00EF6CC1" w:rsidRDefault="00EF6CC1">
            <w:pPr>
              <w:spacing w:before="28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: </w:t>
            </w:r>
            <w:r>
              <w:rPr>
                <w:rFonts w:eastAsia="Times New Roman"/>
                <w:b/>
                <w:bCs/>
                <w:sz w:val="21"/>
                <w:szCs w:val="21"/>
              </w:rPr>
              <w:t>Prélèvement des mensualités de crédit sur le salaire — règles applicables</w:t>
            </w:r>
          </w:p>
        </w:tc>
      </w:tr>
    </w:tbl>
    <w:p w14:paraId="61FF286D" w14:textId="77777777" w:rsidR="00EF6CC1" w:rsidRDefault="00EF6CC1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pict w14:anchorId="053258FB">
          <v:rect id="_x0000_i1026" style="width:0;height:1.5pt" o:hralign="center" o:hrstd="t" o:hr="t" fillcolor="#a0a0a0" stroked="f"/>
        </w:pict>
      </w:r>
    </w:p>
    <w:p w14:paraId="14BEBF62" w14:textId="77777777" w:rsidR="00EF6CC1" w:rsidRDefault="00EF6CC1">
      <w:pPr>
        <w:pStyle w:val="NormalWeb"/>
        <w:spacing w:before="320" w:before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Dans le cadre de la mise en service du suivi des remboursements de crédit employé </w:t>
      </w:r>
      <w:r>
        <w:rPr>
          <w:rFonts w:ascii="Calibri" w:hAnsi="Calibri" w:cs="Calibri"/>
          <w:color w:val="000000"/>
          <w:sz w:val="22"/>
          <w:szCs w:val="22"/>
        </w:rPr>
        <w:t>dans l'application Fond de Caisse, les mensualités peuvent désormais être retenues directement sur le salaire de l'employé concerné.</w:t>
      </w:r>
    </w:p>
    <w:p w14:paraId="74C0C7A6" w14:textId="77777777" w:rsidR="00EF6CC1" w:rsidRDefault="00EF6CC1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La présente note précise les conditions de ce prélèvement et le traitement des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deux situations</w:t>
      </w:r>
      <w:r>
        <w:rPr>
          <w:rFonts w:ascii="Calibri" w:hAnsi="Calibri" w:cs="Calibri"/>
          <w:color w:val="000000"/>
          <w:sz w:val="22"/>
          <w:szCs w:val="22"/>
        </w:rPr>
        <w:t xml:space="preserve"> qui peuvent se présenter au moment de la paie, selon que le salaire couvre ou non l'échéance due.</w:t>
      </w:r>
    </w:p>
    <w:p w14:paraId="22B81C39" w14:textId="77777777" w:rsidR="00EF6CC1" w:rsidRDefault="00EF6CC1">
      <w:pPr>
        <w:pStyle w:val="NormalWeb"/>
        <w:spacing w:before="320" w:before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</w:rPr>
        <w:t>1. Principe : une autorisation donnée une seule fois</w:t>
      </w:r>
    </w:p>
    <w:p w14:paraId="0C1F865C" w14:textId="77777777" w:rsidR="00EF6CC1" w:rsidRDefault="00EF6CC1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Le prélèvement sur salaire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n'est jamais automatique par défaut</w:t>
      </w:r>
      <w:r>
        <w:rPr>
          <w:rFonts w:ascii="Calibri" w:hAnsi="Calibri" w:cs="Calibri"/>
          <w:color w:val="000000"/>
          <w:sz w:val="22"/>
          <w:szCs w:val="22"/>
        </w:rPr>
        <w:t xml:space="preserve">. Il doit être expressément </w:t>
      </w:r>
      <w:r>
        <w:rPr>
          <w:rFonts w:ascii="Calibri" w:hAnsi="Calibri" w:cs="Calibri"/>
          <w:color w:val="000000"/>
          <w:sz w:val="22"/>
          <w:szCs w:val="22"/>
        </w:rPr>
        <w:t xml:space="preserve">autorisé par le Directeur Administratif et Financier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au moment où il approuve la demande de crédit</w:t>
      </w:r>
      <w:r>
        <w:rPr>
          <w:rFonts w:ascii="Calibri" w:hAnsi="Calibri" w:cs="Calibri"/>
          <w:color w:val="000000"/>
          <w:sz w:val="22"/>
          <w:szCs w:val="22"/>
        </w:rPr>
        <w:t>, en cochant l'option prévue à cet effet.</w:t>
      </w:r>
    </w:p>
    <w:p w14:paraId="30722E1F" w14:textId="77777777" w:rsidR="00EF6CC1" w:rsidRDefault="00EF6CC1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Cette autorisation vaut pour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toute la durée du crédit</w:t>
      </w:r>
      <w:r>
        <w:rPr>
          <w:rFonts w:ascii="Calibri" w:hAnsi="Calibri" w:cs="Calibri"/>
          <w:color w:val="000000"/>
          <w:sz w:val="22"/>
          <w:szCs w:val="22"/>
        </w:rPr>
        <w:t>. Elle n'a pas à être renouvelée chaque mois : le paiement des salaires ne sera donc jamais bloqué dans l'attente d'une validation. L'identité de l'autorisateur et la date de l'autorisation sont conservées par l'application.</w:t>
      </w:r>
    </w:p>
    <w:p w14:paraId="276025AB" w14:textId="77777777" w:rsidR="00EF6CC1" w:rsidRDefault="00EF6CC1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Le prélèvement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ne commence qu'au décaissement effectif du crédit par le caissier</w:t>
      </w:r>
      <w:r>
        <w:rPr>
          <w:rFonts w:ascii="Calibri" w:hAnsi="Calibri" w:cs="Calibri"/>
          <w:color w:val="000000"/>
          <w:sz w:val="22"/>
          <w:szCs w:val="22"/>
        </w:rPr>
        <w:t xml:space="preserve">, et non </w:t>
      </w:r>
      <w:r>
        <w:rPr>
          <w:rFonts w:ascii="Calibri" w:hAnsi="Calibri" w:cs="Calibri"/>
          <w:color w:val="000000"/>
          <w:sz w:val="22"/>
          <w:szCs w:val="22"/>
        </w:rPr>
        <w:t>dès l'approbation. Aucune retenue n'est donc opérée sur un salaire antérieur à la remise des fonds : tant que l'employé n'a pas reçu l'argent, il ne doit rien.</w:t>
      </w:r>
    </w:p>
    <w:p w14:paraId="2E91D2C2" w14:textId="77777777" w:rsidR="00EF6CC1" w:rsidRDefault="00EF6CC1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Au moment d'autoriser le prélèvement, le DAF choisit également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le mode de replanification</w:t>
      </w:r>
      <w:r>
        <w:rPr>
          <w:rFonts w:ascii="Calibri" w:hAnsi="Calibri" w:cs="Calibri"/>
          <w:color w:val="000000"/>
          <w:sz w:val="22"/>
          <w:szCs w:val="22"/>
        </w:rPr>
        <w:t xml:space="preserve"> applicable si un mois ne peut être prélevé qu'en partie (cf. § 3). Ce choix vaut, lui aussi, pour toute la durée du crédit.</w:t>
      </w:r>
    </w:p>
    <w:p w14:paraId="2B4F3AD0" w14:textId="77777777" w:rsidR="00EF6CC1" w:rsidRDefault="00EF6CC1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Les crédits approuvés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avant</w:t>
      </w:r>
      <w:r>
        <w:rPr>
          <w:rFonts w:ascii="Calibri" w:hAnsi="Calibri" w:cs="Calibri"/>
          <w:color w:val="000000"/>
          <w:sz w:val="22"/>
          <w:szCs w:val="22"/>
        </w:rPr>
        <w:t xml:space="preserve"> la mise en service de cette fonctionnalité ne sont pas concernés : </w:t>
      </w:r>
      <w:r>
        <w:rPr>
          <w:rFonts w:ascii="Calibri" w:hAnsi="Calibri" w:cs="Calibri"/>
          <w:color w:val="000000"/>
          <w:sz w:val="22"/>
          <w:szCs w:val="22"/>
        </w:rPr>
        <w:t>aucun prélèvement rétroactif n'est appliqué. Pour les faire entrer dans le dispositif, une nouvelle demande doit être approuvée avec l'option activée.</w:t>
      </w:r>
    </w:p>
    <w:p w14:paraId="19900B57" w14:textId="77777777" w:rsidR="00EF6CC1" w:rsidRDefault="00EF6CC1">
      <w:pPr>
        <w:pStyle w:val="NormalWeb"/>
        <w:spacing w:before="320" w:before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</w:rPr>
        <w:t>2. Premier cas : le salaire couvre la mensualité</w:t>
      </w:r>
    </w:p>
    <w:p w14:paraId="460FD0E9" w14:textId="77777777" w:rsidR="00EF6CC1" w:rsidRDefault="00EF6CC1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C'est la situation normale. Au moment de payer le salaire, l'application retient automatiquement la mensualité due et le caissier ne remet à l'employé que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la différence</w:t>
      </w:r>
      <w:r>
        <w:rPr>
          <w:rFonts w:ascii="Calibri" w:hAnsi="Calibri" w:cs="Calibri"/>
          <w:color w:val="000000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2"/>
        <w:gridCol w:w="1884"/>
      </w:tblGrid>
      <w:tr w:rsidR="00000000" w14:paraId="732CB7F7" w14:textId="77777777">
        <w:tc>
          <w:tcPr>
            <w:tcW w:w="0" w:type="auto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CE5F59" w14:textId="77777777" w:rsidR="00EF6CC1" w:rsidRDefault="00EF6CC1">
            <w:pPr>
              <w:spacing w:before="200" w:after="20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lastRenderedPageBreak/>
              <w:t>Exemple</w:t>
            </w:r>
            <w:r>
              <w:rPr>
                <w:rFonts w:eastAsia="Times New Roman"/>
                <w:sz w:val="21"/>
                <w:szCs w:val="21"/>
              </w:rPr>
              <w:t xml:space="preserve"> — salaire de 400 000 F CFA, crédit de 4 000 000 F CFA sur 16 mois</w:t>
            </w:r>
          </w:p>
        </w:tc>
      </w:tr>
      <w:tr w:rsidR="00000000" w14:paraId="1264E82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9A6862" w14:textId="77777777" w:rsidR="00EF6CC1" w:rsidRDefault="00EF6CC1">
            <w:pPr>
              <w:spacing w:before="200" w:after="20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Salaire du mois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A32F92" w14:textId="77777777" w:rsidR="00EF6CC1" w:rsidRDefault="00EF6CC1">
            <w:pPr>
              <w:spacing w:before="200" w:after="200"/>
              <w:jc w:val="right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400 000</w:t>
            </w:r>
          </w:p>
        </w:tc>
      </w:tr>
      <w:tr w:rsidR="00000000" w14:paraId="3512002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2BF504" w14:textId="77777777" w:rsidR="00EF6CC1" w:rsidRDefault="00EF6CC1">
            <w:pPr>
              <w:spacing w:before="200" w:after="20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Retenue au titre du crédit (échéance 3 sur 16)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637F28" w14:textId="77777777" w:rsidR="00EF6CC1" w:rsidRDefault="00EF6CC1">
            <w:pPr>
              <w:spacing w:before="200" w:after="200"/>
              <w:jc w:val="right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>− 250 000</w:t>
            </w:r>
          </w:p>
        </w:tc>
      </w:tr>
      <w:tr w:rsidR="00000000" w14:paraId="624A696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9D34E9" w14:textId="77777777" w:rsidR="00EF6CC1" w:rsidRDefault="00EF6CC1">
            <w:pPr>
              <w:spacing w:before="200" w:after="20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Montant remis en espèces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038677" w14:textId="77777777" w:rsidR="00EF6CC1" w:rsidRDefault="00EF6CC1">
            <w:pPr>
              <w:spacing w:before="200" w:after="200"/>
              <w:jc w:val="right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150 000</w:t>
            </w:r>
          </w:p>
        </w:tc>
      </w:tr>
    </w:tbl>
    <w:p w14:paraId="5BBB97DF" w14:textId="77777777" w:rsidR="00EF6CC1" w:rsidRDefault="00EF6CC1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Ce que le caissier doit faire :</w:t>
      </w:r>
      <w:r>
        <w:rPr>
          <w:rFonts w:ascii="Calibri" w:hAnsi="Calibri" w:cs="Calibri"/>
          <w:color w:val="000000"/>
          <w:sz w:val="22"/>
          <w:szCs w:val="22"/>
        </w:rPr>
        <w:t xml:space="preserve"> vérifier, sur l'écran de confirmation, le montant indiqué à la ligne « À remettre en espèces ». C'est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ce seul montant</w:t>
      </w:r>
      <w:r>
        <w:rPr>
          <w:rFonts w:ascii="Calibri" w:hAnsi="Calibri" w:cs="Calibri"/>
          <w:color w:val="000000"/>
          <w:sz w:val="22"/>
          <w:szCs w:val="22"/>
        </w:rPr>
        <w:t xml:space="preserve"> qui doit être versé à l'employé. La liste des salaires signale également, avant toute manipulation, les paies concernées par une retenue.</w:t>
      </w:r>
    </w:p>
    <w:p w14:paraId="46BE29F7" w14:textId="77777777" w:rsidR="00EF6CC1" w:rsidRDefault="00EF6CC1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Ce que l'employé doit savoir :</w:t>
      </w:r>
      <w:r>
        <w:rPr>
          <w:rFonts w:ascii="Calibri" w:hAnsi="Calibri" w:cs="Calibri"/>
          <w:color w:val="000000"/>
          <w:sz w:val="22"/>
          <w:szCs w:val="22"/>
        </w:rPr>
        <w:t xml:space="preserve"> la retenue apparaît sur son échéancier de crédit, qui indique à </w:t>
      </w:r>
      <w:r>
        <w:rPr>
          <w:rFonts w:ascii="Calibri" w:hAnsi="Calibri" w:cs="Calibri"/>
          <w:color w:val="000000"/>
          <w:sz w:val="22"/>
          <w:szCs w:val="22"/>
        </w:rPr>
        <w:t>tout moment le nombre de mensualités réglées, le montant remboursé et le solde restant dû.</w:t>
      </w:r>
    </w:p>
    <w:p w14:paraId="085CCE69" w14:textId="77777777" w:rsidR="00EF6CC1" w:rsidRDefault="00EF6CC1">
      <w:pPr>
        <w:pStyle w:val="NormalWeb"/>
        <w:spacing w:before="320" w:before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</w:rPr>
        <w:t>3. Second cas : le salaire ne couvre pas l'échéance</w:t>
      </w:r>
    </w:p>
    <w:p w14:paraId="6B675846" w14:textId="77777777" w:rsidR="00EF6CC1" w:rsidRDefault="00EF6CC1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Lorsque le salaire à verser est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inférieur</w:t>
      </w:r>
      <w:r>
        <w:rPr>
          <w:rFonts w:ascii="Calibri" w:hAnsi="Calibri" w:cs="Calibri"/>
          <w:color w:val="000000"/>
          <w:sz w:val="22"/>
          <w:szCs w:val="22"/>
        </w:rPr>
        <w:t xml:space="preserve"> à l'échéance due — congé sans solde, entrée ou départ en cours de mois, absence non rémunérée — le caissier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indique le montant qui peut être prélevé</w:t>
      </w:r>
      <w:r>
        <w:rPr>
          <w:rFonts w:ascii="Calibri" w:hAnsi="Calibri" w:cs="Calibri"/>
          <w:color w:val="000000"/>
          <w:sz w:val="22"/>
          <w:szCs w:val="22"/>
        </w:rPr>
        <w:t xml:space="preserve">. Ce montant est retenu, et la part non prélevée est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reportée sur les mois restants</w:t>
      </w:r>
      <w:r>
        <w:rPr>
          <w:rFonts w:ascii="Calibri" w:hAnsi="Calibri" w:cs="Calibri"/>
          <w:color w:val="000000"/>
          <w:sz w:val="22"/>
          <w:szCs w:val="22"/>
        </w:rPr>
        <w:t>.</w:t>
      </w:r>
    </w:p>
    <w:p w14:paraId="76B2763A" w14:textId="77777777" w:rsidR="00EF6CC1" w:rsidRDefault="00EF6CC1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Le sort de cette part non prélevée dépend du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mode retenu par le DAF</w:t>
      </w:r>
      <w:r>
        <w:rPr>
          <w:rFonts w:ascii="Calibri" w:hAnsi="Calibri" w:cs="Calibri"/>
          <w:color w:val="000000"/>
          <w:sz w:val="22"/>
          <w:szCs w:val="22"/>
        </w:rPr>
        <w:t xml:space="preserve"> au moment </w:t>
      </w:r>
      <w:r>
        <w:rPr>
          <w:rFonts w:ascii="Calibri" w:hAnsi="Calibri" w:cs="Calibri"/>
          <w:color w:val="000000"/>
          <w:sz w:val="22"/>
          <w:szCs w:val="22"/>
        </w:rPr>
        <w:t>d'autoriser le prélèvement. Deux options, exclusives l'une de l'autre 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8"/>
        <w:gridCol w:w="4528"/>
      </w:tblGrid>
      <w:tr w:rsidR="00000000" w14:paraId="28C1E326" w14:textId="77777777"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6E9891" w14:textId="77777777" w:rsidR="00EF6CC1" w:rsidRDefault="00EF6CC1">
            <w:pPr>
              <w:spacing w:before="200" w:after="20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Allonger le crédit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eastAsia="Times New Roman"/>
                <w:i/>
                <w:iCs/>
                <w:sz w:val="21"/>
                <w:szCs w:val="21"/>
              </w:rPr>
              <w:t>(mode par défaut)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DFB224" w14:textId="77777777" w:rsidR="00EF6CC1" w:rsidRDefault="00EF6CC1">
            <w:pPr>
              <w:spacing w:before="200" w:after="20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Répartir sur les mois restants</w:t>
            </w:r>
          </w:p>
        </w:tc>
      </w:tr>
      <w:tr w:rsidR="00000000" w14:paraId="1FAB409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33FB01" w14:textId="77777777" w:rsidR="00EF6CC1" w:rsidRDefault="00EF6CC1">
            <w:pPr>
              <w:spacing w:before="200" w:after="20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La mensualité convenue est </w:t>
            </w:r>
            <w:r>
              <w:rPr>
                <w:rFonts w:eastAsia="Times New Roman"/>
                <w:b/>
                <w:bCs/>
                <w:sz w:val="21"/>
                <w:szCs w:val="21"/>
              </w:rPr>
              <w:t>maintenue</w:t>
            </w:r>
            <w:r>
              <w:rPr>
                <w:rFonts w:eastAsia="Times New Roman"/>
                <w:sz w:val="21"/>
                <w:szCs w:val="21"/>
              </w:rPr>
              <w:t>. Des mois sont ajoutés jusqu'à extinction de la dette.</w:t>
            </w:r>
            <w:r>
              <w:rPr>
                <w:rFonts w:eastAsia="Times New Roman"/>
                <w:sz w:val="21"/>
                <w:szCs w:val="21"/>
              </w:rPr>
              <w:br/>
            </w:r>
            <w:r>
              <w:rPr>
                <w:rFonts w:eastAsia="Times New Roman"/>
                <w:sz w:val="21"/>
                <w:szCs w:val="21"/>
              </w:rPr>
              <w:br/>
              <w:t>Sur l'exemple : les mois 4 à 16 restent à 250 000 F CFA, et un 17</w:t>
            </w:r>
            <w:r>
              <w:rPr>
                <w:rFonts w:eastAsia="Times New Roman"/>
                <w:sz w:val="21"/>
                <w:szCs w:val="21"/>
                <w:vertAlign w:val="superscript"/>
              </w:rPr>
              <w:t>e</w:t>
            </w:r>
            <w:r>
              <w:rPr>
                <w:rFonts w:eastAsia="Times New Roman"/>
                <w:sz w:val="21"/>
                <w:szCs w:val="21"/>
              </w:rPr>
              <w:t xml:space="preserve"> mois de 150 000 F CFA est ajouté.</w:t>
            </w:r>
            <w:r>
              <w:rPr>
                <w:rFonts w:eastAsia="Times New Roman"/>
                <w:sz w:val="21"/>
                <w:szCs w:val="21"/>
              </w:rPr>
              <w:br/>
            </w:r>
            <w:r>
              <w:rPr>
                <w:rFonts w:eastAsia="Times New Roman"/>
                <w:sz w:val="21"/>
                <w:szCs w:val="21"/>
              </w:rPr>
              <w:br/>
            </w:r>
            <w:r>
              <w:rPr>
                <w:rFonts w:eastAsia="Times New Roman"/>
                <w:b/>
                <w:bCs/>
                <w:sz w:val="21"/>
                <w:szCs w:val="21"/>
              </w:rPr>
              <w:t>Fin repoussée</w:t>
            </w:r>
            <w:r>
              <w:rPr>
                <w:rFonts w:eastAsia="Times New Roman"/>
                <w:sz w:val="21"/>
                <w:szCs w:val="21"/>
              </w:rPr>
              <w:t xml:space="preserve"> d'un mois. L'employé conserve la charge qu'il a acceptée.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3112CE" w14:textId="77777777" w:rsidR="00EF6CC1" w:rsidRDefault="00EF6CC1">
            <w:pPr>
              <w:spacing w:before="200" w:after="200"/>
              <w:rPr>
                <w:rFonts w:eastAsia="Times New Roman"/>
                <w:sz w:val="21"/>
                <w:szCs w:val="21"/>
              </w:rPr>
            </w:pPr>
            <w:r>
              <w:rPr>
                <w:rFonts w:eastAsia="Times New Roman"/>
                <w:sz w:val="21"/>
                <w:szCs w:val="21"/>
              </w:rPr>
              <w:t xml:space="preserve">La </w:t>
            </w:r>
            <w:r>
              <w:rPr>
                <w:rFonts w:eastAsia="Times New Roman"/>
                <w:b/>
                <w:bCs/>
                <w:sz w:val="21"/>
                <w:szCs w:val="21"/>
              </w:rPr>
              <w:t>date de fin est respectée</w:t>
            </w:r>
            <w:r>
              <w:rPr>
                <w:rFonts w:eastAsia="Times New Roman"/>
                <w:sz w:val="21"/>
                <w:szCs w:val="21"/>
              </w:rPr>
              <w:t>. Les échéances suivantes sont relevées pour absorber le reliquat.</w:t>
            </w:r>
            <w:r>
              <w:rPr>
                <w:rFonts w:eastAsia="Times New Roman"/>
                <w:sz w:val="21"/>
                <w:szCs w:val="21"/>
              </w:rPr>
              <w:br/>
            </w:r>
            <w:r>
              <w:rPr>
                <w:rFonts w:eastAsia="Times New Roman"/>
                <w:sz w:val="21"/>
                <w:szCs w:val="21"/>
              </w:rPr>
              <w:br/>
            </w:r>
            <w:r>
              <w:rPr>
                <w:rFonts w:eastAsia="Times New Roman"/>
                <w:sz w:val="21"/>
                <w:szCs w:val="21"/>
              </w:rPr>
              <w:t>Sur l'exemple : les mois 4 à 16 passent de 250 000 à 261 539 F CFA.</w:t>
            </w:r>
            <w:r>
              <w:rPr>
                <w:rFonts w:eastAsia="Times New Roman"/>
                <w:sz w:val="21"/>
                <w:szCs w:val="21"/>
              </w:rPr>
              <w:br/>
            </w:r>
            <w:r>
              <w:rPr>
                <w:rFonts w:eastAsia="Times New Roman"/>
                <w:sz w:val="21"/>
                <w:szCs w:val="21"/>
              </w:rPr>
              <w:br/>
            </w:r>
            <w:r>
              <w:rPr>
                <w:rFonts w:eastAsia="Times New Roman"/>
                <w:b/>
                <w:bCs/>
                <w:sz w:val="21"/>
                <w:szCs w:val="21"/>
              </w:rPr>
              <w:t>Durée inchangée</w:t>
            </w:r>
            <w:r>
              <w:rPr>
                <w:rFonts w:eastAsia="Times New Roman"/>
                <w:sz w:val="21"/>
                <w:szCs w:val="21"/>
              </w:rPr>
              <w:t>, mais la charge mensuelle augmente.</w:t>
            </w:r>
          </w:p>
        </w:tc>
      </w:tr>
    </w:tbl>
    <w:p w14:paraId="07D93C25" w14:textId="77777777" w:rsidR="00EF6CC1" w:rsidRDefault="00EF6CC1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Le mode « allonger » est proposé par défaut car la retenue partielle a précisément pour cause l'incapacité de l'employé à payer le mois en question : lui réclamer davantage ensuite irait à contresens. Le mode « répartir » convient lorsque la date de fin constitue un engagement ferme.</w:t>
      </w:r>
    </w:p>
    <w:p w14:paraId="33E50AC5" w14:textId="77777777" w:rsidR="00EF6CC1" w:rsidRDefault="00EF6CC1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Dans les deux cas,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le calcul est automatique</w:t>
      </w:r>
      <w:r>
        <w:rPr>
          <w:rFonts w:ascii="Calibri" w:hAnsi="Calibri" w:cs="Calibri"/>
          <w:color w:val="000000"/>
          <w:sz w:val="22"/>
          <w:szCs w:val="22"/>
        </w:rPr>
        <w:t xml:space="preserve"> : le caissier n'a rien à recalculer, et le </w:t>
      </w:r>
      <w:r>
        <w:rPr>
          <w:rFonts w:ascii="Calibri" w:hAnsi="Calibri" w:cs="Calibri"/>
          <w:color w:val="000000"/>
          <w:sz w:val="22"/>
          <w:szCs w:val="22"/>
        </w:rPr>
        <w:t>crédit se solde exactement, au centime près.</w:t>
      </w:r>
    </w:p>
    <w:p w14:paraId="74DAEB4C" w14:textId="77777777" w:rsidR="00EF6CC1" w:rsidRDefault="00EF6CC1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Ce que le caissier doit faire :</w:t>
      </w:r>
      <w:r>
        <w:rPr>
          <w:rFonts w:ascii="Calibri" w:hAnsi="Calibri" w:cs="Calibri"/>
          <w:color w:val="000000"/>
          <w:sz w:val="22"/>
          <w:szCs w:val="22"/>
        </w:rPr>
        <w:t xml:space="preserve"> saisir, dans le champ prévu, le montant qui peut être prélevé. L'écran affiche aussitôt le reliquat reporté et le montant à remettre en espèces. S'il laisse le champ vide, aucune retenue n'est faite et l'échéance est signalée « en retard ».</w:t>
      </w:r>
    </w:p>
    <w:p w14:paraId="0D81CA9C" w14:textId="77777777" w:rsidR="00EF6CC1" w:rsidRDefault="00EF6CC1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Le montant saisi ne peut jamais dépasser ni le salaire versé, ni le solde restant dû.</w:t>
      </w:r>
    </w:p>
    <w:p w14:paraId="474669DC" w14:textId="77777777" w:rsidR="00EF6CC1" w:rsidRDefault="00EF6CC1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Affichage :</w:t>
      </w:r>
      <w:r>
        <w:rPr>
          <w:rFonts w:ascii="Calibri" w:hAnsi="Calibri" w:cs="Calibri"/>
          <w:color w:val="000000"/>
          <w:sz w:val="22"/>
          <w:szCs w:val="22"/>
        </w:rPr>
        <w:t xml:space="preserve"> toute échéance prélevée partiellement apparaît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en rouge</w:t>
      </w:r>
      <w:r>
        <w:rPr>
          <w:rFonts w:ascii="Calibri" w:hAnsi="Calibri" w:cs="Calibri"/>
          <w:color w:val="000000"/>
          <w:sz w:val="22"/>
          <w:szCs w:val="22"/>
        </w:rPr>
        <w:t xml:space="preserve"> sur l'échéancier, </w:t>
      </w:r>
      <w:r>
        <w:rPr>
          <w:rFonts w:ascii="Calibri" w:hAnsi="Calibri" w:cs="Calibri"/>
          <w:color w:val="000000"/>
          <w:sz w:val="22"/>
          <w:szCs w:val="22"/>
        </w:rPr>
        <w:t>avec la mention « Partiel », afin de rester repérable jusqu'à la fin du crédit.</w:t>
      </w:r>
    </w:p>
    <w:p w14:paraId="7357F6AF" w14:textId="77777777" w:rsidR="00EF6CC1" w:rsidRDefault="00EF6CC1">
      <w:pPr>
        <w:pStyle w:val="NormalWeb"/>
        <w:spacing w:before="320" w:before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</w:rPr>
        <w:t>4. Cas particulier : reliquat en fin de crédit</w:t>
      </w:r>
    </w:p>
    <w:p w14:paraId="109F88A5" w14:textId="77777777" w:rsidR="00EF6CC1" w:rsidRDefault="00EF6CC1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Ce cas ne concerne que le mode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« répartir »</w:t>
      </w:r>
      <w:r>
        <w:rPr>
          <w:rFonts w:ascii="Calibri" w:hAnsi="Calibri" w:cs="Calibri"/>
          <w:color w:val="000000"/>
          <w:sz w:val="22"/>
          <w:szCs w:val="22"/>
        </w:rPr>
        <w:t>, où la durée est figée. Si, une fois les échéances toutes traitées, il reste malgré tout une somme due — plusieurs mois courts consécutifs, par exemple — il n'existe plus de mois sur lequel la reporter.</w:t>
      </w:r>
    </w:p>
    <w:p w14:paraId="5349D92A" w14:textId="77777777" w:rsidR="00EF6CC1" w:rsidRDefault="00EF6CC1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En mode « allonger », la situation ne se présente pas : des mois sont ajoutés autant que nécessaire.</w:t>
      </w:r>
    </w:p>
    <w:p w14:paraId="531CF513" w14:textId="77777777" w:rsidR="00EF6CC1" w:rsidRDefault="00EF6CC1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L'application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affiche alors ce reliquat de manière explicite</w:t>
      </w:r>
      <w:r>
        <w:rPr>
          <w:rFonts w:ascii="Calibri" w:hAnsi="Calibri" w:cs="Calibri"/>
          <w:color w:val="000000"/>
          <w:sz w:val="22"/>
          <w:szCs w:val="22"/>
        </w:rPr>
        <w:t xml:space="preserve"> sur l'écran Crédits, plutôt que de l'étaler silencieusement. Il revient à la Direction Administrative et Financière de décider de son recouvrement : encaissement direct auprès de l'employé, ou tout autre arrangement.</w:t>
      </w:r>
    </w:p>
    <w:p w14:paraId="18F2CB6C" w14:textId="77777777" w:rsidR="00EF6CC1" w:rsidRDefault="00EF6CC1">
      <w:pPr>
        <w:pStyle w:val="NormalWeb"/>
        <w:spacing w:before="320" w:before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</w:rPr>
        <w:t>5. Traçabilité et contrôle</w:t>
      </w:r>
    </w:p>
    <w:p w14:paraId="3572A8D4" w14:textId="77777777" w:rsidR="00EF6CC1" w:rsidRDefault="00EF6CC1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Chaque retenue donne lieu à une écriture comptable rattachée au paiement de salaire qui l'a produite. Aucune retenue ne peut être enregistrée sans trace, et l'annulation d'un paiement </w:t>
      </w:r>
      <w:r>
        <w:rPr>
          <w:rFonts w:ascii="Calibri" w:hAnsi="Calibri" w:cs="Calibri"/>
          <w:color w:val="000000"/>
          <w:sz w:val="22"/>
          <w:szCs w:val="22"/>
        </w:rPr>
        <w:t>entraîne celle de la retenue correspondante.</w:t>
      </w:r>
    </w:p>
    <w:p w14:paraId="0AC3A882" w14:textId="77777777" w:rsidR="00EF6CC1" w:rsidRDefault="00EF6CC1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Le Directeur Administratif et Financier reçoit une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notification à chaque prélèvement</w:t>
      </w:r>
      <w:r>
        <w:rPr>
          <w:rFonts w:ascii="Calibri" w:hAnsi="Calibri" w:cs="Calibri"/>
          <w:color w:val="000000"/>
          <w:sz w:val="22"/>
          <w:szCs w:val="22"/>
        </w:rPr>
        <w:t xml:space="preserve">. Cette notification est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informative</w:t>
      </w:r>
      <w:r>
        <w:rPr>
          <w:rFonts w:ascii="Calibri" w:hAnsi="Calibri" w:cs="Calibri"/>
          <w:color w:val="000000"/>
          <w:sz w:val="22"/>
          <w:szCs w:val="22"/>
        </w:rPr>
        <w:t xml:space="preserve"> : elle n'appelle aucune validation, l'autorisation ayant été donnée à l'approbation du crédit.</w:t>
      </w:r>
    </w:p>
    <w:p w14:paraId="0F242E63" w14:textId="77777777" w:rsidR="00EF6CC1" w:rsidRDefault="00EF6CC1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L'état des remboursements — montant réglé, solde restant dû, mensualités en retard — est consultable à tout moment sur l'écran Crédits et exportable au format Excel.</w:t>
      </w:r>
    </w:p>
    <w:p w14:paraId="7A14576A" w14:textId="77777777" w:rsidR="00EF6CC1" w:rsidRDefault="00EF6CC1">
      <w:pPr>
        <w:pStyle w:val="NormalWeb"/>
        <w:spacing w:before="320" w:before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</w:rPr>
        <w:t>6. Entrée en vigueur</w:t>
      </w:r>
    </w:p>
    <w:p w14:paraId="796A7A56" w14:textId="77777777" w:rsidR="00EF6CC1" w:rsidRDefault="00EF6CC1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Les présentes dispositions sont applicables à compter du ____ / ____ / 2026.</w:t>
      </w:r>
    </w:p>
    <w:p w14:paraId="04E426C3" w14:textId="77777777" w:rsidR="00EF6CC1" w:rsidRDefault="00EF6CC1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Les responsables concernés sont invités à en assurer la diffusion auprès de leurs équipes et à veiller à leur stricte application.</w:t>
      </w:r>
    </w:p>
    <w:p w14:paraId="3FAFC182" w14:textId="77777777" w:rsidR="00EF6CC1" w:rsidRDefault="00EF6CC1">
      <w:pPr>
        <w:pStyle w:val="NormalWeb"/>
        <w:spacing w:before="720" w:beforeAutospacing="0"/>
        <w:jc w:val="right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Le Directeur Administratif et Financier</w:t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br/>
        <w:t xml:space="preserve">_______________________________ </w:t>
      </w:r>
    </w:p>
    <w:sectPr w:rsidR="00EF6C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E41"/>
    <w:rsid w:val="00217CFE"/>
    <w:rsid w:val="00473E41"/>
    <w:rsid w:val="00EF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3DF8DB"/>
  <w15:chartTrackingRefBased/>
  <w15:docId w15:val="{1432B7AF-12BE-4230-8C09-F9B90809C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1076</Words>
  <Characters>5430</Characters>
  <Application>Microsoft Office Word</Application>
  <DocSecurity>0</DocSecurity>
  <Lines>109</Lines>
  <Paragraphs>53</Paragraphs>
  <ScaleCrop>false</ScaleCrop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Yannick Atse</dc:creator>
  <cp:keywords/>
  <dc:description/>
  <cp:lastModifiedBy>Yannick Atse</cp:lastModifiedBy>
  <cp:revision>3</cp:revision>
  <dcterms:created xsi:type="dcterms:W3CDTF">2026-08-06T14:11:00Z</dcterms:created>
  <dcterms:modified xsi:type="dcterms:W3CDTF">2026-08-06T14:11:00Z</dcterms:modified>
</cp:coreProperties>
</file>