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Phân tích hiện trạng công ty</w:t>
      </w:r>
    </w:p>
    <w:p w:rsidR="00000000" w:rsidDel="00000000" w:rsidP="00000000" w:rsidRDefault="00000000" w:rsidRPr="00000000" w14:paraId="00000002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Champions (19.3% khách, 55.5% doanh thu) là nhóm quan trọng nhất, mang lại hơn một nửa doanh thu dù chỉ chiếm chưa đến 1/5 khách.</w:t>
      </w:r>
    </w:p>
    <w:p w:rsidR="00000000" w:rsidDel="00000000" w:rsidP="00000000" w:rsidRDefault="00000000" w:rsidRPr="00000000" w14:paraId="00000003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Loyal (9.8%) và Potential Loyalist (9.8%) có tỉ trọng khách ổn nhưng đóng góp doanh thu thấp hơn nhiều so với Champions.</w:t>
      </w:r>
    </w:p>
    <w:p w:rsidR="00000000" w:rsidDel="00000000" w:rsidP="00000000" w:rsidRDefault="00000000" w:rsidRPr="00000000" w14:paraId="00000004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Lost customers (11.1%), Hibernating (15.6%), và At Risk (9.6%) cộng lại chiếm hơn 1/3 tổng khách hàng, nhưng hầu như không còn tạo ra doanh thu.</w:t>
      </w:r>
    </w:p>
    <w:p w:rsidR="00000000" w:rsidDel="00000000" w:rsidP="00000000" w:rsidRDefault="00000000" w:rsidRPr="00000000" w14:paraId="00000005">
      <w:pPr>
        <w:spacing w:line="360" w:lineRule="auto"/>
        <w:ind w:right="-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Gợi ý cho team Marketing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450" w:right="-63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Tăng CLV(Customer Lifetime Value) từ nhóm tốt nhất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Tập trung giữ chân Champions: Chăm sóc cá nhân hóa, thẻ thành viên VIP, ưu đãi riêng theo lịch sử chi tiêu.</w:t>
      </w:r>
    </w:p>
    <w:p w:rsidR="00000000" w:rsidDel="00000000" w:rsidP="00000000" w:rsidRDefault="00000000" w:rsidRPr="00000000" w14:paraId="00000008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Thúc đẩy nhóm Loyal → Champions, ví dụ bằng:</w:t>
      </w:r>
    </w:p>
    <w:p w:rsidR="00000000" w:rsidDel="00000000" w:rsidP="00000000" w:rsidRDefault="00000000" w:rsidRPr="00000000" w14:paraId="00000009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Ưu đãi nâng hạng.</w:t>
      </w:r>
    </w:p>
    <w:p w:rsidR="00000000" w:rsidDel="00000000" w:rsidP="00000000" w:rsidRDefault="00000000" w:rsidRPr="00000000" w14:paraId="0000000A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Gửi email nhắc nhở họ đã gần đạt mức Champion.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450" w:right="-63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Kích hoạt nhóm rủi ro và ngủ quên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Hibernating, At Risk, About to Sleep:</w:t>
      </w:r>
    </w:p>
    <w:p w:rsidR="00000000" w:rsidDel="00000000" w:rsidP="00000000" w:rsidRDefault="00000000" w:rsidRPr="00000000" w14:paraId="0000000D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Gửi thông điệp "Chúng tôi nhớ bạn", mã giảm giá quay lại.</w:t>
      </w:r>
    </w:p>
    <w:p w:rsidR="00000000" w:rsidDel="00000000" w:rsidP="00000000" w:rsidRDefault="00000000" w:rsidRPr="00000000" w14:paraId="0000000E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Cảnh báo điểm thưởng sẽ hết hạn, hoặc quà tặng cho đơn tiếp theo.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450" w:right="-63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Xử lý nhóm Lost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Nếu khả thi: chiến dịch dành riêng cho khách hàng này</w:t>
      </w:r>
    </w:p>
    <w:p w:rsidR="00000000" w:rsidDel="00000000" w:rsidP="00000000" w:rsidRDefault="00000000" w:rsidRPr="00000000" w14:paraId="00000011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Nếu không: loại khỏi target ads để tiết kiệm ngân sách</w:t>
      </w:r>
    </w:p>
    <w:p w:rsidR="00000000" w:rsidDel="00000000" w:rsidP="00000000" w:rsidRDefault="00000000" w:rsidRPr="00000000" w14:paraId="00000012">
      <w:pPr>
        <w:spacing w:line="360" w:lineRule="auto"/>
        <w:ind w:right="-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Marketing &amp; Sales nên ưu tiên chỉ số nào trong R - F - M?</w:t>
      </w:r>
    </w:p>
    <w:p w:rsidR="00000000" w:rsidDel="00000000" w:rsidP="00000000" w:rsidRDefault="00000000" w:rsidRPr="00000000" w14:paraId="00000013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udex" w:cs="Caudex" w:eastAsia="Caudex" w:hAnsi="Caudex"/>
              <w:sz w:val="28"/>
              <w:szCs w:val="28"/>
              <w:rtl w:val="0"/>
            </w:rPr>
            <w:t xml:space="preserve">- Với Marketing: nên ưu tiên Recency (R) do các nhóm "Hibernating", "At Risk", "Lost" quá lớn → cần kích hoạt lại hoặc loại bỏ</w:t>
          </w:r>
        </w:sdtContent>
      </w:sdt>
    </w:p>
    <w:p w:rsidR="00000000" w:rsidDel="00000000" w:rsidP="00000000" w:rsidRDefault="00000000" w:rsidRPr="00000000" w14:paraId="00000014">
      <w:pPr>
        <w:spacing w:line="360" w:lineRule="auto"/>
        <w:ind w:left="360" w:right="-630" w:firstLine="0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udex" w:cs="Caudex" w:eastAsia="Caudex" w:hAnsi="Caudex"/>
              <w:sz w:val="28"/>
              <w:szCs w:val="28"/>
              <w:rtl w:val="0"/>
            </w:rPr>
            <w:t xml:space="preserve">- Với Sales: nên ưu tiên Monetary (M) do doanh thu tập trung chủ yếu ở nhóm nhỏ (Champions) → cần khai thác thêm</w:t>
          </w:r>
        </w:sdtContent>
      </w:sdt>
    </w:p>
    <w:p w:rsidR="00000000" w:rsidDel="00000000" w:rsidP="00000000" w:rsidRDefault="00000000" w:rsidRPr="00000000" w14:paraId="00000015">
      <w:pPr>
        <w:spacing w:line="360" w:lineRule="auto"/>
        <w:ind w:right="-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RPfqsblqt9mdeTdF9ePX4tJ+/Q==">CgMxLjAaJAoBMBIfCh0IB0IZCg9UaW1lcyBOZXcgUm9tYW4SBkNhdWRleBokCgExEh8KHQgHQhkKD1RpbWVzIE5ldyBSb21hbhIGQ2F1ZGV4OAByITFOa1VWWGNQTUNNdUJLbDU0TFpwWlJXSkNQVWRKZDRJXw==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