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7j4ksiu8bsm" w:id="0"/>
      <w:bookmarkEnd w:id="0"/>
      <w:r w:rsidDel="00000000" w:rsidR="00000000" w:rsidRPr="00000000">
        <w:rPr>
          <w:rtl w:val="0"/>
        </w:rPr>
        <w:t xml:space="preserve">National Pan-Hellenic Council of Hudson County: Proposed 2026 Annual Budget Estimate</w:t>
      </w:r>
    </w:p>
    <w:p w:rsidR="00000000" w:rsidDel="00000000" w:rsidP="00000000" w:rsidRDefault="00000000" w:rsidRPr="00000000" w14:paraId="00000002">
      <w:pPr>
        <w:pStyle w:val="Heading5"/>
        <w:rPr/>
      </w:pPr>
      <w:bookmarkStart w:colFirst="0" w:colLast="0" w:name="_f3mp7cw1ndl7" w:id="1"/>
      <w:bookmarkEnd w:id="1"/>
      <w:r w:rsidDel="00000000" w:rsidR="00000000" w:rsidRPr="00000000">
        <w:rPr>
          <w:rtl w:val="0"/>
        </w:rPr>
        <w:t xml:space="preserve">1.0 Introduction and Strategic Financial Overview for 2026</w:t>
      </w:r>
    </w:p>
    <w:p w:rsidR="00000000" w:rsidDel="00000000" w:rsidP="00000000" w:rsidRDefault="00000000" w:rsidRPr="00000000" w14:paraId="00000003">
      <w:pPr>
        <w:rPr/>
      </w:pPr>
      <w:r w:rsidDel="00000000" w:rsidR="00000000" w:rsidRPr="00000000">
        <w:rPr>
          <w:rtl w:val="0"/>
        </w:rPr>
        <w:t xml:space="preserve">This document presents the proposed 2026 annual budget for the National Pan-Hellenic Council (NPHC) of Hudson County. It is designed to serve as a critical strategic tool for the incoming Executive Board, providing a detailed financial forecast to guide decision-making, ensure fiscal responsibility, and empower the council to fulfill its mission. The projections herein are grounded in a comprehensive analysis of the council's historical financial performance in 2025 and strategically incorporate the resource requirements for planned large-scale initiatives in 2026, most notably the inaugural "D9 Day of Advocacy" in Trenton. The primary purpose of this budget is to establish a framework for financial stability, direct fundraising priorities, and enable the successful execution of the council's programmatic goals.The methodology for this forecast involves a careful synthesis of data from multiple sources, including the 2025 year-to-date financial reports, official meeting minutes, and the operational plans of the council's various committees. By leveraging past performance as a baseline, this budget aims to set realistic yet ambitious targets for the year ahead. It must be understood that this document represents a high-level estimate, intended to facilitate proactive planning and resource allocation for the newly elected 2026 Executive Board as it begins its term.The following sections provide a detailed breakdown of all projected income sources and a thorough line-item analysis of anticipated expenses for the fiscal year.</w:t>
      </w:r>
    </w:p>
    <w:p w:rsidR="00000000" w:rsidDel="00000000" w:rsidP="00000000" w:rsidRDefault="00000000" w:rsidRPr="00000000" w14:paraId="00000004">
      <w:pPr>
        <w:pStyle w:val="Heading5"/>
        <w:rPr/>
      </w:pPr>
      <w:bookmarkStart w:colFirst="0" w:colLast="0" w:name="_roh5ervexxn7" w:id="2"/>
      <w:bookmarkEnd w:id="2"/>
      <w:r w:rsidDel="00000000" w:rsidR="00000000" w:rsidRPr="00000000">
        <w:rPr>
          <w:rtl w:val="0"/>
        </w:rPr>
        <w:t xml:space="preserve">2.0 Projected Income for Fiscal Year 2026</w:t>
      </w:r>
    </w:p>
    <w:p w:rsidR="00000000" w:rsidDel="00000000" w:rsidP="00000000" w:rsidRDefault="00000000" w:rsidRPr="00000000" w14:paraId="00000005">
      <w:pPr>
        <w:rPr/>
      </w:pPr>
      <w:r w:rsidDel="00000000" w:rsidR="00000000" w:rsidRPr="00000000">
        <w:rPr>
          <w:rtl w:val="0"/>
        </w:rPr>
        <w:t xml:space="preserve">A core component of the council's financial strategy is the cultivation of diverse and reliable income streams to support both operational needs and mission-driven programmatic activities. This section analyzes the primary revenue sources from 2025 to establish realistic and attainable income targets for 2026. By building upon past successes and identifying new opportunities for growth, this forecast provides a clear path toward funding the council's ambitious agenda.</w:t>
      </w:r>
      <w:r w:rsidDel="00000000" w:rsidR="00000000" w:rsidRPr="00000000">
        <w:rPr>
          <w:b w:val="1"/>
          <w:bCs w:val="1"/>
          <w:rtl w:val="0"/>
        </w:rPr>
        <w:t xml:space="preserve">Table 2.1: Projected 2026 Income Sources</w:t>
      </w:r>
      <w:r w:rsidDel="00000000" w:rsidR="00000000" w:rsidRPr="00000000">
        <w:rPr>
          <w:rtl w:val="0"/>
        </w:rPr>
        <w:t xml:space="preserve">  | Income Source | Basis for Projection (2025 Data) | Projected 2026 Income | | :--- | :--- | :--- | |  </w:t>
      </w:r>
      <w:r w:rsidDel="00000000" w:rsidR="00000000" w:rsidRPr="00000000">
        <w:rPr>
          <w:b w:val="1"/>
          <w:bCs w:val="1"/>
          <w:rtl w:val="0"/>
        </w:rPr>
        <w:t xml:space="preserve">Annual Membership Dues</w:t>
      </w:r>
      <w:r w:rsidDel="00000000" w:rsidR="00000000" w:rsidRPr="00000000">
        <w:rPr>
          <w:rtl w:val="0"/>
        </w:rPr>
        <w:t xml:space="preserve">  | A primary driver of operational income, as identified in the 2025 YTD Income breakdown. | $XXX (To be confirmed based on 2026 chapter roster) | |  </w:t>
      </w:r>
      <w:r w:rsidDel="00000000" w:rsidR="00000000" w:rsidRPr="00000000">
        <w:rPr>
          <w:b w:val="1"/>
          <w:bCs w:val="1"/>
          <w:rtl w:val="0"/>
        </w:rPr>
        <w:t xml:space="preserve">Annual Bowling Fundraiser</w:t>
      </w:r>
      <w:r w:rsidDel="00000000" w:rsidR="00000000" w:rsidRPr="00000000">
        <w:rPr>
          <w:rtl w:val="0"/>
        </w:rPr>
        <w:t xml:space="preserve">  | Based on the highly successful January 2025 event which generated a profit of $2,130, significantly exceeding its $1,500 goal. | $2,200 | |  </w:t>
      </w:r>
      <w:r w:rsidDel="00000000" w:rsidR="00000000" w:rsidRPr="00000000">
        <w:rPr>
          <w:b w:val="1"/>
          <w:bCs w:val="1"/>
          <w:rtl w:val="0"/>
        </w:rPr>
        <w:t xml:space="preserve">Restaurant "Dine and Donate" Events</w:t>
      </w:r>
      <w:r w:rsidDel="00000000" w:rsidR="00000000" w:rsidRPr="00000000">
        <w:rPr>
          <w:rtl w:val="0"/>
        </w:rPr>
        <w:t xml:space="preserve">  | Based on the success of the June 2025 Houlihan's event which generated $173.34. Projection assumes two similar events are held. | $350 | |  </w:t>
      </w:r>
      <w:r w:rsidDel="00000000" w:rsidR="00000000" w:rsidRPr="00000000">
        <w:rPr>
          <w:b w:val="1"/>
          <w:bCs w:val="1"/>
          <w:rtl w:val="0"/>
        </w:rPr>
        <w:t xml:space="preserve">Signature Event Fundraiser (e.g., Wine Down / 90's Brunch)</w:t>
      </w:r>
      <w:r w:rsidDel="00000000" w:rsidR="00000000" w:rsidRPr="00000000">
        <w:rPr>
          <w:rtl w:val="0"/>
        </w:rPr>
        <w:t xml:space="preserve">  | Reflects the Fundraising Committee's plan for a "Wine Down" event with proposed ticket prices of  $65-$ 70. This is a new initiative. | $1,500 | |  </w:t>
      </w:r>
      <w:r w:rsidDel="00000000" w:rsidR="00000000" w:rsidRPr="00000000">
        <w:rPr>
          <w:b w:val="1"/>
          <w:bCs w:val="1"/>
          <w:rtl w:val="0"/>
        </w:rPr>
        <w:t xml:space="preserve">Sponsorship for D9 Day of Advocacy</w:t>
      </w:r>
      <w:r w:rsidDel="00000000" w:rsidR="00000000" w:rsidRPr="00000000">
        <w:rPr>
          <w:rtl w:val="0"/>
        </w:rPr>
        <w:t xml:space="preserve">  | A new and essential income stream required to offset the significant costs of the 3-day event. To be managed by the Budget &amp; Sponsorship committee. | $X,XXX (Dependent on sponsorship outreach) | |  </w:t>
      </w:r>
      <w:r w:rsidDel="00000000" w:rsidR="00000000" w:rsidRPr="00000000">
        <w:rPr>
          <w:b w:val="1"/>
          <w:bCs w:val="1"/>
          <w:rtl w:val="0"/>
        </w:rPr>
        <w:t xml:space="preserve">Interest Payments</w:t>
      </w:r>
      <w:r w:rsidDel="00000000" w:rsidR="00000000" w:rsidRPr="00000000">
        <w:rPr>
          <w:rtl w:val="0"/>
        </w:rPr>
        <w:t xml:space="preserve">  | A recurring, though nominal, income source identified in the June 2025 financial report and account statements. | $25 |This projected income provides the foundation for the council's activities, and it must be managed carefully to cover the standard operating costs and new strategic initiatives detailed in the following sections.</w:t>
      </w:r>
    </w:p>
    <w:p w:rsidR="00000000" w:rsidDel="00000000" w:rsidP="00000000" w:rsidRDefault="00000000" w:rsidRPr="00000000" w14:paraId="00000006">
      <w:pPr>
        <w:pStyle w:val="Heading5"/>
        <w:rPr/>
      </w:pPr>
      <w:bookmarkStart w:colFirst="0" w:colLast="0" w:name="_7d5pg9mikm08" w:id="3"/>
      <w:bookmarkEnd w:id="3"/>
      <w:r w:rsidDel="00000000" w:rsidR="00000000" w:rsidRPr="00000000">
        <w:rPr>
          <w:rtl w:val="0"/>
        </w:rPr>
        <w:t xml:space="preserve">3.0 Projected Operating &amp; Administrative Expenses for 2026</w:t>
      </w:r>
    </w:p>
    <w:p w:rsidR="00000000" w:rsidDel="00000000" w:rsidP="00000000" w:rsidRDefault="00000000" w:rsidRPr="00000000" w14:paraId="00000007">
      <w:pPr>
        <w:rPr/>
      </w:pPr>
      <w:r w:rsidDel="00000000" w:rsidR="00000000" w:rsidRPr="00000000">
        <w:rPr>
          <w:rtl w:val="0"/>
        </w:rPr>
        <w:t xml:space="preserve">Operating and administrative expenses represent the necessary, recurring costs required to maintain the council's core functions, ensure compliance, and support effective communication. Managing these foundational costs prudently is fundamental to the long-term financial health of the organization and enables the allocation of greater resources toward impactful programming. This section outlines the essential administrative expenditures projected for 2026.</w:t>
      </w:r>
      <w:r w:rsidDel="00000000" w:rsidR="00000000" w:rsidRPr="00000000">
        <w:rPr>
          <w:b w:val="1"/>
          <w:bCs w:val="1"/>
          <w:rtl w:val="0"/>
        </w:rPr>
        <w:t xml:space="preserve">Table 3.1: Projected 2026 Operating Expenses</w:t>
      </w:r>
      <w:r w:rsidDel="00000000" w:rsidR="00000000" w:rsidRPr="00000000">
        <w:rPr>
          <w:rtl w:val="0"/>
        </w:rPr>
        <w:t xml:space="preserve">  | Expense Category | Basis for Projection (2025 Data) | Projected 2026 Cost | | :--- | :--- | :--- | |  </w:t>
      </w:r>
      <w:r w:rsidDel="00000000" w:rsidR="00000000" w:rsidRPr="00000000">
        <w:rPr>
          <w:b w:val="1"/>
          <w:bCs w:val="1"/>
          <w:rtl w:val="0"/>
        </w:rPr>
        <w:t xml:space="preserve">Technology &amp; Communications (Google Workspace)</w:t>
      </w:r>
      <w:r w:rsidDel="00000000" w:rsidR="00000000" w:rsidRPr="00000000">
        <w:rPr>
          <w:rtl w:val="0"/>
        </w:rPr>
        <w:t xml:space="preserve">  | Based on the 2025 transition from Zoom to Google Workspace, with a stated annual cost of $99. | $100 | |  </w:t>
      </w:r>
      <w:r w:rsidDel="00000000" w:rsidR="00000000" w:rsidRPr="00000000">
        <w:rPr>
          <w:b w:val="1"/>
          <w:bCs w:val="1"/>
          <w:rtl w:val="0"/>
        </w:rPr>
        <w:t xml:space="preserve">National/Regional Dues (NPHC HQ Fees)</w:t>
      </w:r>
      <w:r w:rsidDel="00000000" w:rsidR="00000000" w:rsidRPr="00000000">
        <w:rPr>
          <w:rtl w:val="0"/>
        </w:rPr>
        <w:t xml:space="preserve">  | A significant, recurring annual expenditure as listed in the June 2025 expense report. | $XXX (To be confirmed with NPHC HQ) | |  </w:t>
      </w:r>
      <w:r w:rsidDel="00000000" w:rsidR="00000000" w:rsidRPr="00000000">
        <w:rPr>
          <w:b w:val="1"/>
          <w:bCs w:val="1"/>
          <w:rtl w:val="0"/>
        </w:rPr>
        <w:t xml:space="preserve">Banking &amp; Financial Fees</w:t>
      </w:r>
      <w:r w:rsidDel="00000000" w:rsidR="00000000" w:rsidRPr="00000000">
        <w:rPr>
          <w:rtl w:val="0"/>
        </w:rPr>
        <w:t xml:space="preserve">  | A nominal contingency based on the April 2025 meeting discussion regarding potential fees on standard bank accounts. |  $50 |$$| </w:t>
      </w:r>
      <w:r w:rsidDel="00000000" w:rsidR="00000000" w:rsidRPr="00000000">
        <w:rPr>
          <w:b w:val="1"/>
          <w:bCs w:val="1"/>
          <w:rtl w:val="0"/>
        </w:rPr>
        <w:t xml:space="preserve">Fundraising Event Prize</w:t>
      </w:r>
      <w:r w:rsidDel="00000000" w:rsidR="00000000" w:rsidRPr="00000000">
        <w:rPr>
          <w:rtl w:val="0"/>
        </w:rPr>
        <w:t xml:space="preserve"> | Based on the "NPHC Madness Scratchoff" plan from 2025, which included a "$ 100 gift certificate" as a prize. | $100 |These foundational costs are essential for the council's infrastructure and must be prioritized before allocating funds to the larger programmatic and event-based expenses outlined below.</w:t>
      </w:r>
    </w:p>
    <w:p w:rsidR="00000000" w:rsidDel="00000000" w:rsidP="00000000" w:rsidRDefault="00000000" w:rsidRPr="00000000" w14:paraId="00000008">
      <w:pPr>
        <w:pStyle w:val="Heading5"/>
        <w:rPr/>
      </w:pPr>
      <w:bookmarkStart w:colFirst="0" w:colLast="0" w:name="_n1q8hm7vh0m2" w:id="4"/>
      <w:bookmarkEnd w:id="4"/>
      <w:r w:rsidDel="00000000" w:rsidR="00000000" w:rsidRPr="00000000">
        <w:rPr>
          <w:rtl w:val="0"/>
        </w:rPr>
        <w:t xml:space="preserve">4.0 Projected Programmatic &amp; Major Event Expenses for 2026</w:t>
      </w:r>
    </w:p>
    <w:p w:rsidR="00000000" w:rsidDel="00000000" w:rsidP="00000000" w:rsidRDefault="00000000" w:rsidRPr="00000000" w14:paraId="00000009">
      <w:pPr>
        <w:rPr/>
      </w:pPr>
      <w:r w:rsidDel="00000000" w:rsidR="00000000" w:rsidRPr="00000000">
        <w:rPr>
          <w:rtl w:val="0"/>
        </w:rPr>
        <w:t xml:space="preserve">Programmatic and event expenses constitute the council's direct investment in its mission of community service, advocacy, and member engagement. These expenditures translate our strategic goals into tangible action. This section outlines the estimated costs for both recurring annual programs that strengthen our community ties and the significant new "D9 Day of Advocacy" event, which represents a major step forward in the council's public influence.</w:t>
      </w:r>
    </w:p>
    <w:p w:rsidR="00000000" w:rsidDel="00000000" w:rsidP="00000000" w:rsidRDefault="00000000" w:rsidRPr="00000000" w14:paraId="0000000A">
      <w:pPr>
        <w:pStyle w:val="Heading6"/>
        <w:rPr/>
      </w:pPr>
      <w:bookmarkStart w:colFirst="0" w:colLast="0" w:name="_3ecewx9dlxbk" w:id="5"/>
      <w:bookmarkEnd w:id="5"/>
      <w:r w:rsidDel="00000000" w:rsidR="00000000" w:rsidRPr="00000000">
        <w:rPr>
          <w:rtl w:val="0"/>
        </w:rPr>
        <w:t xml:space="preserve">4.1. Annual Community Service &amp; Member Engagement Initiatives</w:t>
      </w:r>
    </w:p>
    <w:p w:rsidR="00000000" w:rsidDel="00000000" w:rsidP="00000000" w:rsidRDefault="00000000" w:rsidRPr="00000000" w14:paraId="0000000B">
      <w:pPr>
        <w:rPr/>
      </w:pPr>
      <w:r w:rsidDel="00000000" w:rsidR="00000000" w:rsidRPr="00000000">
        <w:rPr>
          <w:rtl w:val="0"/>
        </w:rPr>
        <w:t xml:space="preserve">These initiatives are the cornerstone of the council's local impact, fostering goodwill and providing direct support to the Hudson County community. The following budget allocates resources to continue these successful and highly valued programs.</w:t>
      </w:r>
      <w:r w:rsidDel="00000000" w:rsidR="00000000" w:rsidRPr="00000000">
        <w:rPr>
          <w:b w:val="1"/>
          <w:bCs w:val="1"/>
          <w:rtl w:val="0"/>
        </w:rPr>
        <w:t xml:space="preserve">Table 4.1: Estimated 2026 Program Expenses</w:t>
      </w:r>
      <w:r w:rsidDel="00000000" w:rsidR="00000000" w:rsidRPr="00000000">
        <w:rPr>
          <w:rtl w:val="0"/>
        </w:rPr>
        <w:t xml:space="preserve">  | Program/Event | Description &amp; Basis | Projected 2026 Cost | | :--- | :--- | :--- | |  </w:t>
      </w:r>
      <w:r w:rsidDel="00000000" w:rsidR="00000000" w:rsidRPr="00000000">
        <w:rPr>
          <w:b w:val="1"/>
          <w:bCs w:val="1"/>
          <w:rtl w:val="0"/>
        </w:rPr>
        <w:t xml:space="preserve">MLK Day of Service (Soup &amp; Socks)</w:t>
      </w:r>
      <w:r w:rsidDel="00000000" w:rsidR="00000000" w:rsidRPr="00000000">
        <w:rPr>
          <w:rtl w:val="0"/>
        </w:rPr>
        <w:t xml:space="preserve">  | A recurring signature event. Costs are primarily for coordination and logistical supplies, as most items are donated (1,444 soup cans and 1,524 sock pairs were collected in 2025). | $150 | |  </w:t>
      </w:r>
      <w:r w:rsidDel="00000000" w:rsidR="00000000" w:rsidRPr="00000000">
        <w:rPr>
          <w:b w:val="1"/>
          <w:bCs w:val="1"/>
          <w:rtl w:val="0"/>
        </w:rPr>
        <w:t xml:space="preserve">Spring Cereal Drive</w:t>
      </w:r>
      <w:r w:rsidDel="00000000" w:rsidR="00000000" w:rsidRPr="00000000">
        <w:rPr>
          <w:rtl w:val="0"/>
        </w:rPr>
        <w:t xml:space="preserve">  | The council's signature spring service project. Similar to the MLK event, costs are minimal as the food items are donated. This budget covers marketing and collection supplies. | $100 | |  </w:t>
      </w:r>
      <w:r w:rsidDel="00000000" w:rsidR="00000000" w:rsidRPr="00000000">
        <w:rPr>
          <w:b w:val="1"/>
          <w:bCs w:val="1"/>
          <w:rtl w:val="0"/>
        </w:rPr>
        <w:t xml:space="preserve">Annual Summer BBQ</w:t>
      </w:r>
      <w:r w:rsidDel="00000000" w:rsidR="00000000" w:rsidRPr="00000000">
        <w:rPr>
          <w:rtl w:val="0"/>
        </w:rPr>
        <w:t xml:space="preserve">  | Based on discussion in the November 2025 meeting to plan a BBQ at Liberty State Park. The projected cost covers permits, food, and supplies, and may be partially offset by ticket sales. | $500 | |  </w:t>
      </w:r>
      <w:r w:rsidDel="00000000" w:rsidR="00000000" w:rsidRPr="00000000">
        <w:rPr>
          <w:b w:val="1"/>
          <w:bCs w:val="1"/>
          <w:rtl w:val="0"/>
        </w:rPr>
        <w:t xml:space="preserve">Member Socials (e.g., Happy Hour)</w:t>
      </w:r>
      <w:r w:rsidDel="00000000" w:rsidR="00000000" w:rsidRPr="00000000">
        <w:rPr>
          <w:rtl w:val="0"/>
        </w:rPr>
        <w:t xml:space="preserve">  | Reflects plans from the November 2025 meeting for an NPHC Happy Hour and a January 2025 discussion of a "no charge" social. This budget is for one subsidized member appreciation event. | $300 |</w:t>
      </w:r>
    </w:p>
    <w:p w:rsidR="00000000" w:rsidDel="00000000" w:rsidP="00000000" w:rsidRDefault="00000000" w:rsidRPr="00000000" w14:paraId="0000000C">
      <w:pPr>
        <w:pStyle w:val="Heading6"/>
        <w:rPr/>
      </w:pPr>
      <w:bookmarkStart w:colFirst="0" w:colLast="0" w:name="_oft8rjdvrcrw" w:id="6"/>
      <w:bookmarkEnd w:id="6"/>
      <w:r w:rsidDel="00000000" w:rsidR="00000000" w:rsidRPr="00000000">
        <w:rPr>
          <w:rtl w:val="0"/>
        </w:rPr>
        <w:t xml:space="preserve">4.2. Major Initiative: D9 Day of Advocacy in Trenton</w:t>
      </w:r>
    </w:p>
    <w:p w:rsidR="00000000" w:rsidDel="00000000" w:rsidP="00000000" w:rsidRDefault="00000000" w:rsidRPr="00000000" w14:paraId="0000000D">
      <w:pPr>
        <w:rPr/>
      </w:pPr>
      <w:r w:rsidDel="00000000" w:rsidR="00000000" w:rsidRPr="00000000">
        <w:rPr>
          <w:rtl w:val="0"/>
        </w:rPr>
        <w:t xml:space="preserve">The "D9 Day of Advocacy" is a significant strategic undertaking that will require substantial financial investment and meticulous planning. The following cost estimates are based on the responsibilities assigned to the event's various committees. These figures represent the initial, foundational costs that must be covered by a combination of participant registration fees and a robust sponsorship campaign to ensure the event's success.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Gala &amp; Awards Committee:</w:t>
      </w:r>
      <w:r w:rsidDel="00000000" w:rsidR="00000000" w:rsidRPr="00000000">
        <w:rPr>
          <w:rtl w:val="0"/>
        </w:rPr>
        <w:t xml:space="preserve">  Responsible for the initial venue deposit and the cost of physical awards for honorees.  </w:t>
      </w:r>
      <w:r w:rsidDel="00000000" w:rsidR="00000000" w:rsidRPr="00000000">
        <w:rPr>
          <w:b w:val="1"/>
          <w:bCs w:val="1"/>
          <w:rtl w:val="0"/>
        </w:rPr>
        <w:t xml:space="preserve">Estimated Subtotal: $1,500</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Registration Committee:</w:t>
      </w:r>
      <w:r w:rsidDel="00000000" w:rsidR="00000000" w:rsidRPr="00000000">
        <w:rPr>
          <w:rtl w:val="0"/>
        </w:rPr>
        <w:t xml:space="preserve">  Costs will include the printing of name tags, arm bands for meal access, and essential directional signage.  </w:t>
      </w:r>
      <w:r w:rsidDel="00000000" w:rsidR="00000000" w:rsidRPr="00000000">
        <w:rPr>
          <w:b w:val="1"/>
          <w:bCs w:val="1"/>
          <w:rtl w:val="0"/>
        </w:rPr>
        <w:t xml:space="preserve">Estimated Subtotal: $400</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Marketing and Branding Committee:</w:t>
      </w:r>
      <w:r w:rsidDel="00000000" w:rsidR="00000000" w:rsidRPr="00000000">
        <w:rPr>
          <w:rtl w:val="0"/>
        </w:rPr>
        <w:t xml:space="preserve">  Expenses are allocated for the printing of physical programs, informational postcards, letters for calls to action, and other promotional materials.  </w:t>
      </w:r>
      <w:r w:rsidDel="00000000" w:rsidR="00000000" w:rsidRPr="00000000">
        <w:rPr>
          <w:b w:val="1"/>
          <w:bCs w:val="1"/>
          <w:rtl w:val="0"/>
        </w:rPr>
        <w:t xml:space="preserve">Estimated Subtotal: $750</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Workshop Committee:</w:t>
      </w:r>
      <w:r w:rsidDel="00000000" w:rsidR="00000000" w:rsidRPr="00000000">
        <w:rPr>
          <w:rtl w:val="0"/>
        </w:rPr>
        <w:t xml:space="preserve">  Budgeted for speaker appreciation gifts or the creation of official certificates of appreciation.  </w:t>
      </w:r>
      <w:r w:rsidDel="00000000" w:rsidR="00000000" w:rsidRPr="00000000">
        <w:rPr>
          <w:b w:val="1"/>
          <w:bCs w:val="1"/>
          <w:rtl w:val="0"/>
        </w:rPr>
        <w:t xml:space="preserve">Estimated Subtotal: $300</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Logistics Committee:</w:t>
      </w:r>
      <w:r w:rsidDel="00000000" w:rsidR="00000000" w:rsidRPr="00000000">
        <w:rPr>
          <w:rtl w:val="0"/>
        </w:rPr>
        <w:t xml:space="preserve">  Covers the purchase of a small first aid kit (including Tylenol, Advil, Benadryl) and miscellaneous supplies for on-site coordination.  </w:t>
      </w:r>
      <w:r w:rsidDel="00000000" w:rsidR="00000000" w:rsidRPr="00000000">
        <w:rPr>
          <w:b w:val="1"/>
          <w:bCs w:val="1"/>
          <w:rtl w:val="0"/>
        </w:rPr>
        <w:t xml:space="preserve">Estimated Subtotal: $150</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Food Committee:</w:t>
      </w:r>
      <w:r w:rsidDel="00000000" w:rsidR="00000000" w:rsidRPr="00000000">
        <w:rPr>
          <w:rtl w:val="0"/>
        </w:rPr>
        <w:t xml:space="preserve">  This estimate covers the initial deposit required for securing catering services for breakfast and lunch on Day 1 and Day 2 of the event.  </w:t>
      </w:r>
      <w:r w:rsidDel="00000000" w:rsidR="00000000" w:rsidRPr="00000000">
        <w:rPr>
          <w:b w:val="1"/>
          <w:bCs w:val="1"/>
          <w:rtl w:val="0"/>
        </w:rPr>
        <w:t xml:space="preserve">Estimated Subtotal: $1,000</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Audio/Visual Committee:</w:t>
      </w:r>
      <w:r w:rsidDel="00000000" w:rsidR="00000000" w:rsidRPr="00000000">
        <w:rPr>
          <w:rtl w:val="0"/>
        </w:rPr>
        <w:t xml:space="preserve">  A contingency fund for supplementing the venue's available A/V resources or for any necessary equipment rental.  </w:t>
      </w:r>
      <w:r w:rsidDel="00000000" w:rsidR="00000000" w:rsidRPr="00000000">
        <w:rPr>
          <w:b w:val="1"/>
          <w:bCs w:val="1"/>
          <w:rtl w:val="0"/>
        </w:rPr>
        <w:t xml:space="preserve">Estimated Subtotal: $400</w:t>
      </w:r>
      <w:r w:rsidDel="00000000" w:rsidR="00000000" w:rsidRPr="00000000">
        <w:rPr>
          <w:rtl w:val="0"/>
        </w:rPr>
        <w:t xml:space="preserve">With a projected cost of  </w:t>
      </w:r>
      <w:r w:rsidDel="00000000" w:rsidR="00000000" w:rsidRPr="00000000">
        <w:rPr>
          <w:b w:val="1"/>
          <w:bCs w:val="1"/>
          <w:rtl w:val="0"/>
        </w:rPr>
        <w:t xml:space="preserve">$4,500</w:t>
      </w:r>
      <w:r w:rsidDel="00000000" w:rsidR="00000000" w:rsidRPr="00000000">
        <w:rPr>
          <w:rtl w:val="0"/>
        </w:rPr>
        <w:t xml:space="preserve"> , this single initiative accounts for nearly 78% of the total projected expenses, underscoring the critical need for a successful and dedicated sponsorship campaign.</w:t>
      </w:r>
    </w:p>
    <w:p w:rsidR="00000000" w:rsidDel="00000000" w:rsidP="00000000" w:rsidRDefault="00000000" w:rsidRPr="00000000" w14:paraId="00000015">
      <w:pPr>
        <w:pStyle w:val="Heading5"/>
        <w:rPr/>
      </w:pPr>
      <w:bookmarkStart w:colFirst="0" w:colLast="0" w:name="_j7bkhpqiqtgy" w:id="7"/>
      <w:bookmarkEnd w:id="7"/>
      <w:r w:rsidDel="00000000" w:rsidR="00000000" w:rsidRPr="00000000">
        <w:rPr>
          <w:rtl w:val="0"/>
        </w:rPr>
        <w:t xml:space="preserve">5.0 2026 Budget Summary and Strategic Recommendations</w:t>
      </w:r>
    </w:p>
    <w:p w:rsidR="00000000" w:rsidDel="00000000" w:rsidP="00000000" w:rsidRDefault="00000000" w:rsidRPr="00000000" w14:paraId="00000016">
      <w:pPr>
        <w:rPr/>
      </w:pPr>
      <w:r w:rsidDel="00000000" w:rsidR="00000000" w:rsidRPr="00000000">
        <w:rPr>
          <w:rtl w:val="0"/>
        </w:rPr>
        <w:t xml:space="preserve">This final section synthesizes the projected income and expense data to provide a consolidated overview of the NPHC of Hudson County's estimated financial position for 2026. Based on this comprehensive analysis, we offer key strategic recommendations to guide the Executive Board in ensuring a financially sound, successful, and impactful year for the council and the community it serves.</w:t>
      </w:r>
      <w:r w:rsidDel="00000000" w:rsidR="00000000" w:rsidRPr="00000000">
        <w:rPr>
          <w:b w:val="1"/>
          <w:bCs w:val="1"/>
          <w:rtl w:val="0"/>
        </w:rPr>
        <w:t xml:space="preserve">Table 5.1: 2026 Estimated Budget Summary</w:t>
      </w:r>
      <w:r w:rsidDel="00000000" w:rsidR="00000000" w:rsidRPr="00000000">
        <w:rPr>
          <w:rtl w:val="0"/>
        </w:rPr>
        <w:t xml:space="preserve">|  |  || ------ | ------ || </w:t>
      </w:r>
      <w:r w:rsidDel="00000000" w:rsidR="00000000" w:rsidRPr="00000000">
        <w:rPr>
          <w:b w:val="1"/>
          <w:bCs w:val="1"/>
          <w:rtl w:val="0"/>
        </w:rPr>
        <w:t xml:space="preserve">Opening Balance (Est. from Nov 2025)</w:t>
      </w:r>
      <w:r w:rsidDel="00000000" w:rsidR="00000000" w:rsidRPr="00000000">
        <w:rPr>
          <w:rtl w:val="0"/>
        </w:rPr>
        <w:t xml:space="preserve"> | </w:t>
      </w:r>
      <w:r w:rsidDel="00000000" w:rsidR="00000000" w:rsidRPr="00000000">
        <w:rPr>
          <w:b w:val="1"/>
          <w:bCs w:val="1"/>
          <w:rtl w:val="0"/>
        </w:rPr>
        <w:t xml:space="preserve">$7,842.64</w:t>
      </w:r>
      <w:r w:rsidDel="00000000" w:rsidR="00000000" w:rsidRPr="00000000">
        <w:rPr>
          <w:rtl w:val="0"/>
        </w:rPr>
        <w:t xml:space="preserve"> || </w:t>
      </w:r>
      <w:r w:rsidDel="00000000" w:rsidR="00000000" w:rsidRPr="00000000">
        <w:rPr>
          <w:b w:val="1"/>
          <w:bCs w:val="1"/>
          <w:rtl w:val="0"/>
        </w:rPr>
        <w:t xml:space="preserve">Total Projected Income</w:t>
      </w:r>
      <w:r w:rsidDel="00000000" w:rsidR="00000000" w:rsidRPr="00000000">
        <w:rPr>
          <w:rtl w:val="0"/>
        </w:rPr>
        <w:t xml:space="preserve"> | </w:t>
      </w:r>
      <w:r w:rsidDel="00000000" w:rsidR="00000000" w:rsidRPr="00000000">
        <w:rPr>
          <w:b w:val="1"/>
          <w:bCs w:val="1"/>
          <w:rtl w:val="0"/>
        </w:rPr>
        <w:t xml:space="preserve">$4,075.00</w:t>
      </w:r>
      <w:r w:rsidDel="00000000" w:rsidR="00000000" w:rsidRPr="00000000">
        <w:rPr>
          <w:rtl w:val="0"/>
        </w:rPr>
        <w:t xml:space="preserve"> || </w:t>
      </w:r>
      <w:r w:rsidDel="00000000" w:rsidR="00000000" w:rsidRPr="00000000">
        <w:rPr>
          <w:b w:val="1"/>
          <w:bCs w:val="1"/>
          <w:rtl w:val="0"/>
        </w:rPr>
        <w:t xml:space="preserve">Total Projected Expenses</w:t>
      </w:r>
      <w:r w:rsidDel="00000000" w:rsidR="00000000" w:rsidRPr="00000000">
        <w:rPr>
          <w:rtl w:val="0"/>
        </w:rPr>
        <w:t xml:space="preserve"> | </w:t>
      </w:r>
      <w:r w:rsidDel="00000000" w:rsidR="00000000" w:rsidRPr="00000000">
        <w:rPr>
          <w:b w:val="1"/>
          <w:bCs w:val="1"/>
          <w:rtl w:val="0"/>
        </w:rPr>
        <w:t xml:space="preserve">($5,800.00)</w:t>
      </w:r>
      <w:r w:rsidDel="00000000" w:rsidR="00000000" w:rsidRPr="00000000">
        <w:rPr>
          <w:rtl w:val="0"/>
        </w:rPr>
        <w:t xml:space="preserve"> || </w:t>
      </w:r>
      <w:r w:rsidDel="00000000" w:rsidR="00000000" w:rsidRPr="00000000">
        <w:rPr>
          <w:b w:val="1"/>
          <w:bCs w:val="1"/>
          <w:rtl w:val="0"/>
        </w:rPr>
        <w:t xml:space="preserve">Projected Net Surplus/(Deficit)</w:t>
      </w:r>
      <w:r w:rsidDel="00000000" w:rsidR="00000000" w:rsidRPr="00000000">
        <w:rPr>
          <w:rtl w:val="0"/>
        </w:rPr>
        <w:t xml:space="preserve"> | </w:t>
      </w:r>
      <w:r w:rsidDel="00000000" w:rsidR="00000000" w:rsidRPr="00000000">
        <w:rPr>
          <w:b w:val="1"/>
          <w:bCs w:val="1"/>
          <w:rtl w:val="0"/>
        </w:rPr>
        <w:t xml:space="preserve">($1,725.00)</w:t>
      </w:r>
      <w:r w:rsidDel="00000000" w:rsidR="00000000" w:rsidRPr="00000000">
        <w:rPr>
          <w:rtl w:val="0"/>
        </w:rPr>
        <w:t xml:space="preserve"> || </w:t>
      </w:r>
      <w:r w:rsidDel="00000000" w:rsidR="00000000" w:rsidRPr="00000000">
        <w:rPr>
          <w:b w:val="1"/>
          <w:bCs w:val="1"/>
          <w:rtl w:val="0"/>
        </w:rPr>
        <w:t xml:space="preserve">Projected 2026 Closing Balance</w:t>
      </w:r>
      <w:r w:rsidDel="00000000" w:rsidR="00000000" w:rsidRPr="00000000">
        <w:rPr>
          <w:rtl w:val="0"/>
        </w:rPr>
        <w:t xml:space="preserve"> | </w:t>
      </w:r>
      <w:r w:rsidDel="00000000" w:rsidR="00000000" w:rsidRPr="00000000">
        <w:rPr>
          <w:b w:val="1"/>
          <w:bCs w:val="1"/>
          <w:rtl w:val="0"/>
        </w:rPr>
        <w:t xml:space="preserve">$6,117.64</w:t>
      </w:r>
      <w:r w:rsidDel="00000000" w:rsidR="00000000" w:rsidRPr="00000000">
        <w:rPr>
          <w:rtl w:val="0"/>
        </w:rPr>
        <w:t xml:space="preserve"> |</w:t>
      </w:r>
    </w:p>
    <w:p w:rsidR="00000000" w:rsidDel="00000000" w:rsidP="00000000" w:rsidRDefault="00000000" w:rsidRPr="00000000" w14:paraId="00000017">
      <w:pPr>
        <w:rPr>
          <w:b w:val="1"/>
          <w:bCs w:val="1"/>
        </w:rPr>
      </w:pPr>
      <w:r w:rsidDel="00000000" w:rsidR="00000000" w:rsidRPr="00000000">
        <w:rPr>
          <w:b w:val="1"/>
          <w:bCs w:val="1"/>
          <w:rtl w:val="0"/>
        </w:rPr>
        <w:t xml:space="preserve">Key Strategic Recommendations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Prioritize Sponsorship for D9 Day of Advocacy:</w:t>
      </w:r>
      <w:r w:rsidDel="00000000" w:rsidR="00000000" w:rsidRPr="00000000">
        <w:rPr>
          <w:rtl w:val="0"/>
        </w:rPr>
        <w:t xml:space="preserve">  The analysis reveals that the estimated costs for the D9 Day of Advocacy ( $4,500) exceed the total projected income from all other 2026 fundraising activities combined ($ 4,075). Therefore, the success of this major initiative is critically dependent on the Budget &amp; Sponsorship Committee securing significant corporate and community funding. This must be the council's top financial priority.</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Establish Formal Fundraising Goals:</w:t>
      </w:r>
      <w:r w:rsidDel="00000000" w:rsidR="00000000" w:rsidRPr="00000000">
        <w:rPr>
          <w:rtl w:val="0"/>
        </w:rPr>
        <w:t xml:space="preserve">  To address the projected operating deficit of $1,725 (before factoring in membership dues and national fees), it is recommended that the Fundraising Committee use this budget to establish clear, metric-driven financial goals for each planned 2026 initiative. This will create accountability and focus efforts on maximizing revenue.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Appoint a Treasurer Immediately:</w:t>
      </w:r>
      <w:r w:rsidDel="00000000" w:rsidR="00000000" w:rsidRPr="00000000">
        <w:rPr>
          <w:rtl w:val="0"/>
        </w:rPr>
        <w:t xml:space="preserve">  The November 2025 meeting minutes indicate that the Treasurer position is open and must be appointed in January. Given the financial complexity and ambition of the 2026 plan, filling this critical role with a qualified individual is imperative for proper financial oversight, reporting, and management.</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Confirm Variable Costs Early:</w:t>
      </w:r>
      <w:r w:rsidDel="00000000" w:rsidR="00000000" w:rsidRPr="00000000">
        <w:rPr>
          <w:rtl w:val="0"/>
        </w:rPr>
        <w:t xml:space="preserve">  The new Executive Board should prioritize confirming all placeholder amounts, particularly the cost of National/Regional Dues with NPHC Headquarters, early in the first quarter. This action will allow for a swift refinement of the budget's accuracy and provide a clearer picture of the council's financial obligations for the year.</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