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color w:val="002060"/>
          <w:sz w:val="32"/>
        </w:rPr>
        <w:t>PSO-TCWavKAN: A Swarm-Optimized Temporal Convolutional Wavelet Kolmogorov-Arnold Network with Multi-Kernel Trend Decomposition and Asymptotic Linear Structural Recovery for Resilient Power Transformer Thermal Dynamics Forecasting</w:t>
      </w:r>
    </w:p>
    <w:p>
      <w:pPr>
        <w:spacing w:before="0" w:after="80"/>
        <w:jc w:val="center"/>
      </w:pPr>
      <w:r>
        <w:rPr>
          <w:rFonts w:ascii="Times New Roman" w:hAnsi="Times New Roman"/>
          <w:b/>
          <w:sz w:val="24"/>
        </w:rPr>
        <w:t>Nguyen Phu Toan</w:t>
      </w:r>
    </w:p>
    <w:p>
      <w:pPr>
        <w:spacing w:before="0" w:after="80"/>
        <w:jc w:val="center"/>
      </w:pPr>
      <w:r>
        <w:rPr>
          <w:rFonts w:ascii="Times New Roman" w:hAnsi="Times New Roman"/>
          <w:i/>
          <w:sz w:val="20"/>
        </w:rPr>
        <w:t>Department of Information Technology, Hanoi University of Business and Technology, 29A, Lane 124 Vinh Tuy Street, Vinh Tuy Ward, Hai Ba Trung District, Hanoi, Vietnam</w:t>
      </w:r>
    </w:p>
    <w:p>
      <w:pPr>
        <w:spacing w:before="0" w:after="320"/>
        <w:jc w:val="center"/>
      </w:pPr>
      <w:r>
        <w:rPr>
          <w:rFonts w:ascii="Times New Roman" w:hAnsi="Times New Roman"/>
          <w:sz w:val="20"/>
        </w:rPr>
        <w:t>Corresponding author: Nguyen Phu Toan (Email: nphu211206@gmail.com | ORCID: 0009-0005-0529-2131)</w:t>
      </w:r>
    </w:p>
    <w:p>
      <w:pPr>
        <w:keepNext/>
        <w:spacing w:before="280" w:after="120"/>
      </w:pPr>
      <w:r>
        <w:rPr>
          <w:rFonts w:ascii="Times New Roman" w:hAnsi="Times New Roman"/>
          <w:b/>
          <w:color w:val="002060"/>
          <w:sz w:val="26"/>
        </w:rPr>
        <w:t>Abstract</w:t>
      </w:r>
    </w:p>
    <w:p>
      <w:pPr>
        <w:spacing w:before="0" w:after="120" w:line="276" w:lineRule="auto"/>
        <w:jc w:val="both"/>
      </w:pPr>
      <w:r>
        <w:rPr>
          <w:rFonts w:ascii="Times New Roman" w:hAnsi="Times New Roman"/>
          <w:sz w:val="22"/>
        </w:rPr>
        <w:t>Forecasting the thermal dynamics of high-voltage power transformers is critical for predictive maintenance, dynamic thermal rating, and catastrophic failure prevention. Kolmogorov-Arnold Networks (KANs) offer expressive functional representation but suffer from training instability caused by dynamic B-spline grid adaptations—the Grid Update Dilemma—and performance deficits over extended multi-step horizons relative to linear models. To address these limitations, this paper proposes PSO-TCWavKAN, a unified deep architecture integrating continuous dyadic Morlet wavelet filter banks with multi-kernel trend-seasonal decomposition and a parameterized neural routing gate. The routing gate provides an asymptotic linear structural recovery property (Proposition 1), ensuring the hypothesis space contains a linear subspace structurally equivalent to a RevIN-normalized linear projection when non-linear representations fail to reduce empirical training risk. A Comprehensive Learning Particle Swarm Optimizer (CLPSO) with constriction factor χ = 0.7298 performs global hyperparameter warm-start across a bounded 4-D search space, followed by AdamW fine-tuning and Stochastic Weight Averaging. Empirical validation across 16 canonical ETT benchmark configurations demonstrates that PSO-TCWavKAN dominates 7 of 8 horizons on the volatile ETTh2 dataset, achieving up to 13.6% MSE reduction over DLinear, with directional improvement over NLinear (two-sided Wilcoxon uncorrected p = 0.0443; Holm-corrected p = 0.133 across 3 baseline tests) and competitive parity with PatchTST Lite (p = 0.0934) and DLinear (p = 0.274). An 80-cell ablation campaign confirms that within the standard operational forecasting regime (H ≤ 336), every module omission degrades performance (+1.63% to +4.62% Mean MSE), while revealing long-horizon boundary vulnerability at H = 720. Under 30% Gaussian noise perturbation, error growth remains within 1.4%–13.0% for standard operational horizons (H≤336), while the long-horizon stress case (H=720) exhibits 139.6% MSE degradation, reflecting known instability at ultra-long-range forecasting. Robust generalization is demonstrated within operational forecast windows. With 44.8 K parameters in the base configuration and 3.4 ms inference latency, PSO-TCWavKAN provides a mathematically grounded and deployable solution for substation telemetry forecasting.</w:t>
      </w:r>
    </w:p>
    <w:p>
      <w:pPr>
        <w:spacing w:before="120" w:after="240"/>
      </w:pPr>
      <w:r>
        <w:rPr>
          <w:rFonts w:ascii="Times New Roman" w:hAnsi="Times New Roman"/>
          <w:sz w:val="21"/>
        </w:rPr>
        <w:t>Keywords: Kolmogorov-Arnold Networks; Wavelet Filter Bank; Particle Swarm Optimization; Transformer Temperature Forecasting; Time-Series Forecasting</w:t>
      </w:r>
    </w:p>
    <w:p>
      <w:pPr>
        <w:keepNext/>
        <w:spacing w:before="280" w:after="120"/>
      </w:pPr>
      <w:r>
        <w:rPr>
          <w:rFonts w:ascii="Times New Roman" w:hAnsi="Times New Roman"/>
          <w:b/>
          <w:color w:val="002060"/>
          <w:sz w:val="26"/>
        </w:rPr>
        <w:t>1. Introduction</w:t>
      </w:r>
    </w:p>
    <w:p>
      <w:pPr>
        <w:spacing w:before="0" w:after="120" w:line="276" w:lineRule="auto"/>
        <w:jc w:val="both"/>
      </w:pPr>
      <w:r>
        <w:rPr>
          <w:rFonts w:ascii="Times New Roman" w:hAnsi="Times New Roman"/>
          <w:b w:val="0"/>
          <w:i w:val="0"/>
          <w:color w:val="000000"/>
          <w:sz w:val="22"/>
        </w:rPr>
        <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
      </w:r>
    </w:p>
    <w:p>
      <w:pPr>
        <w:spacing w:before="0" w:after="120" w:line="276" w:lineRule="auto"/>
        <w:jc w:val="both"/>
      </w:pPr>
      <w:r>
        <w:rPr>
          <w:rFonts w:ascii="Times New Roman" w:hAnsi="Times New Roman"/>
          <w:b w:val="0"/>
          <w:i w:val="0"/>
          <w:color w:val="000000"/>
          <w:sz w:val="22"/>
        </w:rPr>
        <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
      </w:r>
    </w:p>
    <w:p>
      <w:pPr>
        <w:spacing w:before="0" w:after="120" w:line="276" w:lineRule="auto"/>
        <w:jc w:val="both"/>
      </w:pPr>
      <w:r>
        <w:rPr>
          <w:rFonts w:ascii="Times New Roman" w:hAnsi="Times New Roman"/>
          <w:b w:val="0"/>
          <w:i w:val="0"/>
          <w:color w:val="000000"/>
          <w:sz w:val="22"/>
        </w:rPr>
        <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
      </w:r>
    </w:p>
    <w:p>
      <w:pPr>
        <w:spacing w:before="0" w:after="120" w:line="276" w:lineRule="auto"/>
        <w:jc w:val="both"/>
      </w:pPr>
      <w:r>
        <w:rPr>
          <w:rFonts w:ascii="Times New Roman" w:hAnsi="Times New Roman"/>
          <w:b w:val="0"/>
          <w:i w:val="0"/>
          <w:color w:val="000000"/>
          <w:sz w:val="22"/>
        </w:rPr>
        <w:t>Nevertheless, the direct application of classical KAN architectures to complex industrial engineering time-series exposes four severe failure modes, each of which fundamentally undermines reliable long-horizon thermal prediction:</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The Grid Update Dilemma.</w:t>
      </w:r>
      <w:r>
        <w:rPr>
          <w:rFonts w:ascii="Times New Roman" w:hAnsi="Times New Roman"/>
          <w:b w:val="0"/>
          <w:i w:val="0"/>
          <w:color w:val="000000"/>
          <w:sz w:val="22"/>
        </w:rPr>
        <w:t xml:space="preserve">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As empirically verified in Fig. 3, grid update events in vanilla B-spline KAN cause immediate validation loss explosions, rendering the model unreliable for safety-critical forecasting tasks.</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Spectral Dispersion and Lack of Frequency Locality.</w:t>
      </w:r>
      <w:r>
        <w:rPr>
          <w:rFonts w:ascii="Times New Roman" w:hAnsi="Times New Roman"/>
          <w:b w:val="0"/>
          <w:i w:val="0"/>
          <w:color w:val="000000"/>
          <w:sz w:val="22"/>
        </w:rPr>
        <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The Linear Model Performance Deficit.</w:t>
      </w:r>
      <w:r>
        <w:rPr>
          <w:rFonts w:ascii="Times New Roman" w:hAnsi="Times New Roman"/>
          <w:b w:val="0"/>
          <w:i w:val="0"/>
          <w:color w:val="000000"/>
          <w:sz w:val="22"/>
        </w:rPr>
        <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Non-Convex Wavelet Ripple Traps.</w:t>
      </w:r>
      <w:r>
        <w:rPr>
          <w:rFonts w:ascii="Times New Roman" w:hAnsi="Times New Roman"/>
          <w:b w:val="0"/>
          <w:i w:val="0"/>
          <w:color w:val="000000"/>
          <w:sz w:val="22"/>
        </w:rPr>
        <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
      </w:r>
    </w:p>
    <w:p>
      <w:pPr>
        <w:spacing w:before="0" w:after="120" w:line="276" w:lineRule="auto"/>
        <w:jc w:val="both"/>
      </w:pPr>
      <w:r>
        <w:rPr>
          <w:rFonts w:ascii="Times New Roman" w:hAnsi="Times New Roman"/>
          <w:b w:val="0"/>
          <w:i w:val="0"/>
          <w:color w:val="000000"/>
          <w:sz w:val="22"/>
        </w:rPr>
        <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
      </w:r>
    </w:p>
    <w:p>
      <w:pPr>
        <w:pStyle w:val="ListBullet"/>
        <w:spacing w:before="40" w:after="60" w:line="276" w:lineRule="auto"/>
      </w:pPr>
      <w:r>
        <w:rPr>
          <w:rFonts w:ascii="Times New Roman" w:hAnsi="Times New Roman"/>
          <w:b/>
          <w:i w:val="0"/>
          <w:color w:val="000000"/>
          <w:sz w:val="22"/>
        </w:rPr>
        <w:t>(C1) Continuous Dyadic Wavelet Filter Banks.</w:t>
      </w:r>
      <w:r>
        <w:rPr>
          <w:rFonts w:ascii="Times New Roman" w:hAnsi="Times New Roman"/>
          <w:b w:val="0"/>
          <w:i w:val="0"/>
          <w:color w:val="000000"/>
          <w:sz w:val="22"/>
        </w:rPr>
        <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
      </w:r>
    </w:p>
    <w:p>
      <w:pPr>
        <w:pStyle w:val="ListBullet"/>
        <w:spacing w:before="40" w:after="60" w:line="276" w:lineRule="auto"/>
      </w:pPr>
      <w:r>
        <w:rPr>
          <w:rFonts w:ascii="Times New Roman" w:hAnsi="Times New Roman"/>
          <w:b/>
          <w:i w:val="0"/>
          <w:color w:val="000000"/>
          <w:sz w:val="22"/>
        </w:rPr>
        <w:t>(C2) Asymptotic Linear Recovery of the DLinear Structural Subspace.</w:t>
      </w:r>
      <w:r>
        <w:rPr>
          <w:rFonts w:ascii="Times New Roman" w:hAnsi="Times New Roman"/>
          <w:b w:val="0"/>
          <w:i w:val="0"/>
          <w:color w:val="000000"/>
          <w:sz w:val="22"/>
        </w:rPr>
        <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
      </w:r>
    </w:p>
    <w:p>
      <w:pPr>
        <w:pStyle w:val="ListBullet"/>
        <w:spacing w:before="40" w:after="60" w:line="276" w:lineRule="auto"/>
      </w:pPr>
      <w:r>
        <w:rPr>
          <w:rFonts w:ascii="Times New Roman" w:hAnsi="Times New Roman"/>
          <w:b/>
          <w:i w:val="0"/>
          <w:color w:val="000000"/>
          <w:sz w:val="22"/>
        </w:rPr>
        <w:t>(C3) Comprehensive Learning Particle Swarm Warm-Start (CLPSO).</w:t>
      </w:r>
      <w:r>
        <w:rPr>
          <w:rFonts w:ascii="Times New Roman" w:hAnsi="Times New Roman"/>
          <w:b w:val="0"/>
          <w:i w:val="0"/>
          <w:color w:val="000000"/>
          <w:sz w:val="22"/>
        </w:rPr>
        <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
      </w:r>
    </w:p>
    <w:p>
      <w:pPr>
        <w:pStyle w:val="ListBullet"/>
        <w:spacing w:before="40" w:after="60" w:line="276" w:lineRule="auto"/>
      </w:pPr>
      <w:r>
        <w:rPr>
          <w:rFonts w:ascii="Times New Roman" w:hAnsi="Times New Roman"/>
          <w:b/>
          <w:i w:val="0"/>
          <w:color w:val="000000"/>
          <w:sz w:val="22"/>
        </w:rPr>
        <w:t>(C4) Rigorous Empirical Validation &amp; Regime Analysis.</w:t>
      </w:r>
      <w:r>
        <w:rPr>
          <w:rFonts w:ascii="Times New Roman" w:hAnsi="Times New Roman"/>
          <w:b w:val="0"/>
          <w:i w:val="0"/>
          <w:color w:val="000000"/>
          <w:sz w:val="22"/>
        </w:rPr>
        <w:t xml:space="preserve"> We evaluate the architecture across 16 canonical benchmark configurations (ETTh1 and ETTh2; L in {96, 336}; H in {96, 192, 336, 720}) across multi-seed evaluations (3 random seeds for baselines, 5 seeds for PSO-TCWavKAN), competing against DLinear, NLinear, and PatchTST Lite. We execute an 80-cell ablation campaign across 5 structural variants analyzed across operational and stress regimes, alongside Gaussian noise perturbation testing up to sigma = 0.30. All results and code are made publicly available for reproducibility.</w:t>
      </w:r>
    </w:p>
    <w:p>
      <w:pPr>
        <w:spacing w:before="0" w:after="120" w:line="276" w:lineRule="auto"/>
        <w:jc w:val="both"/>
      </w:pPr>
      <w:r>
        <w:rPr>
          <w:rFonts w:ascii="Times New Roman" w:hAnsi="Times New Roman"/>
          <w:b w:val="0"/>
          <w:i w:val="0"/>
          <w:color w:val="000000"/>
          <w:sz w:val="22"/>
        </w:rPr>
        <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
      </w:r>
    </w:p>
    <w:p>
      <w:pPr>
        <w:keepNext/>
        <w:spacing w:before="280" w:after="120"/>
      </w:pPr>
      <w:r>
        <w:rPr>
          <w:rFonts w:ascii="Times New Roman" w:hAnsi="Times New Roman"/>
          <w:b/>
          <w:color w:val="002060"/>
          <w:sz w:val="26"/>
        </w:rPr>
        <w:t>2. Related Work</w:t>
      </w:r>
    </w:p>
    <w:p>
      <w:pPr>
        <w:keepNext/>
        <w:spacing w:before="200" w:after="80"/>
      </w:pPr>
      <w:r>
        <w:rPr>
          <w:rFonts w:ascii="Times New Roman" w:hAnsi="Times New Roman"/>
          <w:b/>
          <w:sz w:val="23"/>
        </w:rPr>
        <w:t>2.1. Transformer Thermal Dynamics and Deep Sequential Forecasting</w:t>
      </w:r>
    </w:p>
    <w:p>
      <w:pPr>
        <w:spacing w:before="0" w:after="120" w:line="276" w:lineRule="auto"/>
        <w:jc w:val="both"/>
      </w:pPr>
      <w:r>
        <w:rPr>
          <w:rFonts w:ascii="Times New Roman" w:hAnsi="Times New Roman"/>
          <w:b w:val="0"/>
          <w:i w:val="0"/>
          <w:color w:val="000000"/>
          <w:sz w:val="22"/>
        </w:rPr>
        <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
      </w:r>
    </w:p>
    <w:p>
      <w:pPr>
        <w:spacing w:before="0" w:after="120" w:line="276" w:lineRule="auto"/>
        <w:jc w:val="both"/>
      </w:pPr>
      <w:r>
        <w:rPr>
          <w:rFonts w:ascii="Times New Roman" w:hAnsi="Times New Roman"/>
          <w:b w:val="0"/>
          <w:i w:val="0"/>
          <w:color w:val="000000"/>
          <w:sz w:val="22"/>
        </w:rPr>
        <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
      </w:r>
    </w:p>
    <w:p>
      <w:pPr>
        <w:keepNext/>
        <w:spacing w:before="200" w:after="80"/>
      </w:pPr>
      <w:r>
        <w:rPr>
          <w:rFonts w:ascii="Times New Roman" w:hAnsi="Times New Roman"/>
          <w:b/>
          <w:sz w:val="23"/>
        </w:rPr>
        <w:t>2.2. Kolmogorov-Arnold Networks and Wavelet Functional Bases</w:t>
      </w:r>
    </w:p>
    <w:p>
      <w:pPr>
        <w:spacing w:before="0" w:after="120" w:line="276" w:lineRule="auto"/>
        <w:jc w:val="both"/>
      </w:pPr>
      <w:r>
        <w:rPr>
          <w:rFonts w:ascii="Times New Roman" w:hAnsi="Times New Roman"/>
          <w:b w:val="0"/>
          <w:i w:val="0"/>
          <w:color w:val="000000"/>
          <w:sz w:val="22"/>
        </w:rPr>
        <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
      </w:r>
    </w:p>
    <w:p>
      <w:pPr>
        <w:spacing w:before="0" w:after="120" w:line="276" w:lineRule="auto"/>
        <w:jc w:val="both"/>
      </w:pPr>
      <w:r>
        <w:rPr>
          <w:rFonts w:ascii="Times New Roman" w:hAnsi="Times New Roman"/>
          <w:b w:val="0"/>
          <w:i w:val="0"/>
          <w:color w:val="000000"/>
          <w:sz w:val="22"/>
        </w:rPr>
        <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MSE = 0.091 kW on a single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
      </w:r>
    </w:p>
    <w:p>
      <w:pPr>
        <w:keepNext/>
        <w:spacing w:before="200" w:after="80"/>
      </w:pPr>
      <w:r>
        <w:rPr>
          <w:rFonts w:ascii="Times New Roman" w:hAnsi="Times New Roman"/>
          <w:b/>
          <w:sz w:val="23"/>
        </w:rPr>
        <w:t>2.3. Swarm Intelligence and Metaheuristic Optimization in Deep Learning</w:t>
      </w:r>
    </w:p>
    <w:p>
      <w:pPr>
        <w:spacing w:before="0" w:after="120" w:line="276" w:lineRule="auto"/>
        <w:jc w:val="both"/>
      </w:pPr>
      <w:r>
        <w:rPr>
          <w:rFonts w:ascii="Times New Roman" w:hAnsi="Times New Roman"/>
          <w:b w:val="0"/>
          <w:i w:val="0"/>
          <w:color w:val="000000"/>
          <w:sz w:val="22"/>
        </w:rPr>
        <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
      </w:r>
    </w:p>
    <w:p>
      <w:pPr>
        <w:keepNext/>
        <w:spacing w:before="200" w:after="80"/>
      </w:pPr>
      <w:r>
        <w:rPr>
          <w:rFonts w:ascii="Times New Roman" w:hAnsi="Times New Roman"/>
          <w:b/>
          <w:sz w:val="23"/>
        </w:rPr>
        <w:t>2.4. Summary of Representative Forecasting Methods on ETT Benchmarks</w:t>
      </w:r>
    </w:p>
    <w:p>
      <w:pPr>
        <w:spacing w:before="0" w:after="120" w:line="276" w:lineRule="auto"/>
        <w:jc w:val="both"/>
      </w:pPr>
      <w:r>
        <w:rPr>
          <w:rFonts w:ascii="Times New Roman" w:hAnsi="Times New Roman"/>
          <w:b w:val="0"/>
          <w:i w:val="0"/>
          <w:color w:val="000000"/>
          <w:sz w:val="22"/>
        </w:rPr>
        <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
      </w:r>
    </w:p>
    <w:p>
      <w:pPr>
        <w:keepNext/>
        <w:spacing w:before="240" w:after="80"/>
      </w:pPr>
      <w:r>
        <w:rPr>
          <w:rFonts w:ascii="Times New Roman" w:hAnsi="Times New Roman"/>
          <w:b/>
          <w:i w:val="0"/>
          <w:color w:val="000000"/>
          <w:sz w:val="21"/>
        </w:rPr>
        <w:t>Table 1 Summary of Representative Time-Series Forecasting Methods on ETT Benchmarks.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337"/>
        <w:gridCol w:w="1337"/>
        <w:gridCol w:w="1337"/>
        <w:gridCol w:w="1337"/>
        <w:gridCol w:w="1337"/>
        <w:gridCol w:w="1337"/>
        <w:gridCol w:w="1337"/>
      </w:tblGrid>
      <w:tr>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Method</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Year</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Venue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Architecture</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Canonical Literature MSE (H=96)*</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Key Novelty</w:t>
            </w:r>
          </w:p>
        </w:tc>
        <w:tc>
          <w:tcPr>
            <w:tcW w:type="dxa" w:w="1337"/>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Key Limitation</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Informer [3]</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2021</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Sparse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0.865</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ProbSparse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Quadratic complexity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Autoformer [14]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2021</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NeurIPS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Auto-correlation + Decomp</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0.449</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Trend auto-correlation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Aliasing on non-stationary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FEDformer [15]</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2022</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ICML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Fourier decomposition</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Frequency-domain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Loses local spikes</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DLinear [4]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Dual linear + MA</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Surpasses Transformers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nonlinear capacity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NLinear [4]</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AAAI</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Normalized linear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Distribution shift correction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nonlinear capacity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PatchTST [5]</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2023</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ICLR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Patched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Channel-independent patches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 memory for long L</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iTransformer [16]</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ICLR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Inverted Transformer</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Variate-level token attention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Not thermal-physics aware</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Wav-KAN [2]</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arXiv</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KAN</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wavelet activations</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Not designed for regression</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Bezerra et al. [11]</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2024</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Electr Eng</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 MLP</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~0.285 (oil temp)</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2nd-gen wavelets + neural net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Discrete lifting; no structural recovery property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ACKLSTM-KAN [6]</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2025</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Springer</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ConvLSTM+Attn+KAN+SVM</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0.091 kW (wind)</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KAN in hybrid model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turbine; no linear recovery</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HAKformer [12]</w:t>
            </w:r>
          </w:p>
        </w:tc>
        <w:tc>
          <w:tcPr>
            <w:tcW w:type="dxa" w:w="1337"/>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2026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Appl Intell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Hybrid attention + KAN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~0.380</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KAN + attention combination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swarm opt.; no grid fix</w:t>
            </w:r>
          </w:p>
        </w:tc>
      </w:tr>
      <w:tr>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2026</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This work</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WavKAN+TCN+CLPSO+RevIN</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0.1127 (ETTh1) / 0.2630 (ETTh2)</w:t>
            </w:r>
            <w:r>
              <w:rPr>
                <w:rFonts w:ascii="Times New Roman" w:hAnsi="Times New Roman"/>
                <w:b w:val="0"/>
                <w:i w:val="0"/>
                <w:color w:val="000000"/>
                <w:sz w:val="18"/>
              </w:rPr>
              <w:t xml:space="preserve"> (Univariate OT)</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Linear recovery + CLPSO + multi-kernel</w:t>
            </w:r>
          </w:p>
        </w:tc>
        <w:tc>
          <w:tcPr>
            <w:tcW w:type="dxa" w:w="1337"/>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Evaluated on ETT OT telemetry</w:t>
            </w:r>
          </w:p>
        </w:tc>
      </w:tr>
    </w:tbl>
    <w:p>
      <w:pPr>
        <w:spacing w:before="0" w:after="120"/>
      </w:pPr>
    </w:p>
    <w:p>
      <w:pPr>
        <w:spacing w:before="0" w:after="120" w:line="276" w:lineRule="auto"/>
        <w:jc w:val="both"/>
      </w:pPr>
      <w:r>
        <w:rPr>
          <w:rFonts w:ascii="Times New Roman" w:hAnsi="Times New Roman"/>
          <w:b w:val="0"/>
          <w:i/>
          <w:color w:val="000000"/>
          <w:sz w:val="22"/>
        </w:rPr>
        <w:t>*Note: Baseline values for Informer [3], Autoformer [14], FEDformer [15], DLinear [4], NLinear [4], and PatchTST [5] reflect canonical multivariate ETTh1 literature results at H=96 compiled in Zeng et al. [4] to depict the broader sequential modeling trajectory. For direct, apples-to-apples validation on transformer oil temperature (OT), all benchmark baselines in Sections 5–8 are independently trained and evaluated under the identical univariate OT forecasting protocol.</w:t>
      </w:r>
    </w:p>
    <w:p>
      <w:pPr>
        <w:keepNext/>
        <w:spacing w:before="280" w:after="120"/>
      </w:pPr>
      <w:r>
        <w:rPr>
          <w:rFonts w:ascii="Times New Roman" w:hAnsi="Times New Roman"/>
          <w:b/>
          <w:color w:val="002060"/>
          <w:sz w:val="26"/>
        </w:rPr>
        <w:t>3. Proposed Methodology: The PSO-TCWavKAN Architecture</w:t>
      </w:r>
    </w:p>
    <w:p>
      <w:pPr>
        <w:spacing w:before="0" w:after="120" w:line="276" w:lineRule="auto"/>
        <w:jc w:val="both"/>
      </w:pPr>
      <w:r>
        <w:rPr>
          <w:rFonts w:ascii="Times New Roman" w:hAnsi="Times New Roman"/>
          <w:b w:val="0"/>
          <w:i w:val="0"/>
          <w:color w:val="000000"/>
          <w:sz w:val="22"/>
        </w:rPr>
        <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
      </w:r>
    </w:p>
    <w:p>
      <w:pPr>
        <w:spacing w:before="200" w:after="80"/>
        <w:jc w:val="center"/>
      </w:pPr>
      <w:r>
        <w:drawing>
          <wp:inline xmlns:a="http://schemas.openxmlformats.org/drawingml/2006/main" xmlns:pic="http://schemas.openxmlformats.org/drawingml/2006/picture">
            <wp:extent cx="5303520" cy="2634199"/>
            <wp:docPr id="1" name="Picture 1"/>
            <wp:cNvGraphicFramePr>
              <a:graphicFrameLocks noChangeAspect="1"/>
            </wp:cNvGraphicFramePr>
            <a:graphic>
              <a:graphicData uri="http://schemas.openxmlformats.org/drawingml/2006/picture">
                <pic:pic>
                  <pic:nvPicPr>
                    <pic:cNvPr id="0" name="v81_pipeline_schematic.png"/>
                    <pic:cNvPicPr/>
                  </pic:nvPicPr>
                  <pic:blipFill>
                    <a:blip r:embed="rId9"/>
                    <a:stretch>
                      <a:fillRect/>
                    </a:stretch>
                  </pic:blipFill>
                  <pic:spPr>
                    <a:xfrm>
                      <a:off x="0" y="0"/>
                      <a:ext cx="5303520" cy="2634199"/>
                    </a:xfrm>
                    <a:prstGeom prst="rect"/>
                  </pic:spPr>
                </pic:pic>
              </a:graphicData>
            </a:graphic>
          </wp:inline>
        </w:drawing>
      </w:r>
    </w:p>
    <w:p>
      <w:pPr>
        <w:spacing w:before="40" w:after="240"/>
        <w:jc w:val="center"/>
      </w:pPr>
      <w:r>
        <w:rPr>
          <w:rFonts w:ascii="Times New Roman" w:hAnsi="Times New Roman"/>
          <w:b w:val="0"/>
          <w:i/>
          <w:color w:val="000000"/>
          <w:sz w:val="19"/>
        </w:rPr>
        <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
      </w:r>
    </w:p>
    <w:p>
      <w:pPr>
        <w:keepNext/>
        <w:spacing w:before="200" w:after="80"/>
      </w:pPr>
      <w:r>
        <w:rPr>
          <w:rFonts w:ascii="Times New Roman" w:hAnsi="Times New Roman"/>
          <w:b/>
          <w:sz w:val="23"/>
        </w:rPr>
        <w:t>3.1. Reversible Instance Normalization (RevIN)</w:t>
      </w:r>
    </w:p>
    <w:p>
      <w:pPr>
        <w:spacing w:before="0" w:after="120" w:line="276" w:lineRule="auto"/>
        <w:jc w:val="both"/>
      </w:pPr>
      <w:r>
        <w:rPr>
          <w:rFonts w:ascii="Times New Roman" w:hAnsi="Times New Roman"/>
          <w:b w:val="0"/>
          <w:i w:val="0"/>
          <w:color w:val="000000"/>
          <w:sz w:val="22"/>
        </w:rPr>
        <w:t>To eliminate non-stationary distribution shifts across training and testing horizons, the input sequence x is normalized via Reversible Instance Normalization (RevIN) [13]. For batch instance b and lookback length L, the instance-level mean and variance are computed as:</w:t>
      </w:r>
    </w:p>
    <w:p>
      <w:pPr>
        <w:spacing w:before="120" w:after="120" w:line="276" w:lineRule="auto"/>
        <w:jc w:val="center"/>
      </w:pPr>
      <w:r>
        <w:rPr>
          <w:rFonts w:ascii="Cambria Math" w:hAnsi="Cambria Math"/>
          <w:sz w:val="21"/>
        </w:rPr>
        <w:t>mu_b = (1/L) sum_{t=1}^{L} x_{b,t}    (Eq. (1)</w:t>
      </w:r>
    </w:p>
    <w:p>
      <w:pPr>
        <w:spacing w:before="120" w:after="120" w:line="276" w:lineRule="auto"/>
        <w:jc w:val="center"/>
      </w:pPr>
      <w:r>
        <w:rPr>
          <w:rFonts w:ascii="Cambria Math" w:hAnsi="Cambria Math"/>
          <w:sz w:val="21"/>
        </w:rPr>
        <w:t>sigma_b^2 = (1/L) sum_{t=1}^{L} (x_{b,t} − mu_b)^2 + epsilon    (Eq. (2)</w:t>
      </w:r>
    </w:p>
    <w:p>
      <w:pPr>
        <w:spacing w:before="0" w:after="120" w:line="276" w:lineRule="auto"/>
        <w:jc w:val="both"/>
      </w:pPr>
      <w:r>
        <w:rPr>
          <w:rFonts w:ascii="Times New Roman" w:hAnsi="Times New Roman"/>
          <w:b w:val="0"/>
          <w:i w:val="0"/>
          <w:color w:val="000000"/>
          <w:sz w:val="22"/>
        </w:rPr>
        <w:t>The normalized input is then given by:</w:t>
      </w:r>
    </w:p>
    <w:p>
      <w:pPr>
        <w:spacing w:before="120" w:after="120" w:line="276" w:lineRule="auto"/>
        <w:jc w:val="center"/>
      </w:pPr>
      <w:r>
        <w:rPr>
          <w:rFonts w:ascii="Cambria Math" w:hAnsi="Cambria Math"/>
          <w:sz w:val="21"/>
        </w:rPr>
        <w:t>x̃ = (x − mu_b) / √(σ_b²)    (Eq. (3)</w:t>
      </w:r>
    </w:p>
    <w:p>
      <w:pPr>
        <w:spacing w:before="0" w:after="120" w:line="276" w:lineRule="auto"/>
        <w:jc w:val="both"/>
      </w:pPr>
      <w:r>
        <w:rPr>
          <w:rFonts w:ascii="Times New Roman" w:hAnsi="Times New Roman"/>
          <w:b w:val="0"/>
          <w:i w:val="0"/>
          <w:color w:val="000000"/>
          <w:sz w:val="22"/>
        </w:rPr>
        <w:t>where epsilon = 1e-5 prevents numerical division by zero. Following network forecasting, predictions are mapped back to original thermal units (degrees Celsius) via the affine denormalization: ŷ = ŷ̃ · √(σ_b^2) + μ_b. Note that while network predictions are denormalized for real-time SCADA physical integration, benchmark losses and comparison metrics in Sections 5–8 are reported in standard normalized scale matching the canonical LTSF literature protocol, with physical degree Celsius equivalents derived in Section 9.1.</w:t>
      </w:r>
    </w:p>
    <w:p>
      <w:pPr>
        <w:keepNext/>
        <w:spacing w:before="200" w:after="80"/>
      </w:pPr>
      <w:r>
        <w:rPr>
          <w:rFonts w:ascii="Times New Roman" w:hAnsi="Times New Roman"/>
          <w:b/>
          <w:sz w:val="23"/>
        </w:rPr>
        <w:t>3.2. Multi-Kernel Temporal Trend-Seasonal Decomposition</w:t>
      </w:r>
    </w:p>
    <w:p>
      <w:pPr>
        <w:spacing w:before="0" w:after="120" w:line="276" w:lineRule="auto"/>
        <w:jc w:val="both"/>
      </w:pPr>
      <w:r>
        <w:rPr>
          <w:rFonts w:ascii="Times New Roman" w:hAnsi="Times New Roman"/>
          <w:b w:val="0"/>
          <w:i w:val="0"/>
          <w:color w:val="000000"/>
          <w:sz w:val="22"/>
        </w:rPr>
        <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diurnal 24-hour periodicity) and K_2 = 49 (capturing two-day baseline drift). For the normalized input x_tilde at time t:</w:t>
      </w:r>
    </w:p>
    <w:p>
      <w:pPr>
        <w:spacing w:before="120" w:after="120" w:line="276" w:lineRule="auto"/>
        <w:jc w:val="center"/>
      </w:pPr>
      <w:r>
        <w:rPr>
          <w:rFonts w:ascii="Cambria Math" w:hAnsi="Cambria Math"/>
          <w:sz w:val="21"/>
        </w:rPr>
        <w:t>T_t^{(1)} = AvgPool(x̃_t, K_1)    (Eq. (4)</w:t>
      </w:r>
    </w:p>
    <w:p>
      <w:pPr>
        <w:spacing w:before="120" w:after="120" w:line="276" w:lineRule="auto"/>
        <w:jc w:val="center"/>
      </w:pPr>
      <w:r>
        <w:rPr>
          <w:rFonts w:ascii="Cambria Math" w:hAnsi="Cambria Math"/>
          <w:sz w:val="21"/>
        </w:rPr>
        <w:t>T_t^{(2)} = AvgPool(x̃_t, K_2)    (Eq. (5)</w:t>
      </w:r>
    </w:p>
    <w:p>
      <w:pPr>
        <w:spacing w:before="120" w:after="120" w:line="276" w:lineRule="auto"/>
        <w:jc w:val="center"/>
      </w:pPr>
      <w:r>
        <w:rPr>
          <w:rFonts w:ascii="Cambria Math" w:hAnsi="Cambria Math"/>
          <w:sz w:val="21"/>
        </w:rPr>
        <w:t>T_t = 0.5 · T_t^{(1)} + 0.5 · T_t^{(2)}    (Eq. (6)</w:t>
      </w:r>
    </w:p>
    <w:p>
      <w:pPr>
        <w:spacing w:before="120" w:after="120" w:line="276" w:lineRule="auto"/>
        <w:jc w:val="center"/>
      </w:pPr>
      <w:r>
        <w:rPr>
          <w:rFonts w:ascii="Cambria Math" w:hAnsi="Cambria Math"/>
          <w:sz w:val="21"/>
        </w:rPr>
        <w:t>S_t = x̃_t − T_t    (Eq. (7)</w:t>
      </w:r>
    </w:p>
    <w:p>
      <w:pPr>
        <w:spacing w:before="0" w:after="120" w:line="276" w:lineRule="auto"/>
        <w:jc w:val="both"/>
      </w:pPr>
      <w:r>
        <w:rPr>
          <w:rFonts w:ascii="Times New Roman" w:hAnsi="Times New Roman"/>
          <w:b w:val="0"/>
          <w:i w:val="0"/>
          <w:color w:val="000000"/>
          <w:sz w:val="22"/>
        </w:rPr>
        <w:t>where T_t represents the smoothed low-frequency thermal trend and S_t captures the zero-mean seasonal residual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
      </w:r>
    </w:p>
    <w:p>
      <w:pPr>
        <w:keepNext/>
        <w:spacing w:before="200" w:after="80"/>
      </w:pPr>
      <w:r>
        <w:rPr>
          <w:rFonts w:ascii="Times New Roman" w:hAnsi="Times New Roman"/>
          <w:b/>
          <w:sz w:val="23"/>
        </w:rPr>
        <w:t>3.3. Continuous Dyadic Wavelet Filter Banks and Dual-Domain Head</w:t>
      </w:r>
    </w:p>
    <w:p>
      <w:pPr>
        <w:spacing w:before="0" w:after="120" w:line="276" w:lineRule="auto"/>
        <w:jc w:val="both"/>
      </w:pPr>
      <w:r>
        <w:rPr>
          <w:rFonts w:ascii="Times New Roman" w:hAnsi="Times New Roman"/>
          <w:b w:val="0"/>
          <w:i w:val="0"/>
          <w:color w:val="000000"/>
          <w:sz w:val="22"/>
        </w:rPr>
        <w:t>The seasonal residual S_t is partitioned into overlapping patches using a sequence-adaptive patch geometry: patch length P = 16 and stride S = 8 for standard lookback L le 96; and P = 24 with stride S = 12 for extended lookback L = 336. Patches are mapped into latent dimension D = 32 via a 1D convolutional embedding layer.</w:t>
      </w:r>
    </w:p>
    <w:p>
      <w:pPr>
        <w:spacing w:before="0" w:after="120" w:line="276" w:lineRule="auto"/>
        <w:jc w:val="both"/>
      </w:pPr>
      <w:r>
        <w:rPr>
          <w:rFonts w:ascii="Times New Roman" w:hAnsi="Times New Roman"/>
          <w:b w:val="0"/>
          <w:i w:val="0"/>
          <w:color w:val="000000"/>
          <w:sz w:val="22"/>
        </w:rPr>
        <w:t>To model complex functional non-linearities without discrete B-spline grid updates, we introduce continuous dyadic wavelet activations. For each input feature z, the edge-level activation function φ(z) is parameterized as a multi-scale Continuous Harmonic Morlet Wavelet Filter Bank spanning K_w = 5 learnable-frequency components initialized with dyadic spacing (γ_init = 0.25):</w:t>
      </w:r>
    </w:p>
    <w:p>
      <w:pPr>
        <w:spacing w:before="120" w:after="120" w:line="276" w:lineRule="auto"/>
        <w:jc w:val="center"/>
      </w:pPr>
      <w:r>
        <w:rPr>
          <w:rFonts w:ascii="Cambria Math" w:hAnsi="Cambria Math"/>
          <w:sz w:val="21"/>
        </w:rPr>
        <w:t>φ(z) = ∑_{k=0}^{K_w-1} w_k · ψ_k(z) · cos(ω_k · z)    (Eq. (8)</w:t>
      </w:r>
    </w:p>
    <w:p>
      <w:pPr>
        <w:spacing w:before="120" w:after="120" w:line="276" w:lineRule="auto"/>
        <w:jc w:val="center"/>
      </w:pPr>
      <w:r>
        <w:rPr>
          <w:rFonts w:ascii="Cambria Math" w:hAnsi="Cambria Math"/>
          <w:sz w:val="21"/>
        </w:rPr>
        <w:t>ψ_k(z) = exp(−0.5 · ((z − μ_k) / s_k)^2)    (Eq. (9)</w:t>
      </w:r>
    </w:p>
    <w:p>
      <w:pPr>
        <w:spacing w:before="120" w:after="120" w:line="276" w:lineRule="auto"/>
        <w:jc w:val="center"/>
      </w:pPr>
      <w:r>
        <w:rPr>
          <w:rFonts w:ascii="Cambria Math" w:hAnsi="Cambria Math"/>
          <w:sz w:val="21"/>
        </w:rPr>
        <w:t>ω_k = ω₀ · 2^{(k-2) · γ}    (Eq. (10)</w:t>
      </w:r>
    </w:p>
    <w:p>
      <w:pPr>
        <w:spacing w:before="0" w:after="120" w:line="276" w:lineRule="auto"/>
        <w:jc w:val="both"/>
      </w:pPr>
      <w:r>
        <w:rPr>
          <w:rFonts w:ascii="Times New Roman" w:hAnsi="Times New Roman"/>
          <w:b w:val="0"/>
          <w:i w:val="0"/>
          <w:color w:val="000000"/>
          <w:sz w:val="22"/>
        </w:rPr>
        <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Feature representation is further enriched across patches using depthwise temporal convolutions and InterPatch linear mixing with DropKAN regularization [42].</w:t>
      </w:r>
    </w:p>
    <w:p>
      <w:pPr>
        <w:spacing w:before="0" w:after="120" w:line="276" w:lineRule="auto"/>
        <w:jc w:val="both"/>
      </w:pPr>
      <w:r>
        <w:rPr>
          <w:rFonts w:ascii="Times New Roman" w:hAnsi="Times New Roman"/>
          <w:b w:val="0"/>
          <w:i w:val="0"/>
          <w:color w:val="000000"/>
          <w:sz w:val="22"/>
        </w:rPr>
        <w:t>Following the wavelet feature extraction blocks, the latent representations are decoded via an Adaptive Dual-Domain Head (`AdaptiveDualFFTHead`). This head combines time-domain token pooling with frequency-domain soft-thresholded projections:</w:t>
      </w:r>
    </w:p>
    <w:p>
      <w:pPr>
        <w:spacing w:before="120" w:after="120" w:line="276" w:lineRule="auto"/>
        <w:jc w:val="center"/>
      </w:pPr>
      <w:r>
        <w:rPr>
          <w:rFonts w:ascii="Cambria Math" w:hAnsi="Cambria Math"/>
          <w:sz w:val="21"/>
        </w:rPr>
        <w:t>y_seas_kan = (|w_t| · y_t + |w_f| · y_f) / (|w_t| + |w_f| + ε)    (Eq. (11)</w:t>
      </w:r>
    </w:p>
    <w:p>
      <w:pPr>
        <w:spacing w:before="0" w:after="120" w:line="276" w:lineRule="auto"/>
        <w:jc w:val="both"/>
      </w:pPr>
      <w:r>
        <w:rPr>
          <w:rFonts w:ascii="Times New Roman" w:hAnsi="Times New Roman"/>
          <w:b w:val="0"/>
          <w:i w:val="0"/>
          <w:color w:val="000000"/>
          <w:sz w:val="22"/>
        </w:rPr>
        <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threshold α_FFT = 0.5 · sigmoid(logit_alpha) parameterized by unconstrained logit logit_alpha ∈ [-5.0, -2.0], and projecting the concatenated real and imaginary spectral coefficients through linear mapping W_f ∈ ℝ^H × 2(lfloor L/2 rfloor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
      </w:r>
    </w:p>
    <w:p>
      <w:pPr>
        <w:spacing w:before="200" w:after="80"/>
        <w:jc w:val="center"/>
      </w:pPr>
      <w:r>
        <w:drawing>
          <wp:inline xmlns:a="http://schemas.openxmlformats.org/drawingml/2006/main" xmlns:pic="http://schemas.openxmlformats.org/drawingml/2006/picture">
            <wp:extent cx="5303520" cy="1931605"/>
            <wp:docPr id="2" name="Picture 2"/>
            <wp:cNvGraphicFramePr>
              <a:graphicFrameLocks noChangeAspect="1"/>
            </wp:cNvGraphicFramePr>
            <a:graphic>
              <a:graphicData uri="http://schemas.openxmlformats.org/drawingml/2006/picture">
                <pic:pic>
                  <pic:nvPicPr>
                    <pic:cNvPr id="0" name="v81_wavelet_frequency_response.png"/>
                    <pic:cNvPicPr/>
                  </pic:nvPicPr>
                  <pic:blipFill>
                    <a:blip r:embed="rId10"/>
                    <a:stretch>
                      <a:fillRect/>
                    </a:stretch>
                  </pic:blipFill>
                  <pic:spPr>
                    <a:xfrm>
                      <a:off x="0" y="0"/>
                      <a:ext cx="5303520" cy="1931605"/>
                    </a:xfrm>
                    <a:prstGeom prst="rect"/>
                  </pic:spPr>
                </pic:pic>
              </a:graphicData>
            </a:graphic>
          </wp:inline>
        </w:drawing>
      </w:r>
    </w:p>
    <w:p>
      <w:pPr>
        <w:spacing w:before="40" w:after="240"/>
        <w:jc w:val="center"/>
      </w:pPr>
      <w:r>
        <w:rPr>
          <w:rFonts w:ascii="Times New Roman" w:hAnsi="Times New Roman"/>
          <w:b w:val="0"/>
          <w:i/>
          <w:color w:val="000000"/>
          <w:sz w:val="19"/>
        </w:rPr>
        <w:t>Fig. 2 Localized Frequency Responses of the Continuous Dyadic Wavelet Filter Bank. Spectral magnitude response across K_w=5 learnable-frequency components (k=0 to 4; initial span ≈1 octave at γ=0.25, adaptive during training), demonstrating well-localized, exponentially decaying time-frequency responses. Each octave captures a multi-resolution spectral band, initialized across dyadically spaced base frequencies (with k=0,1 targeting lower-frequency dynamics and k=3,4 targeting higher-frequency transients, while parameters ω_0 and γ adapt during fine-tuning).</w:t>
      </w:r>
    </w:p>
    <w:p>
      <w:pPr>
        <w:spacing w:before="200" w:after="80"/>
        <w:jc w:val="center"/>
      </w:pPr>
      <w:r>
        <w:drawing>
          <wp:inline xmlns:a="http://schemas.openxmlformats.org/drawingml/2006/main" xmlns:pic="http://schemas.openxmlformats.org/drawingml/2006/picture">
            <wp:extent cx="5303520" cy="2604261"/>
            <wp:docPr id="3" name="Picture 3"/>
            <wp:cNvGraphicFramePr>
              <a:graphicFrameLocks noChangeAspect="1"/>
            </wp:cNvGraphicFramePr>
            <a:graphic>
              <a:graphicData uri="http://schemas.openxmlformats.org/drawingml/2006/picture">
                <pic:pic>
                  <pic:nvPicPr>
                    <pic:cNvPr id="0" name="grid_update_dilemma_v2.png"/>
                    <pic:cNvPicPr/>
                  </pic:nvPicPr>
                  <pic:blipFill>
                    <a:blip r:embed="rId11"/>
                    <a:stretch>
                      <a:fillRect/>
                    </a:stretch>
                  </pic:blipFill>
                  <pic:spPr>
                    <a:xfrm>
                      <a:off x="0" y="0"/>
                      <a:ext cx="5303520" cy="2604261"/>
                    </a:xfrm>
                    <a:prstGeom prst="rect"/>
                  </pic:spPr>
                </pic:pic>
              </a:graphicData>
            </a:graphic>
          </wp:inline>
        </w:drawing>
      </w:r>
    </w:p>
    <w:p>
      <w:pPr>
        <w:spacing w:before="40" w:after="240"/>
        <w:jc w:val="center"/>
      </w:pPr>
      <w:r>
        <w:rPr>
          <w:rFonts w:ascii="Times New Roman" w:hAnsi="Times New Roman"/>
          <w:b w:val="0"/>
          <w:i/>
          <w:color w:val="000000"/>
          <w:sz w:val="19"/>
        </w:rPr>
        <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
      </w:r>
    </w:p>
    <w:p>
      <w:pPr>
        <w:keepNext/>
        <w:spacing w:before="200" w:after="80"/>
      </w:pPr>
      <w:r>
        <w:rPr>
          <w:rFonts w:ascii="Times New Roman" w:hAnsi="Times New Roman"/>
          <w:b/>
          <w:sz w:val="23"/>
        </w:rPr>
        <w:t>3.4. Asymptotic Linear Recovery of the DLinear Structural Subspace</w:t>
      </w:r>
    </w:p>
    <w:p>
      <w:pPr>
        <w:spacing w:before="0" w:after="120" w:line="276" w:lineRule="auto"/>
        <w:jc w:val="both"/>
      </w:pPr>
      <w:r>
        <w:rPr>
          <w:rFonts w:ascii="Times New Roman" w:hAnsi="Times New Roman"/>
          <w:b w:val="0"/>
          <w:i w:val="0"/>
          <w:color w:val="000000"/>
          <w:sz w:val="22"/>
        </w:rPr>
        <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
      </w:r>
    </w:p>
    <w:p>
      <w:pPr>
        <w:spacing w:before="0" w:after="120" w:line="276" w:lineRule="auto"/>
        <w:jc w:val="both"/>
      </w:pPr>
      <w:r>
        <w:rPr>
          <w:rFonts w:ascii="Times New Roman" w:hAnsi="Times New Roman"/>
          <w:b/>
          <w:i w:val="0"/>
          <w:color w:val="000000"/>
          <w:sz w:val="22"/>
        </w:rPr>
        <w:t>Proposition 1 (Asymptotic Linear Recovery of Multi-Kernel Linear Subspace).</w:t>
      </w:r>
      <w:r>
        <w:rPr>
          <w:rFonts w:ascii="Times New Roman" w:hAnsi="Times New Roman"/>
          <w:b w:val="0"/>
          <w:i w:val="0"/>
          <w:color w:val="000000"/>
          <w:sz w:val="22"/>
        </w:rPr>
        <w:t xml:space="preserve"> Let ℋ_Lin denote the functional hypothesis space of the generalized dual-kernel linear projection model: ŷ_lin = W_trend · T_t + b_trend + W_seas · S_t + b_seas, with T_t and S_t decomposed via moving average pooling (Eq. 4–7). Then ℋ_Lin is contained within the topological closure of the PSO-TCWavKAN hypothesis space: ℋ_Lin ⊂ ℋ̄_PSO-TCWavKAN. Furthermore, when decomposition kernel lengths satisfy K_1 = K_2 = 25, ℋ_Lin collapses identically to canonical DLinear [4]. Specifically, the parameterized neural routing gate:</w:t>
      </w:r>
    </w:p>
    <w:p>
      <w:pPr>
        <w:spacing w:before="120" w:after="120" w:line="276" w:lineRule="auto"/>
        <w:jc w:val="center"/>
      </w:pPr>
      <w:r>
        <w:rPr>
          <w:rFonts w:ascii="Cambria Math" w:hAnsi="Cambria Math"/>
          <w:sz w:val="21"/>
        </w:rPr>
        <w:t>g(x̃) = sigmoid(W_2 · GELU(W_1 · x̃ + b_1) + b_2) ∈ (0,1)^H    (Eq. (12)</w:t>
      </w:r>
    </w:p>
    <w:p>
      <w:pPr>
        <w:spacing w:before="0" w:after="120" w:line="276" w:lineRule="auto"/>
        <w:jc w:val="both"/>
      </w:pPr>
      <w:r>
        <w:rPr>
          <w:rFonts w:ascii="Times New Roman" w:hAnsi="Times New Roman"/>
          <w:b w:val="0"/>
          <w:i w:val="0"/>
          <w:color w:val="000000"/>
          <w:sz w:val="22"/>
        </w:rPr>
        <w:t>with input normalized sequence x̃ ∈ ℝ^L, intermediate gating dimension D_g = 64, projection weights W_1 ∈ ℝ^D_g × L, W_2 ∈ ℝ^H × D_g, and output bias initialized to b_2 = -0.5, continuously interpolates between the linear baseline and the non-linear wavelet KAN representation:</w:t>
      </w:r>
    </w:p>
    <w:p>
      <w:pPr>
        <w:spacing w:before="120" w:after="120" w:line="276" w:lineRule="auto"/>
        <w:jc w:val="center"/>
      </w:pPr>
      <w:r>
        <w:rPr>
          <w:rFonts w:ascii="Cambria Math" w:hAnsi="Cambria Math"/>
          <w:sz w:val="21"/>
        </w:rPr>
        <w:t>ŷ_seas = (1 − g(x̃)) ⊙ y_seas_linear + g(x̃) ⊙ y_seas_kan    (Eq. (13)</w:t>
      </w:r>
    </w:p>
    <w:p>
      <w:pPr>
        <w:spacing w:before="120" w:after="120" w:line="276" w:lineRule="auto"/>
        <w:jc w:val="center"/>
      </w:pPr>
      <w:r>
        <w:rPr>
          <w:rFonts w:ascii="Cambria Math" w:hAnsi="Cambria Math"/>
          <w:sz w:val="21"/>
        </w:rPr>
        <w:t>ŷ = y_{trend} + ŷ_{seas}    (Eq. (14)</w:t>
      </w:r>
    </w:p>
    <w:p>
      <w:pPr>
        <w:spacing w:before="0" w:after="120" w:line="276" w:lineRule="auto"/>
        <w:jc w:val="both"/>
      </w:pPr>
      <w:r>
        <w:rPr>
          <w:rFonts w:ascii="Times New Roman" w:hAnsi="Times New Roman"/>
          <w:b w:val="0"/>
          <w:i w:val="0"/>
          <w:color w:val="000000"/>
          <w:sz w:val="22"/>
        </w:rPr>
        <w:t>In the asymptotic limit as b_2 → -∞, g(x̃) → 0, and the composite prediction ŷ identically recovers the structural output and empirical training risk of the linear model ŷ_lin.</w:t>
      </w:r>
    </w:p>
    <w:p>
      <w:pPr>
        <w:spacing w:before="0" w:after="120" w:line="276"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
      </w:r>
    </w:p>
    <w:p>
      <w:pPr>
        <w:spacing w:before="0" w:after="120" w:line="276" w:lineRule="auto"/>
        <w:jc w:val="both"/>
      </w:pPr>
      <w:r>
        <w:rPr>
          <w:rFonts w:ascii="Times New Roman" w:hAnsi="Times New Roman"/>
          <w:b w:val="0"/>
          <w:i w:val="0"/>
          <w:color w:val="000000"/>
          <w:sz w:val="22"/>
        </w:rPr>
        <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
      </w:r>
    </w:p>
    <w:p>
      <w:pPr>
        <w:spacing w:before="0" w:after="120" w:line="276" w:lineRule="auto"/>
        <w:jc w:val="both"/>
      </w:pPr>
      <w:r>
        <w:rPr>
          <w:rFonts w:ascii="Times New Roman" w:hAnsi="Times New Roman"/>
          <w:b w:val="0"/>
          <w:i w:val="0"/>
          <w:color w:val="000000"/>
          <w:sz w:val="22"/>
        </w:rPr>
        <w:t>During backpropagation, the partial derivative of the Mean Squared Error objective with respect to the h-th component of the routing gate g_h satisfies:</w:t>
      </w:r>
    </w:p>
    <w:p>
      <w:pPr>
        <w:spacing w:before="120" w:after="120" w:line="276" w:lineRule="auto"/>
        <w:jc w:val="center"/>
      </w:pPr>
      <w:r>
        <w:rPr>
          <w:rFonts w:ascii="Cambria Math" w:hAnsi="Cambria Math"/>
          <w:sz w:val="21"/>
        </w:rPr>
        <w:t>∂ℒ_total / ∂g_h = (2/H) · (ŷ_h − y_h) · (y_seas_kan, h − y_seas_linear, h)    (Eq. (15)</w:t>
      </w:r>
    </w:p>
    <w:p>
      <w:pPr>
        <w:spacing w:before="0" w:after="120" w:line="276" w:lineRule="auto"/>
        <w:jc w:val="both"/>
      </w:pPr>
      <w:r>
        <w:rPr>
          <w:rFonts w:ascii="Times New Roman" w:hAnsi="Times New Roman"/>
          <w:b w:val="0"/>
          <w:i w:val="0"/>
          <w:color w:val="000000"/>
          <w:sz w:val="22"/>
        </w:rPr>
        <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
      </w:r>
    </w:p>
    <w:p>
      <w:pPr>
        <w:spacing w:before="120" w:after="120" w:line="276" w:lineRule="auto"/>
        <w:jc w:val="center"/>
      </w:pPr>
      <w:r>
        <w:rPr>
          <w:rFonts w:ascii="Cambria Math" w:hAnsi="Cambria Math"/>
          <w:sz w:val="21"/>
        </w:rPr>
        <w:t>lim_g(x̃) → 0 ŷ = y_trend + (1 − 0) ⊙ y_seas_linear + 0 ⊙ y_seas_kan = y_trend + y_seas_linear = ŷ_lin    (Eq. (16)</w:t>
      </w:r>
    </w:p>
    <w:p>
      <w:pPr>
        <w:spacing w:before="0" w:after="120" w:line="276" w:lineRule="auto"/>
        <w:jc w:val="both"/>
      </w:pPr>
      <w:r>
        <w:rPr>
          <w:rFonts w:ascii="Times New Roman" w:hAnsi="Times New Roman"/>
          <w:b w:val="0"/>
          <w:i w:val="0"/>
          <w:color w:val="000000"/>
          <w:sz w:val="22"/>
        </w:rPr>
        <w:t>When K_1 = K_2 = 25, T_t = AvgPool(x̃, 25) matches the canonical moving average trend of DLinear, and ŷ_lin ≡ y_DLinear. Therefore, DLinear is an exact sub-manifold embedded within the closure ℋ_PSO-TCWavKAN.</w:t>
      </w:r>
    </w:p>
    <w:p>
      <w:pPr>
        <w:spacing w:before="0" w:after="120" w:line="276" w:lineRule="auto"/>
        <w:jc w:val="both"/>
      </w:pPr>
      <w:r>
        <w:rPr>
          <w:rFonts w:ascii="Times New Roman" w:hAnsi="Times New Roman"/>
          <w:b w:val="0"/>
          <w:i/>
          <w:color w:val="000000"/>
          <w:sz w:val="22"/>
        </w:rPr>
        <w:t>Remark on Generalization:</w:t>
      </w:r>
      <w:r>
        <w:rPr>
          <w:rFonts w:ascii="Times New Roman" w:hAnsi="Times New Roman"/>
          <w:b w:val="0"/>
          <w:i w:val="0"/>
          <w:color w:val="000000"/>
          <w:sz w:val="22"/>
        </w:rPr>
        <w:t xml:space="preserve"> Proposition 1 establishes asymptotic representation containment within the topological closure (ℋ_Lin ⊂ ℋ̄_PSO-TCWavKAN). Crucially, representation capability within the closure is distinct from the empirical finite-sample gradient descent trajectory and out-of-distribution test generalization: while backpropagation dynamically penalizes uninformative oscillations, finite optimization epochs, non-convex loss landscapes, and distribution shifts across unseen test partitions can lead to empirical test degradation, as observed at the extreme forecasting horizon H = 720. Q.E.D.</w:t>
      </w:r>
    </w:p>
    <w:p>
      <w:pPr>
        <w:keepNext/>
        <w:spacing w:before="200" w:after="80"/>
      </w:pPr>
      <w:r>
        <w:rPr>
          <w:rFonts w:ascii="Times New Roman" w:hAnsi="Times New Roman"/>
          <w:b/>
          <w:sz w:val="23"/>
        </w:rPr>
        <w:t>3.5. Comprehensive Learning Particle Swarm Optimization Warm-Start</w:t>
      </w:r>
    </w:p>
    <w:p>
      <w:pPr>
        <w:spacing w:before="0" w:after="120" w:line="276" w:lineRule="auto"/>
        <w:jc w:val="both"/>
      </w:pPr>
      <w:r>
        <w:rPr>
          <w:rFonts w:ascii="Times New Roman" w:hAnsi="Times New Roman"/>
          <w:b w:val="0"/>
          <w:i w:val="0"/>
          <w:color w:val="000000"/>
          <w:sz w:val="22"/>
        </w:rPr>
        <w:t>The multi-scale wavelet loss surface contains oscillatory local minima induced by the harmonic cosine terms in Eq. (8). Standard gradient descent algorithms initialized from random Gaussian distributions frequently become trapped in suboptimal local basins. To ensure optimal global convergence, we employ Modified PSO with Comprehensive Learning Exemplar (MPSOCL) [17] with Clerc constriction factor χ = 0.7298 to discover an optimal 4-dimensional hyperparameter initialization vector:</w:t>
      </w:r>
    </w:p>
    <w:p>
      <w:pPr>
        <w:spacing w:before="120" w:after="120" w:line="276" w:lineRule="auto"/>
        <w:jc w:val="center"/>
      </w:pPr>
      <w:r>
        <w:rPr>
          <w:rFonts w:ascii="Cambria Math" w:hAnsi="Cambria Math"/>
          <w:sz w:val="21"/>
        </w:rPr>
        <w:t>θ = [ω₀, log(s), logit_alpha, log(lr)]    (Eq. (17)</w:t>
      </w:r>
    </w:p>
    <w:p>
      <w:pPr>
        <w:spacing w:before="0" w:after="120" w:line="276" w:lineRule="auto"/>
        <w:jc w:val="both"/>
      </w:pPr>
      <w:r>
        <w:rPr>
          <w:rFonts w:ascii="Times New Roman" w:hAnsi="Times New Roman"/>
          <w:b w:val="0"/>
          <w:i w:val="0"/>
          <w:color w:val="000000"/>
          <w:sz w:val="22"/>
        </w:rPr>
        <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
      </w:r>
    </w:p>
    <w:p>
      <w:pPr>
        <w:spacing w:before="0" w:after="120" w:line="276" w:lineRule="auto"/>
        <w:jc w:val="both"/>
      </w:pPr>
      <w:r>
        <w:rPr>
          <w:rFonts w:ascii="Times New Roman" w:hAnsi="Times New Roman"/>
          <w:b w:val="0"/>
          <w:i w:val="0"/>
          <w:color w:val="000000"/>
          <w:sz w:val="22"/>
        </w:rPr>
        <w:t>In CLPSO, each dimension d of particle i learns from the personal best (pbest) of an exemplar particle f_i(d), selected via tournament-based exemplar assignment governed by learning probability Pc_i:</w:t>
      </w:r>
    </w:p>
    <w:p>
      <w:pPr>
        <w:spacing w:before="120" w:after="120" w:line="276" w:lineRule="auto"/>
        <w:jc w:val="center"/>
      </w:pPr>
      <w:r>
        <w:rPr>
          <w:rFonts w:ascii="Cambria Math" w:hAnsi="Cambria Math"/>
          <w:sz w:val="21"/>
        </w:rPr>
        <w:t>Pc_i = 0.05 + 0.45 · (exp((10(i − 1)) / (N_p − 1)) − 1) / (exp(10) − 1)    (Eq. (18)</w:t>
      </w:r>
    </w:p>
    <w:p>
      <w:pPr>
        <w:spacing w:before="0" w:after="120" w:line="276" w:lineRule="auto"/>
        <w:jc w:val="both"/>
      </w:pPr>
      <w:r>
        <w:rPr>
          <w:rFonts w:ascii="Times New Roman" w:hAnsi="Times New Roman"/>
          <w:b w:val="0"/>
          <w:i w:val="0"/>
          <w:color w:val="000000"/>
          <w:sz w:val="22"/>
        </w:rPr>
        <w:t>The velocity and position update equations employ the Clerc constriction formulation [18] to guarantee mathematically stable swarm dynamics:</w:t>
      </w:r>
    </w:p>
    <w:p>
      <w:pPr>
        <w:spacing w:before="120" w:after="120" w:line="276" w:lineRule="auto"/>
        <w:jc w:val="center"/>
      </w:pPr>
      <w:r>
        <w:rPr>
          <w:rFonts w:ascii="Cambria Math" w:hAnsi="Cambria Math"/>
          <w:sz w:val="21"/>
        </w:rPr>
        <w:t>v_{i,d}^{t+1} = χ · [v_{i,d}^t + c_1 · r_{i,d} · (pbest_{f_i(d),d}^t − x_{i,d}^t)]    (Eq. (19)</w:t>
      </w:r>
    </w:p>
    <w:p>
      <w:pPr>
        <w:spacing w:before="120" w:after="120" w:line="276" w:lineRule="auto"/>
        <w:jc w:val="center"/>
      </w:pPr>
      <w:r>
        <w:rPr>
          <w:rFonts w:ascii="Cambria Math" w:hAnsi="Cambria Math"/>
          <w:sz w:val="21"/>
        </w:rPr>
        <w:t>x_{i,d}^{t+1} = x_{i,d}^t + v_{i,d}^{t+1}    (Eq. (20)</w:t>
      </w:r>
    </w:p>
    <w:p>
      <w:pPr>
        <w:spacing w:before="0" w:after="120" w:line="276" w:lineRule="auto"/>
        <w:jc w:val="both"/>
      </w:pPr>
      <w:r>
        <w:rPr>
          <w:rFonts w:ascii="Times New Roman" w:hAnsi="Times New Roman"/>
          <w:b w:val="0"/>
          <w:i w:val="0"/>
          <w:color w:val="000000"/>
          <w:sz w:val="22"/>
        </w:rPr>
        <w:t>where acceleration constants c_1 = c_2 = 2.05 (with φ = c_1 + c_2 = 4.1 and 4φ = 16.4), yielding the Clerc constriction factor χ = (2)/(|2 - φ - √(φ^2 - 4φ)|) = 0.7298 and effective acceleration coefficient χ · c_1 = 1.4962. To strictly bound computational overhead, CLPSO is executed across N_p = 5 particles for G_max = 5 generations (yielding exactly 25 candidate evaluations) on a fast 15% training surrogate subset. The discovered optimal initialization vector θ^* is then deployed as the starting configuration for full AdamW gradient fine-tuning. The swarm convergence trajectory across successive generations and the resulting hyperparameter landscape are depicted in Fig. 4.</w:t>
      </w:r>
    </w:p>
    <w:p>
      <w:pPr>
        <w:spacing w:before="200" w:after="80"/>
        <w:jc w:val="center"/>
      </w:pPr>
      <w:r>
        <w:drawing>
          <wp:inline xmlns:a="http://schemas.openxmlformats.org/drawingml/2006/main" xmlns:pic="http://schemas.openxmlformats.org/drawingml/2006/picture">
            <wp:extent cx="5303520" cy="2031859"/>
            <wp:docPr id="4" name="Picture 4"/>
            <wp:cNvGraphicFramePr>
              <a:graphicFrameLocks noChangeAspect="1"/>
            </wp:cNvGraphicFramePr>
            <a:graphic>
              <a:graphicData uri="http://schemas.openxmlformats.org/drawingml/2006/picture">
                <pic:pic>
                  <pic:nvPicPr>
                    <pic:cNvPr id="0" name="v81_clpso_convergence.png"/>
                    <pic:cNvPicPr/>
                  </pic:nvPicPr>
                  <pic:blipFill>
                    <a:blip r:embed="rId12"/>
                    <a:stretch>
                      <a:fillRect/>
                    </a:stretch>
                  </pic:blipFill>
                  <pic:spPr>
                    <a:xfrm>
                      <a:off x="0" y="0"/>
                      <a:ext cx="5303520" cy="2031859"/>
                    </a:xfrm>
                    <a:prstGeom prst="rect"/>
                  </pic:spPr>
                </pic:pic>
              </a:graphicData>
            </a:graphic>
          </wp:inline>
        </w:drawing>
      </w:r>
    </w:p>
    <w:p>
      <w:pPr>
        <w:spacing w:before="40" w:after="240"/>
        <w:jc w:val="center"/>
      </w:pPr>
      <w:r>
        <w:rPr>
          <w:rFonts w:ascii="Times New Roman" w:hAnsi="Times New Roman"/>
          <w:b w:val="0"/>
          <w:i/>
          <w:color w:val="000000"/>
          <w:sz w:val="19"/>
        </w:rPr>
        <w:t>Fig. 4 Swarm Optimization Characteristics and Wavelet Hyperparameter Landscape under CLPSO Warm-Start. (a) Fitness (surrogate MSE) trajectory across 5 successive swarm generations for independent CLPSO runs across seeds {1000,2000,3000} (baselines); {1000,2000,3000,4000,5000} (PSO-TCWavKAN) (with {42, 43, 44} logged in sensitivity checks), confirming monotonic convergence and escape from ripple trap basins. (b) Optimized wavelet hyperparameter landscape showing base frequency omega_0 versus log octave scale log(s), confirming robust localization of the global basin prior to gradient descent.</w:t>
      </w:r>
    </w:p>
    <w:p>
      <w:pPr>
        <w:keepNext/>
        <w:spacing w:before="200" w:after="80"/>
      </w:pPr>
      <w:r>
        <w:rPr>
          <w:rFonts w:ascii="Times New Roman" w:hAnsi="Times New Roman"/>
          <w:b/>
          <w:sz w:val="23"/>
        </w:rPr>
        <w:t>3.6. Stochastic Weight Averaging and Objective Function</w:t>
      </w:r>
    </w:p>
    <w:p>
      <w:pPr>
        <w:spacing w:before="0" w:after="120" w:line="276" w:lineRule="auto"/>
        <w:jc w:val="both"/>
      </w:pPr>
      <w:r>
        <w:rPr>
          <w:rFonts w:ascii="Times New Roman" w:hAnsi="Times New Roman"/>
          <w:b w:val="0"/>
          <w:i w:val="0"/>
          <w:color w:val="000000"/>
          <w:sz w:val="22"/>
        </w:rPr>
        <w:t>Following MPSOCL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fixed reduced learning rate (η_SWA = 5 × 10^-5):</w:t>
      </w:r>
    </w:p>
    <w:p>
      <w:pPr>
        <w:spacing w:before="120" w:after="120" w:line="276" w:lineRule="auto"/>
        <w:jc w:val="center"/>
      </w:pPr>
      <w:r>
        <w:rPr>
          <w:rFonts w:ascii="Cambria Math" w:hAnsi="Cambria Math"/>
          <w:sz w:val="21"/>
        </w:rPr>
        <w:t>Θ_{SWA} = (n_{SWA} · Θ_{SWA} + Θ_{epoch}) / (n_{SWA} + 1)    (Eq. (21)</w:t>
      </w:r>
    </w:p>
    <w:p>
      <w:pPr>
        <w:spacing w:before="0" w:after="120" w:line="276" w:lineRule="auto"/>
        <w:jc w:val="both"/>
      </w:pPr>
      <w:r>
        <w:rPr>
          <w:rFonts w:ascii="Times New Roman" w:hAnsi="Times New Roman"/>
          <w:b w:val="0"/>
          <w:i w:val="0"/>
          <w:color w:val="000000"/>
          <w:sz w:val="22"/>
        </w:rPr>
        <w:t>SWA shifts the final parameter trajectory toward the center of wide, flat loss basins, improving out-of-distribution generalization on unseen test partitions. The network is trained using a composite Mean Squared Error loss with L_1 wavelet sparsity regularization:</w:t>
      </w:r>
    </w:p>
    <w:p>
      <w:pPr>
        <w:spacing w:before="120" w:after="120" w:line="276" w:lineRule="auto"/>
        <w:jc w:val="center"/>
      </w:pPr>
      <w:r>
        <w:rPr>
          <w:rFonts w:ascii="Cambria Math" w:hAnsi="Cambria Math"/>
          <w:sz w:val="21"/>
        </w:rPr>
        <w:t>ℒ_{total} = (1/H) ∑_{h=1}^{H} (y_h − ŷ_h)^2 = MSE(y, ŷ)    (Eq. (22)</w:t>
      </w:r>
    </w:p>
    <w:p>
      <w:pPr>
        <w:spacing w:before="0" w:after="120" w:line="276" w:lineRule="auto"/>
        <w:jc w:val="both"/>
      </w:pPr>
      <w:r>
        <w:rPr>
          <w:rFonts w:ascii="Times New Roman" w:hAnsi="Times New Roman"/>
          <w:b w:val="0"/>
          <w:i w:val="0"/>
          <w:color w:val="000000"/>
          <w:sz w:val="22"/>
        </w:rPr>
        <w:t>where network parameters are optimized under standard Mean Squared Error loss with AdamW weight decay (1 × 10^-4) providing global L2 regularization, ensuring consistent gradient propagation across all multi-frequency wavelet channels without artificial knot reallocations.</w:t>
      </w:r>
    </w:p>
    <w:p>
      <w:pPr>
        <w:keepNext/>
        <w:spacing w:before="200" w:after="80"/>
      </w:pPr>
      <w:r>
        <w:rPr>
          <w:rFonts w:ascii="Times New Roman" w:hAnsi="Times New Roman"/>
          <w:b/>
          <w:sz w:val="23"/>
        </w:rPr>
        <w:t>3.7. Algorithmic Optimization and Inference Protocol</w:t>
      </w:r>
    </w:p>
    <w:p>
      <w:pPr>
        <w:spacing w:before="0" w:after="120" w:line="276" w:lineRule="auto"/>
        <w:jc w:val="both"/>
      </w:pPr>
      <w:r>
        <w:rPr>
          <w:rFonts w:ascii="Times New Roman" w:hAnsi="Times New Roman"/>
          <w:b w:val="0"/>
          <w:i w:val="0"/>
          <w:color w:val="000000"/>
          <w:sz w:val="22"/>
        </w:rPr>
        <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
      </w:r>
    </w:p>
    <w:tbl>
      <w:tblPr>
        <w:tblW w:type="auto" w:w="0"/>
        <w:jc w:val="center"/>
        <w:tblLook w:firstColumn="1" w:firstRow="1" w:lastColumn="0" w:lastRow="0" w:noHBand="0" w:noVBand="1" w:val="04A0"/>
      </w:tblPr>
      <w:tblGrid>
        <w:gridCol w:w="9360"/>
      </w:tblGrid>
      <w:tr>
        <w:tc>
          <w:tcPr>
            <w:tcW w:type="dxa" w:w="9360"/>
            <w:tcMar>
              <w:top w:w="120" w:type="dxa"/>
              <w:bottom w:w="120" w:type="dxa"/>
              <w:left w:w="160" w:type="dxa"/>
              <w:right w:w="160" w:type="dxa"/>
            </w:tcMar>
            <w:shd w:fill="F8FAFC"/>
            <w:tcBorders>
              <w:top w:val="single" w:sz="14" w:space="0" w:color="1A365D"/>
              <w:left w:val="none"/>
              <w:bottom w:val="single" w:sz="14" w:space="0" w:color="1A365D"/>
              <w:right w:val="none"/>
            </w:tcBorders>
          </w:tcPr>
          <w:p>
            <w:pPr>
              <w:spacing w:before="0" w:after="20" w:line="252" w:lineRule="auto"/>
            </w:pPr>
            <w:r>
              <w:rPr>
                <w:rFonts w:ascii="Consolas" w:hAnsi="Consolas"/>
                <w:b/>
                <w:color w:val="1A365D"/>
                <w:sz w:val="17"/>
              </w:rPr>
              <w:t>Algorithm 1: Two-Stage Optimization and Inference Protocol of PSO-TCWavKAN</w:t>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Input:</w:t>
            </w:r>
          </w:p>
          <w:p>
            <w:pPr>
              <w:spacing w:before="0" w:after="20" w:line="252" w:lineRule="auto"/>
            </w:pPr>
            <w:r>
              <w:rPr>
                <w:rFonts w:ascii="Consolas" w:hAnsi="Consolas"/>
                <w:sz w:val="17"/>
              </w:rPr>
              <w:t xml:space="preserve">  - Input telemetry sequence X in R^{L x 1} (lookback length L, target OT channel)</w:t>
            </w:r>
          </w:p>
          <w:p>
            <w:pPr>
              <w:spacing w:before="0" w:after="20" w:line="252" w:lineRule="auto"/>
            </w:pPr>
            <w:r>
              <w:rPr>
                <w:rFonts w:ascii="Consolas" w:hAnsi="Consolas"/>
                <w:sz w:val="17"/>
              </w:rPr>
              <w:t xml:space="preserve">  - Target forecast horizon H, patch length P in {16, 24}, stride S in {8, 12}, latent dimension D = 32</w:t>
            </w:r>
          </w:p>
          <w:p>
            <w:pPr>
              <w:spacing w:before="0" w:after="20" w:line="252" w:lineRule="auto"/>
            </w:pPr>
            <w:r>
              <w:rPr>
                <w:rFonts w:ascii="Consolas" w:hAnsi="Consolas"/>
                <w:sz w:val="17"/>
              </w:rPr>
              <w:t xml:space="preserve">  - Swarm parameters: swarm size N_p = 5, generations G_max = 5, constriction chi = 0.7298, c_1 = c_2 = 2.05</w:t>
            </w:r>
          </w:p>
          <w:p>
            <w:pPr>
              <w:spacing w:before="0" w:after="20" w:line="252" w:lineRule="auto"/>
            </w:pPr>
            <w:r>
              <w:rPr>
                <w:rFonts w:ascii="Consolas" w:hAnsi="Consolas"/>
                <w:sz w:val="17"/>
              </w:rPr>
              <w:t xml:space="preserve">  - Surrogate training partition D_surr subset D_train (15% random subset)</w:t>
            </w:r>
          </w:p>
          <w:p>
            <w:pPr>
              <w:spacing w:before="0" w:after="20" w:line="252" w:lineRule="auto"/>
            </w:pPr>
            <w:r>
              <w:rPr>
                <w:rFonts w:ascii="Consolas" w:hAnsi="Consolas"/>
                <w:sz w:val="17"/>
              </w:rPr>
              <w:t xml:space="preserve">  - Full training dataset D_train, initial epochs E = 60 (patience = 12), dedicated SWA epochs E_SWA = 15</w:t>
            </w:r>
          </w:p>
          <w:p>
            <w:pPr>
              <w:spacing w:before="0" w:after="20" w:line="252" w:lineRule="auto"/>
            </w:pPr>
            <w:r>
              <w:rPr>
                <w:rFonts w:ascii="Consolas" w:hAnsi="Consolas"/>
                <w:sz w:val="17"/>
              </w:rPr>
              <w:t xml:space="preserve">  - Wavelet filter bank: K_w = 5 learnable frequency components (adaptive dyadic spacing via learned γ), DropKAN dropout rate p_drop = 0.1</w:t>
            </w:r>
          </w:p>
          <w:p>
            <w:pPr>
              <w:spacing w:before="0" w:after="20" w:line="252" w:lineRule="auto"/>
            </w:pPr>
            <w:r>
              <w:rPr>
                <w:rFonts w:ascii="Consolas" w:hAnsi="Consolas"/>
                <w:sz w:val="17"/>
              </w:rPr>
            </w:r>
          </w:p>
          <w:p>
            <w:pPr>
              <w:spacing w:before="0" w:after="20" w:line="252" w:lineRule="auto"/>
            </w:pPr>
            <w:r>
              <w:rPr>
                <w:rFonts w:ascii="Consolas" w:hAnsi="Consolas"/>
                <w:b/>
                <w:color w:val="1A365D"/>
                <w:sz w:val="17"/>
              </w:rPr>
              <w:t>Output:</w:t>
            </w:r>
          </w:p>
          <w:p>
            <w:pPr>
              <w:spacing w:before="0" w:after="20" w:line="252" w:lineRule="auto"/>
            </w:pPr>
            <w:r>
              <w:rPr>
                <w:rFonts w:ascii="Consolas" w:hAnsi="Consolas"/>
                <w:sz w:val="17"/>
              </w:rPr>
              <w:t xml:space="preserve">  - Optimal model parameter set Theta* = {W_trend, b_trend, W_seas, b_seas, W_patch, </w:t>
            </w:r>
          </w:p>
          <w:p>
            <w:pPr>
              <w:spacing w:before="0" w:after="20" w:line="252" w:lineRule="auto"/>
            </w:pPr>
            <w:r>
              <w:rPr>
                <w:rFonts w:ascii="Consolas" w:hAnsi="Consolas"/>
                <w:sz w:val="17"/>
              </w:rPr>
              <w:t xml:space="preserve">                                          omega_0, gamma, w_k, mu_k, s_k, W_a, b_a, </w:t>
            </w:r>
          </w:p>
          <w:p>
            <w:pPr>
              <w:spacing w:before="0" w:after="20" w:line="252" w:lineRule="auto"/>
            </w:pPr>
            <w:r>
              <w:rPr>
                <w:rFonts w:ascii="Consolas" w:hAnsi="Consolas"/>
                <w:sz w:val="17"/>
              </w:rPr>
              <w:t xml:space="preserve">                                          W_t, b_t, W_f, w_t, w_f, W_1, b_1, W_2, b_2}</w:t>
            </w:r>
          </w:p>
          <w:p>
            <w:pPr>
              <w:spacing w:before="0" w:after="20" w:line="252" w:lineRule="auto"/>
            </w:pPr>
            <w:r>
              <w:rPr>
                <w:rFonts w:ascii="Consolas" w:hAnsi="Consolas"/>
                <w:sz w:val="17"/>
              </w:rPr>
              <w:t xml:space="preserve">  - Multi-step future forecast Y_hat in R^{H x 1}</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1: CLPSO Global Swarm Warm-Start (Bypassing Ripple Traps)</w:t>
            </w:r>
          </w:p>
          <w:p>
            <w:pPr>
              <w:spacing w:before="0" w:after="20" w:line="252" w:lineRule="auto"/>
            </w:pPr>
            <w:r>
              <w:rPr>
                <w:rFonts w:ascii="Consolas" w:hAnsi="Consolas"/>
                <w:sz w:val="17"/>
              </w:rPr>
              <w:t xml:space="preserve">  1: Initialize particle swarm {theta_i}_{i=1}^{N_p} uniformly within bounded 4D search space:</w:t>
            </w:r>
          </w:p>
          <w:p>
            <w:pPr>
              <w:spacing w:before="0" w:after="20" w:line="252" w:lineRule="auto"/>
            </w:pPr>
            <w:r>
              <w:rPr>
                <w:rFonts w:ascii="Consolas" w:hAnsi="Consolas"/>
                <w:sz w:val="17"/>
              </w:rPr>
              <w:t xml:space="preserve">       theta_i = [omega_0^(i), log(s^(i)), logit_alpha^(i), log(lr^(i))]</w:t>
            </w:r>
          </w:p>
          <w:p>
            <w:pPr>
              <w:spacing w:before="0" w:after="20" w:line="252" w:lineRule="auto"/>
            </w:pPr>
            <w:r>
              <w:rPr>
                <w:rFonts w:ascii="Consolas" w:hAnsi="Consolas"/>
                <w:sz w:val="17"/>
              </w:rPr>
              <w:t xml:space="preserve">  2: Initialize velocity vectors v_i = 0 and personal bests pbest_i = theta_i for all i in {1, ..., N_p}</w:t>
            </w:r>
          </w:p>
          <w:p>
            <w:pPr>
              <w:spacing w:before="0" w:after="20" w:line="252" w:lineRule="auto"/>
            </w:pPr>
            <w:r>
              <w:rPr>
                <w:rFonts w:ascii="Consolas" w:hAnsi="Consolas"/>
                <w:sz w:val="17"/>
              </w:rPr>
              <w:t xml:space="preserve">  3: Evaluate initial surrogate fitness J(theta_i) = MSE(D_surr; theta_i) using Eq. (22)</w:t>
            </w:r>
          </w:p>
          <w:p>
            <w:pPr>
              <w:spacing w:before="0" w:after="20" w:line="252" w:lineRule="auto"/>
            </w:pPr>
            <w:r>
              <w:rPr>
                <w:rFonts w:ascii="Consolas" w:hAnsi="Consolas"/>
                <w:sz w:val="17"/>
              </w:rPr>
              <w:t xml:space="preserve">  4: Identify global best particle: gbest = argmin_{pbest_i} J(pbest_i)</w:t>
            </w:r>
          </w:p>
          <w:p>
            <w:pPr>
              <w:spacing w:before="0" w:after="20" w:line="252" w:lineRule="auto"/>
            </w:pPr>
            <w:r>
              <w:rPr>
                <w:rFonts w:ascii="Consolas" w:hAnsi="Consolas"/>
                <w:sz w:val="17"/>
              </w:rPr>
              <w:t xml:space="preserve">  5: For generation g = 1 to G_max do:</w:t>
            </w:r>
          </w:p>
          <w:p>
            <w:pPr>
              <w:spacing w:before="0" w:after="20" w:line="252" w:lineRule="auto"/>
            </w:pPr>
            <w:r>
              <w:rPr>
                <w:rFonts w:ascii="Consolas" w:hAnsi="Consolas"/>
                <w:sz w:val="17"/>
              </w:rPr>
              <w:t xml:space="preserve">  6:    For each particle i = 1 to N_p do:</w:t>
            </w:r>
          </w:p>
          <w:p>
            <w:pPr>
              <w:spacing w:before="0" w:after="20" w:line="252" w:lineRule="auto"/>
            </w:pPr>
            <w:r>
              <w:rPr>
                <w:rFonts w:ascii="Consolas" w:hAnsi="Consolas"/>
                <w:sz w:val="17"/>
              </w:rPr>
              <w:t xml:space="preserve">  7:       Compute dimension-wise learning probability Pc_i via Eq. (18)</w:t>
            </w:r>
          </w:p>
          <w:p>
            <w:pPr>
              <w:spacing w:before="0" w:after="20" w:line="252" w:lineRule="auto"/>
            </w:pPr>
            <w:r>
              <w:rPr>
                <w:rFonts w:ascii="Consolas" w:hAnsi="Consolas"/>
                <w:sz w:val="17"/>
              </w:rPr>
              <w:t xml:space="preserve">  8:       For each dimension d in {1, ..., 4} do:</w:t>
            </w:r>
          </w:p>
          <w:p>
            <w:pPr>
              <w:spacing w:before="0" w:after="20" w:line="252" w:lineRule="auto"/>
            </w:pPr>
            <w:r>
              <w:rPr>
                <w:rFonts w:ascii="Consolas" w:hAnsi="Consolas"/>
                <w:sz w:val="17"/>
              </w:rPr>
              <w:t xml:space="preserve">  9:          Select exemplar particle f_i(d) via tournament selection based on Pc_i</w:t>
            </w:r>
          </w:p>
          <w:p>
            <w:pPr>
              <w:spacing w:before="0" w:after="20" w:line="252" w:lineRule="auto"/>
            </w:pPr>
            <w:r>
              <w:rPr>
                <w:rFonts w:ascii="Consolas" w:hAnsi="Consolas"/>
                <w:sz w:val="17"/>
              </w:rPr>
              <w:t xml:space="preserve"> 10:          Update velocity: v_{i,d}^{t+1} = chi * [v_{i,d}^t + c_1 * r_{i,d} * (pbest_{f_i(d),d}^t - x_{i,d}^t)] (Eq. (19)</w:t>
            </w:r>
          </w:p>
          <w:p>
            <w:pPr>
              <w:spacing w:before="0" w:after="20" w:line="252" w:lineRule="auto"/>
            </w:pPr>
            <w:r>
              <w:rPr>
                <w:rFonts w:ascii="Consolas" w:hAnsi="Consolas"/>
                <w:sz w:val="17"/>
              </w:rPr>
              <w:t xml:space="preserve"> 11:          Update position: x_{i,d}^{t+1} = x_{i,d}^t + v_{i,d}^{t+1} (Eq. (20)</w:t>
            </w:r>
          </w:p>
          <w:p>
            <w:pPr>
              <w:spacing w:before="0" w:after="20" w:line="252" w:lineRule="auto"/>
            </w:pPr>
            <w:r>
              <w:rPr>
                <w:rFonts w:ascii="Consolas" w:hAnsi="Consolas"/>
                <w:sz w:val="17"/>
              </w:rPr>
              <w:t xml:space="preserve"> 12:          Clamp position x_{i,d}^{t+1} within predefined search bounds [x_min, x_max]</w:t>
            </w:r>
          </w:p>
          <w:p>
            <w:pPr>
              <w:spacing w:before="0" w:after="20" w:line="252" w:lineRule="auto"/>
            </w:pPr>
            <w:r>
              <w:rPr>
                <w:rFonts w:ascii="Consolas" w:hAnsi="Consolas"/>
                <w:sz w:val="17"/>
              </w:rPr>
              <w:t xml:space="preserve"> 13:       End For</w:t>
            </w:r>
          </w:p>
          <w:p>
            <w:pPr>
              <w:spacing w:before="0" w:after="20" w:line="252" w:lineRule="auto"/>
            </w:pPr>
            <w:r>
              <w:rPr>
                <w:rFonts w:ascii="Consolas" w:hAnsi="Consolas"/>
                <w:sz w:val="17"/>
              </w:rPr>
              <w:t xml:space="preserve"> 14:       Evaluate surrogate fitness: J_new = MSE(D_surr; x_i^{t+1})</w:t>
            </w:r>
          </w:p>
          <w:p>
            <w:pPr>
              <w:spacing w:before="0" w:after="20" w:line="252" w:lineRule="auto"/>
            </w:pPr>
            <w:r>
              <w:rPr>
                <w:rFonts w:ascii="Consolas" w:hAnsi="Consolas"/>
                <w:sz w:val="17"/>
              </w:rPr>
              <w:t xml:space="preserve"> 15:       If J_new &lt; J(pbest_i) then:</w:t>
            </w:r>
          </w:p>
          <w:p>
            <w:pPr>
              <w:spacing w:before="0" w:after="20" w:line="252" w:lineRule="auto"/>
            </w:pPr>
            <w:r>
              <w:rPr>
                <w:rFonts w:ascii="Consolas" w:hAnsi="Consolas"/>
                <w:sz w:val="17"/>
              </w:rPr>
              <w:t xml:space="preserve"> 16:          pbest_i = x_i^{t+1}</w:t>
            </w:r>
          </w:p>
          <w:p>
            <w:pPr>
              <w:spacing w:before="0" w:after="20" w:line="252" w:lineRule="auto"/>
            </w:pPr>
            <w:r>
              <w:rPr>
                <w:rFonts w:ascii="Consolas" w:hAnsi="Consolas"/>
                <w:sz w:val="17"/>
              </w:rPr>
              <w:t xml:space="preserve"> 17:       End If</w:t>
            </w:r>
          </w:p>
          <w:p>
            <w:pPr>
              <w:spacing w:before="0" w:after="20" w:line="252" w:lineRule="auto"/>
            </w:pPr>
            <w:r>
              <w:rPr>
                <w:rFonts w:ascii="Consolas" w:hAnsi="Consolas"/>
                <w:sz w:val="17"/>
              </w:rPr>
              <w:t xml:space="preserve"> 18:       If J_new &lt; J(gbest) then:</w:t>
            </w:r>
          </w:p>
          <w:p>
            <w:pPr>
              <w:spacing w:before="0" w:after="20" w:line="252" w:lineRule="auto"/>
            </w:pPr>
            <w:r>
              <w:rPr>
                <w:rFonts w:ascii="Consolas" w:hAnsi="Consolas"/>
                <w:sz w:val="17"/>
              </w:rPr>
              <w:t xml:space="preserve"> 19:          gbest = x_i^{t+1}</w:t>
            </w:r>
          </w:p>
          <w:p>
            <w:pPr>
              <w:spacing w:before="0" w:after="20" w:line="252" w:lineRule="auto"/>
            </w:pPr>
            <w:r>
              <w:rPr>
                <w:rFonts w:ascii="Consolas" w:hAnsi="Consolas"/>
                <w:sz w:val="17"/>
              </w:rPr>
              <w:t xml:space="preserve"> 20:       End If</w:t>
            </w:r>
          </w:p>
          <w:p>
            <w:pPr>
              <w:spacing w:before="0" w:after="20" w:line="252" w:lineRule="auto"/>
            </w:pPr>
            <w:r>
              <w:rPr>
                <w:rFonts w:ascii="Consolas" w:hAnsi="Consolas"/>
                <w:sz w:val="17"/>
              </w:rPr>
              <w:t xml:space="preserve"> 21:    End For</w:t>
            </w:r>
          </w:p>
          <w:p>
            <w:pPr>
              <w:spacing w:before="0" w:after="20" w:line="252" w:lineRule="auto"/>
            </w:pPr>
            <w:r>
              <w:rPr>
                <w:rFonts w:ascii="Consolas" w:hAnsi="Consolas"/>
                <w:sz w:val="17"/>
              </w:rPr>
              <w:t xml:space="preserve"> 22: End For</w:t>
            </w:r>
          </w:p>
          <w:p>
            <w:pPr>
              <w:spacing w:before="0" w:after="20" w:line="252" w:lineRule="auto"/>
            </w:pPr>
            <w:r>
              <w:rPr>
                <w:rFonts w:ascii="Consolas" w:hAnsi="Consolas"/>
                <w:sz w:val="17"/>
              </w:rPr>
              <w:t xml:space="preserve"> 23: Extract optimal warm-start initialization vector: theta* = gbest</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2: End-to-End Gradient Fine-Tuning and Stochastic Weight Averaging</w:t>
            </w:r>
          </w:p>
          <w:p>
            <w:pPr>
              <w:spacing w:before="0" w:after="20" w:line="252" w:lineRule="auto"/>
            </w:pPr>
            <w:r>
              <w:rPr>
                <w:rFonts w:ascii="Consolas" w:hAnsi="Consolas"/>
                <w:sz w:val="17"/>
              </w:rPr>
              <w:t xml:space="preserve"> 24: Initialize network weights Theta_0 using warm-started hyperparameters theta*</w:t>
            </w:r>
          </w:p>
          <w:p>
            <w:pPr>
              <w:spacing w:before="0" w:after="20" w:line="252" w:lineRule="auto"/>
            </w:pPr>
            <w:r>
              <w:rPr>
                <w:rFonts w:ascii="Consolas" w:hAnsi="Consolas"/>
                <w:sz w:val="17"/>
              </w:rPr>
              <w:t xml:space="preserve"> 25: Initialize SWA weight accumulator: Theta_SWA = Theta_0, n_SWA = 0, track best validation loss</w:t>
            </w:r>
          </w:p>
          <w:p>
            <w:pPr>
              <w:spacing w:before="0" w:after="20" w:line="252" w:lineRule="auto"/>
            </w:pPr>
            <w:r>
              <w:rPr>
                <w:rFonts w:ascii="Consolas" w:hAnsi="Consolas"/>
                <w:sz w:val="17"/>
              </w:rPr>
              <w:t xml:space="preserve"> 26: For epoch e = 1 to E do:</w:t>
            </w:r>
          </w:p>
          <w:p>
            <w:pPr>
              <w:spacing w:before="0" w:after="20" w:line="252" w:lineRule="auto"/>
            </w:pPr>
            <w:r>
              <w:rPr>
                <w:rFonts w:ascii="Consolas" w:hAnsi="Consolas"/>
                <w:sz w:val="17"/>
              </w:rPr>
              <w:t xml:space="preserve"> 27:    For each mini-batch (X_b, Y_b) in D_train do:</w:t>
            </w:r>
          </w:p>
          <w:p>
            <w:pPr>
              <w:spacing w:before="0" w:after="20" w:line="252" w:lineRule="auto"/>
            </w:pPr>
            <w:r>
              <w:rPr>
                <w:rFonts w:ascii="Consolas" w:hAnsi="Consolas"/>
                <w:sz w:val="17"/>
              </w:rPr>
              <w:t xml:space="preserve"> 28:       Normalize input via RevIN: X_tilde = (X_b - mu_b) / sigma_b (Eq. 1-3)</w:t>
            </w:r>
          </w:p>
          <w:p>
            <w:pPr>
              <w:spacing w:before="0" w:after="20" w:line="252" w:lineRule="auto"/>
            </w:pPr>
            <w:r>
              <w:rPr>
                <w:rFonts w:ascii="Consolas" w:hAnsi="Consolas"/>
                <w:sz w:val="17"/>
              </w:rPr>
              <w:t xml:space="preserve"> 29:       Decompose X_tilde into trend and residual via Multi-Kernel Pooling:</w:t>
            </w:r>
          </w:p>
          <w:p>
            <w:pPr>
              <w:spacing w:before="0" w:after="20" w:line="252" w:lineRule="auto"/>
            </w:pPr>
            <w:r>
              <w:rPr>
                <w:rFonts w:ascii="Consolas" w:hAnsi="Consolas"/>
                <w:sz w:val="17"/>
              </w:rPr>
              <w:t xml:space="preserve">             T_b = 0.5 * AvgPool(X_tilde, K_1) + 0.5 * AvgPool(X_tilde, K_2) (Eq. 4-6)</w:t>
            </w:r>
          </w:p>
          <w:p>
            <w:pPr>
              <w:spacing w:before="0" w:after="20" w:line="252" w:lineRule="auto"/>
            </w:pPr>
            <w:r>
              <w:rPr>
                <w:rFonts w:ascii="Consolas" w:hAnsi="Consolas"/>
                <w:sz w:val="17"/>
              </w:rPr>
              <w:t xml:space="preserve">             S_b = X_tilde - T_b (Eq. (7)</w:t>
            </w:r>
          </w:p>
          <w:p>
            <w:pPr>
              <w:spacing w:before="0" w:after="20" w:line="252" w:lineRule="auto"/>
            </w:pPr>
            <w:r>
              <w:rPr>
                <w:rFonts w:ascii="Consolas" w:hAnsi="Consolas"/>
                <w:sz w:val="17"/>
              </w:rPr>
              <w:t xml:space="preserve"> 30:       Compute linear projections:</w:t>
            </w:r>
          </w:p>
          <w:p>
            <w:pPr>
              <w:spacing w:before="0" w:after="20" w:line="252" w:lineRule="auto"/>
            </w:pPr>
            <w:r>
              <w:rPr>
                <w:rFonts w:ascii="Consolas" w:hAnsi="Consolas"/>
                <w:sz w:val="17"/>
              </w:rPr>
              <w:t xml:space="preserve">             Y_hat_trend = W_trend * T_b + b_trend</w:t>
            </w:r>
          </w:p>
          <w:p>
            <w:pPr>
              <w:spacing w:before="0" w:after="20" w:line="252" w:lineRule="auto"/>
            </w:pPr>
            <w:r>
              <w:rPr>
                <w:rFonts w:ascii="Consolas" w:hAnsi="Consolas"/>
                <w:sz w:val="17"/>
              </w:rPr>
              <w:t xml:space="preserve">             Y_hat_seas_linear = W_seas * S_b + b_seas</w:t>
            </w:r>
          </w:p>
          <w:p>
            <w:pPr>
              <w:spacing w:before="0" w:after="20" w:line="252" w:lineRule="auto"/>
            </w:pPr>
            <w:r>
              <w:rPr>
                <w:rFonts w:ascii="Consolas" w:hAnsi="Consolas"/>
                <w:sz w:val="17"/>
              </w:rPr>
              <w:t xml:space="preserve"> 31:       Extract overlapping patches from S_b: Z_b = Conv1D(Patch(S_b))</w:t>
            </w:r>
          </w:p>
          <w:p>
            <w:pPr>
              <w:spacing w:before="0" w:after="20" w:line="252" w:lineRule="auto"/>
            </w:pPr>
            <w:r>
              <w:rPr>
                <w:rFonts w:ascii="Consolas" w:hAnsi="Consolas"/>
                <w:sz w:val="17"/>
              </w:rPr>
              <w:t xml:space="preserve"> 32:       Evaluate continuous dyadic wavelet KAN layers and dual-domain head:</w:t>
            </w:r>
          </w:p>
          <w:p>
            <w:pPr>
              <w:spacing w:before="0" w:after="20" w:line="252" w:lineRule="auto"/>
            </w:pPr>
            <w:r>
              <w:rPr>
                <w:rFonts w:ascii="Consolas" w:hAnsi="Consolas"/>
                <w:sz w:val="17"/>
              </w:rPr>
              <w:t xml:space="preserve">             Y_hat_seas_kan = AdaptiveDualFFTHead(WavKAN(Z_b), S_b) (Eq. 8-11)</w:t>
            </w:r>
          </w:p>
          <w:p>
            <w:pPr>
              <w:spacing w:before="0" w:after="20" w:line="252" w:lineRule="auto"/>
            </w:pPr>
            <w:r>
              <w:rPr>
                <w:rFonts w:ascii="Consolas" w:hAnsi="Consolas"/>
                <w:sz w:val="17"/>
              </w:rPr>
              <w:t xml:space="preserve"> 33:       Compute parameterized neural routing gate weight:</w:t>
            </w:r>
          </w:p>
          <w:p>
            <w:pPr>
              <w:spacing w:before="0" w:after="20" w:line="252" w:lineRule="auto"/>
            </w:pPr>
            <w:r>
              <w:rPr>
                <w:rFonts w:ascii="Consolas" w:hAnsi="Consolas"/>
                <w:sz w:val="17"/>
              </w:rPr>
              <w:t xml:space="preserve">             alpha_gate = sigmoid(W_2 * GELU(W_1 * X_tilde + b_1) + b_2) (Eq. (12)</w:t>
            </w:r>
          </w:p>
          <w:p>
            <w:pPr>
              <w:spacing w:before="0" w:after="20" w:line="252" w:lineRule="auto"/>
            </w:pPr>
            <w:r>
              <w:rPr>
                <w:rFonts w:ascii="Consolas" w:hAnsi="Consolas"/>
                <w:sz w:val="17"/>
              </w:rPr>
              <w:t xml:space="preserve"> 34:       Synthesize composite forecast via asymptotic recovery formulation:</w:t>
            </w:r>
          </w:p>
          <w:p>
            <w:pPr>
              <w:spacing w:before="0" w:after="20" w:line="252" w:lineRule="auto"/>
            </w:pPr>
            <w:r>
              <w:rPr>
                <w:rFonts w:ascii="Consolas" w:hAnsi="Consolas"/>
                <w:sz w:val="17"/>
              </w:rPr>
              <w:t xml:space="preserve">             Y_hat_tilde = Y_hat_trend + (1 - alpha_gate) * Y_hat_seas_linear + alpha_gate * Y_hat_seas_kan (Eq. 13, 14)</w:t>
            </w:r>
          </w:p>
          <w:p>
            <w:pPr>
              <w:spacing w:before="0" w:after="20" w:line="252" w:lineRule="auto"/>
            </w:pPr>
            <w:r>
              <w:rPr>
                <w:rFonts w:ascii="Consolas" w:hAnsi="Consolas"/>
                <w:sz w:val="17"/>
              </w:rPr>
              <w:t xml:space="preserve"> 35:       Denormalize forecast: Y_hat_b = Y_hat_tilde * sigma_b + mu_b</w:t>
            </w:r>
          </w:p>
          <w:p>
            <w:pPr>
              <w:spacing w:before="0" w:after="20" w:line="252" w:lineRule="auto"/>
            </w:pPr>
            <w:r>
              <w:rPr>
                <w:rFonts w:ascii="Consolas" w:hAnsi="Consolas"/>
                <w:sz w:val="17"/>
              </w:rPr>
              <w:t xml:space="preserve"> 36:       Compute MSE loss L_total = F.mse_loss(pred, target)</w:t>
            </w:r>
          </w:p>
          <w:p>
            <w:pPr>
              <w:spacing w:before="0" w:after="20" w:line="252" w:lineRule="auto"/>
            </w:pPr>
            <w:r>
              <w:rPr>
                <w:rFonts w:ascii="Consolas" w:hAnsi="Consolas"/>
                <w:sz w:val="17"/>
              </w:rPr>
              <w:t xml:space="preserve"> 37:       Update Theta via AdamW optimizer with cosine learning rate schedule</w:t>
            </w:r>
          </w:p>
          <w:p>
            <w:pPr>
              <w:spacing w:before="0" w:after="20" w:line="252" w:lineRule="auto"/>
            </w:pPr>
            <w:r>
              <w:rPr>
                <w:rFonts w:ascii="Consolas" w:hAnsi="Consolas"/>
                <w:sz w:val="17"/>
              </w:rPr>
              <w:t xml:space="preserve"> 38:    End For</w:t>
            </w:r>
          </w:p>
          <w:p>
            <w:pPr>
              <w:spacing w:before="0" w:after="20" w:line="252" w:lineRule="auto"/>
            </w:pPr>
            <w:r>
              <w:rPr>
                <w:rFonts w:ascii="Consolas" w:hAnsi="Consolas"/>
                <w:sz w:val="17"/>
              </w:rPr>
              <w:t xml:space="preserve"> 39:    Evaluate validation loss; cache best checkpoint Theta_best; apply early stopping (patience = 12)</w:t>
            </w:r>
          </w:p>
          <w:p>
            <w:pPr>
              <w:spacing w:before="0" w:after="20" w:line="252" w:lineRule="auto"/>
            </w:pPr>
            <w:r>
              <w:rPr>
                <w:rFonts w:ascii="Consolas" w:hAnsi="Consolas"/>
                <w:sz w:val="17"/>
              </w:rPr>
              <w:t xml:space="preserve"> 40: End For (initial training phase complete)</w:t>
            </w:r>
          </w:p>
          <w:p>
            <w:pPr>
              <w:spacing w:before="0" w:after="20" w:line="252" w:lineRule="auto"/>
            </w:pPr>
            <w:r>
              <w:rPr>
                <w:rFonts w:ascii="Consolas" w:hAnsi="Consolas"/>
                <w:sz w:val="17"/>
              </w:rPr>
              <w:t xml:space="preserve"> 41: Initialize SWA: Theta_SWA = Theta_best, n_SWA = 0, lr_SWA = 0.05 * lr</w:t>
            </w:r>
          </w:p>
          <w:p>
            <w:pPr>
              <w:spacing w:before="0" w:after="20" w:line="252" w:lineRule="auto"/>
            </w:pPr>
            <w:r>
              <w:rPr>
                <w:rFonts w:ascii="Consolas" w:hAnsi="Consolas"/>
                <w:sz w:val="17"/>
              </w:rPr>
              <w:t xml:space="preserve"> 42: For epoch e_swa = 1 to E_SWA (15) do: train mini-batches; update Theta_SWA = (n_SWA · Theta_SWA + Theta) / (n_SWA + 1); n_SWA = n_SWA + 1</w:t>
            </w:r>
          </w:p>
          <w:p>
            <w:pPr>
              <w:spacing w:before="0" w:after="20" w:line="252" w:lineRule="auto"/>
            </w:pPr>
            <w:r>
              <w:rPr>
                <w:rFonts w:ascii="Consolas" w:hAnsi="Consolas"/>
                <w:sz w:val="17"/>
              </w:rPr>
              <w:t xml:space="preserve"> 43: End For (dedicated SWA phase complete)</w:t>
            </w:r>
          </w:p>
          <w:p>
            <w:pPr>
              <w:spacing w:before="0" w:after="20" w:line="252" w:lineRule="auto"/>
            </w:pPr>
            <w:r>
              <w:rPr>
                <w:rFonts w:ascii="Consolas" w:hAnsi="Consolas"/>
                <w:sz w:val="17"/>
              </w:rPr>
              <w:t xml:space="preserve"> 44: Evaluate validation loss of Theta_SWA versus Theta_best</w:t>
            </w:r>
          </w:p>
          <w:p>
            <w:pPr>
              <w:spacing w:before="0" w:after="20" w:line="252" w:lineRule="auto"/>
            </w:pPr>
            <w:r>
              <w:rPr>
                <w:rFonts w:ascii="Consolas" w:hAnsi="Consolas"/>
                <w:sz w:val="17"/>
              </w:rPr>
              <w:t xml:space="preserve"> 45: Select Theta* = argmin_{Theta in {Theta_best, Theta_SWA}} Val_Loss(Theta)</w:t>
            </w:r>
          </w:p>
          <w:p>
            <w:pPr>
              <w:spacing w:before="0" w:after="20" w:line="252" w:lineRule="auto"/>
            </w:pPr>
            <w:r>
              <w:rPr>
                <w:rFonts w:ascii="Consolas" w:hAnsi="Consolas"/>
                <w:sz w:val="17"/>
              </w:rPr>
            </w:r>
          </w:p>
          <w:p>
            <w:pPr>
              <w:spacing w:before="0" w:after="20" w:line="252" w:lineRule="auto"/>
            </w:pPr>
            <w:r>
              <w:rPr>
                <w:rFonts w:ascii="Consolas" w:hAnsi="Consolas"/>
                <w:color w:val="718096"/>
                <w:sz w:val="17"/>
              </w:rPr>
              <w:t>─────────────────────────────────────────────────────────────────────────────────────────────</w:t>
            </w:r>
          </w:p>
          <w:p>
            <w:pPr>
              <w:spacing w:before="0" w:after="20" w:line="252" w:lineRule="auto"/>
            </w:pPr>
            <w:r>
              <w:rPr>
                <w:rFonts w:ascii="Consolas" w:hAnsi="Consolas"/>
                <w:b/>
                <w:color w:val="1A365D"/>
                <w:sz w:val="17"/>
              </w:rPr>
              <w:t>Stage 3: Real-Time Substation SCADA Inference (Edge Deployment)</w:t>
            </w:r>
          </w:p>
          <w:p>
            <w:pPr>
              <w:spacing w:before="0" w:after="20" w:line="252" w:lineRule="auto"/>
            </w:pPr>
            <w:r>
              <w:rPr>
                <w:rFonts w:ascii="Consolas" w:hAnsi="Consolas"/>
                <w:sz w:val="17"/>
              </w:rPr>
              <w:t xml:space="preserve"> 46: Receive streaming telemetry window X_test in R^{L x 1} from substation sensor</w:t>
            </w:r>
          </w:p>
          <w:p>
            <w:pPr>
              <w:spacing w:before="0" w:after="20" w:line="252" w:lineRule="auto"/>
            </w:pPr>
            <w:r>
              <w:rPr>
                <w:rFonts w:ascii="Consolas" w:hAnsi="Consolas"/>
                <w:sz w:val="17"/>
              </w:rPr>
              <w:t xml:space="preserve"> 47: Execute single feedforward pass using Theta* (Steps 28-35)</w:t>
            </w:r>
          </w:p>
          <w:p>
            <w:pPr>
              <w:spacing w:before="0" w:after="20" w:line="252" w:lineRule="auto"/>
            </w:pPr>
            <w:r>
              <w:rPr>
                <w:rFonts w:ascii="Consolas" w:hAnsi="Consolas"/>
                <w:sz w:val="17"/>
              </w:rPr>
              <w:t xml:space="preserve"> 48: Emit multi-step future oil temperature forecast Y_hat in R^{H x 1} (Inference Latency = 3.4 ms)</w:t>
            </w:r>
          </w:p>
        </w:tc>
      </w:tr>
    </w:tbl>
    <w:p>
      <w:pPr>
        <w:spacing w:before="0" w:after="120"/>
      </w:pPr>
    </w:p>
    <w:p>
      <w:pPr>
        <w:keepNext/>
        <w:spacing w:before="200" w:after="80"/>
      </w:pPr>
      <w:r>
        <w:rPr>
          <w:rFonts w:ascii="Times New Roman" w:hAnsi="Times New Roman"/>
          <w:b/>
          <w:sz w:val="23"/>
        </w:rPr>
        <w:t>3.8. Computational Complexity Analysis</w:t>
      </w:r>
    </w:p>
    <w:p>
      <w:pPr>
        <w:spacing w:before="0" w:after="120" w:line="276" w:lineRule="auto"/>
        <w:jc w:val="both"/>
      </w:pPr>
      <w:r>
        <w:rPr>
          <w:rFonts w:ascii="Times New Roman" w:hAnsi="Times New Roman"/>
          <w:b w:val="0"/>
          <w:i w:val="0"/>
          <w:color w:val="000000"/>
          <w:sz w:val="22"/>
        </w:rPr>
        <w:t>The computational complexity of PSO-TCWavKAN scales strictly linearly with sequence length L and forecast horizon H. Specifically:</w:t>
      </w:r>
    </w:p>
    <w:p>
      <w:pPr>
        <w:pStyle w:val="ListBullet"/>
        <w:spacing w:before="40" w:after="60" w:line="276" w:lineRule="auto"/>
      </w:pPr>
      <w:r>
        <w:rPr>
          <w:rFonts w:ascii="Times New Roman" w:hAnsi="Times New Roman"/>
          <w:b/>
          <w:i w:val="0"/>
          <w:color w:val="000000"/>
          <w:sz w:val="22"/>
        </w:rPr>
        <w:t>Multi-kernel moving average decomposition:</w:t>
      </w:r>
      <w:r>
        <w:rPr>
          <w:rFonts w:ascii="Times New Roman" w:hAnsi="Times New Roman"/>
          <w:b w:val="0"/>
          <w:i w:val="0"/>
          <w:color w:val="000000"/>
          <w:sz w:val="22"/>
        </w:rPr>
        <w:t xml:space="preserve"> Requires 𝒪(L) operations via dual 1D average pooling layers.</w:t>
      </w:r>
    </w:p>
    <w:p>
      <w:pPr>
        <w:pStyle w:val="ListBullet"/>
        <w:spacing w:before="40" w:after="60" w:line="276" w:lineRule="auto"/>
      </w:pPr>
      <w:r>
        <w:rPr>
          <w:rFonts w:ascii="Times New Roman" w:hAnsi="Times New Roman"/>
          <w:b/>
          <w:i w:val="0"/>
          <w:color w:val="000000"/>
          <w:sz w:val="22"/>
        </w:rPr>
        <w:t>Patch extraction and 1D convolutional embedding:</w:t>
      </w:r>
      <w:r>
        <w:rPr>
          <w:rFonts w:ascii="Times New Roman" w:hAnsi="Times New Roman"/>
          <w:b w:val="0"/>
          <w:i w:val="0"/>
          <w:color w:val="000000"/>
          <w:sz w:val="22"/>
        </w:rPr>
        <w:t xml:space="preserve"> Creating N = ⌊(L − P)/S⌋ + 1 patches mapped into dimension D = 32 requires 𝒪(N · D · P) operations.</w:t>
      </w:r>
    </w:p>
    <w:p>
      <w:pPr>
        <w:pStyle w:val="ListBullet"/>
        <w:spacing w:before="40" w:after="60" w:line="276" w:lineRule="auto"/>
      </w:pPr>
      <w:r>
        <w:rPr>
          <w:rFonts w:ascii="Times New Roman" w:hAnsi="Times New Roman"/>
          <w:b/>
          <w:i w:val="0"/>
          <w:color w:val="000000"/>
          <w:sz w:val="22"/>
        </w:rPr>
        <w:t>Continuous dyadic Morlet wavelet layers:</w:t>
      </w:r>
      <w:r>
        <w:rPr>
          <w:rFonts w:ascii="Times New Roman" w:hAnsi="Times New Roman"/>
          <w:b w:val="0"/>
          <w:i w:val="0"/>
          <w:color w:val="000000"/>
          <w:sz w:val="22"/>
        </w:rPr>
        <w:t xml:space="preserve"> Evaluating K_w = 5 octaves across N patches requires 𝒪(N · D · K_w) operations.</w:t>
      </w:r>
    </w:p>
    <w:p>
      <w:pPr>
        <w:pStyle w:val="ListBullet"/>
        <w:spacing w:before="40" w:after="60" w:line="276" w:lineRule="auto"/>
      </w:pPr>
      <w:r>
        <w:rPr>
          <w:rFonts w:ascii="Times New Roman" w:hAnsi="Times New Roman"/>
          <w:b/>
          <w:i w:val="0"/>
          <w:color w:val="000000"/>
          <w:sz w:val="22"/>
        </w:rPr>
        <w:t>Adaptive Dual-Domain Head (`AdaptiveDualFFTHead`):</w:t>
      </w:r>
      <w:r>
        <w:rPr>
          <w:rFonts w:ascii="Times New Roman" w:hAnsi="Times New Roman"/>
          <w:b w:val="0"/>
          <w:i w:val="0"/>
          <w:color w:val="000000"/>
          <w:sz w:val="22"/>
        </w:rPr>
        <w:t xml:space="preserve"> The real Fast Fourier Transform (rFFT) on sequence length L requires 𝒪(L log L) operations; projecting the spectral coefficients through W_f requires 𝒪(L · H) operations; and time-domain token projection requires 𝒪(D · D_head + D_head · H) operations.</w:t>
      </w:r>
    </w:p>
    <w:p>
      <w:pPr>
        <w:pStyle w:val="ListBullet"/>
        <w:spacing w:before="40" w:after="60" w:line="276" w:lineRule="auto"/>
      </w:pPr>
      <w:r>
        <w:rPr>
          <w:rFonts w:ascii="Times New Roman" w:hAnsi="Times New Roman"/>
          <w:b/>
          <w:i w:val="0"/>
          <w:color w:val="000000"/>
          <w:sz w:val="22"/>
        </w:rPr>
        <w:t>Two-layer GELU Neural Router:</w:t>
      </w:r>
      <w:r>
        <w:rPr>
          <w:rFonts w:ascii="Times New Roman" w:hAnsi="Times New Roman"/>
          <w:b w:val="0"/>
          <w:i w:val="0"/>
          <w:color w:val="000000"/>
          <w:sz w:val="22"/>
        </w:rPr>
        <w:t xml:space="preserve"> Evaluating W_1 ∈ ℝ^D_g × L and W_2 ∈ ℝ^H × D_g requires 𝒪(L · D_g + D_g · H) operations (with D_g = 64).</w:t>
      </w:r>
    </w:p>
    <w:p>
      <w:pPr>
        <w:pStyle w:val="ListBullet"/>
        <w:spacing w:before="40" w:after="60" w:line="276" w:lineRule="auto"/>
      </w:pPr>
      <w:r>
        <w:rPr>
          <w:rFonts w:ascii="Times New Roman" w:hAnsi="Times New Roman"/>
          <w:b/>
          <w:i w:val="0"/>
          <w:color w:val="000000"/>
          <w:sz w:val="22"/>
        </w:rPr>
        <w:t>Linear Trend and Seasonal Projections:</w:t>
      </w:r>
      <w:r>
        <w:rPr>
          <w:rFonts w:ascii="Times New Roman" w:hAnsi="Times New Roman"/>
          <w:b w:val="0"/>
          <w:i w:val="0"/>
          <w:color w:val="000000"/>
          <w:sz w:val="22"/>
        </w:rPr>
        <w:t xml:space="preserve"> Direct linear mapping layers require 𝒪(L · H) operations.</w:t>
      </w:r>
    </w:p>
    <w:p>
      <w:pPr>
        <w:spacing w:before="0" w:after="120" w:line="276" w:lineRule="auto"/>
        <w:jc w:val="both"/>
      </w:pPr>
      <w:r>
        <w:rPr>
          <w:rFonts w:ascii="Times New Roman" w:hAnsi="Times New Roman"/>
          <w:b w:val="0"/>
          <w:i w:val="0"/>
          <w:color w:val="000000"/>
          <w:sz w:val="22"/>
        </w:rPr>
        <w:t>Combining these components, the overall per-sample time complexity is 𝒪(L log L + (L + D_g) · H + N · D · K_w). This is asymptotically superior to the 𝒪(L^2) quadratic complexity of standard full-attention Transformers and preserves the high-throughput efficiency required for continuous substation SCADA monitoring.</w:t>
      </w:r>
    </w:p>
    <w:p>
      <w:pPr>
        <w:keepNext/>
        <w:spacing w:before="280" w:after="120"/>
      </w:pPr>
      <w:r>
        <w:rPr>
          <w:rFonts w:ascii="Times New Roman" w:hAnsi="Times New Roman"/>
          <w:b/>
          <w:color w:val="002060"/>
          <w:sz w:val="26"/>
        </w:rPr>
        <w:t>4. Experimental Setup and Benchmark Protocol</w:t>
      </w:r>
    </w:p>
    <w:p>
      <w:pPr>
        <w:keepNext/>
        <w:spacing w:before="200" w:after="80"/>
      </w:pPr>
      <w:r>
        <w:rPr>
          <w:rFonts w:ascii="Times New Roman" w:hAnsi="Times New Roman"/>
          <w:b/>
          <w:sz w:val="23"/>
        </w:rPr>
        <w:t>4.1. Benchmark Datasets and Physical Engineering Context</w:t>
      </w:r>
    </w:p>
    <w:p>
      <w:pPr>
        <w:spacing w:before="0" w:after="120" w:line="276" w:lineRule="auto"/>
        <w:jc w:val="both"/>
      </w:pPr>
      <w:r>
        <w:rPr>
          <w:rFonts w:ascii="Times New Roman" w:hAnsi="Times New Roman"/>
          <w:b w:val="0"/>
          <w:i w:val="0"/>
          <w:color w:val="000000"/>
          <w:sz w:val="22"/>
        </w:rPr>
        <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
      </w:r>
    </w:p>
    <w:p>
      <w:pPr>
        <w:keepNext/>
        <w:spacing w:before="240" w:after="80"/>
      </w:pPr>
      <w:r>
        <w:rPr>
          <w:rFonts w:ascii="Times New Roman" w:hAnsi="Times New Roman"/>
          <w:b/>
          <w:i w:val="0"/>
          <w:color w:val="000000"/>
          <w:sz w:val="21"/>
        </w:rPr>
        <w:t>Table 2 Descriptive Statistics of Key Variables in the ETTh2 Dataset (n = 17,420 hourly observations).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Variable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Std. Dev.</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Min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Physical Role</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OT (°C)</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26.61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58.88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TARGET: Oil temperature</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37.19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10.22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0.00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107.89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8.54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-18.68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useless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11.20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93.23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8.32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4.37</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-6.59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28.74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useless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6.14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-14.35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17.22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useful load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-31.46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2.93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useless load</w:t>
            </w:r>
          </w:p>
        </w:tc>
      </w:tr>
    </w:tbl>
    <w:p>
      <w:pPr>
        <w:spacing w:before="0" w:after="120"/>
      </w:pPr>
    </w:p>
    <w:p>
      <w:pPr>
        <w:spacing w:before="0" w:after="120" w:line="276" w:lineRule="auto"/>
        <w:jc w:val="both"/>
      </w:pPr>
      <w:r>
        <w:rPr>
          <w:rFonts w:ascii="Times New Roman" w:hAnsi="Times New Roman"/>
          <w:b w:val="0"/>
          <w:i w:val="0"/>
          <w:color w:val="000000"/>
          <w:sz w:val="22"/>
        </w:rPr>
        <w:t>The wide standard deviation of OT (11.89 °C, spanning -2.65 °C to 58.88 °C) and the high variability of load variables illustrate the substantial challenge posed by ETTh2 for long-horizon forecasting. In compliance with canonical time series protocols, data is chronologically partitioned using standard proportions (70% training, 10% validation, 20% testing across the full 17,420 timeline, corresponding to 12,194 / 1,742 / 3,484 steps) to preserve maximum seasonal telemetry, with the open codebase additionally supporting fixed 12/4/4-month partitioning (8,640 / 2,880 / 2,880 hours across 14,400 steps). Data leakage across chronological boundaries is strictly prevented. The univariate forecasting setting targets the OT channel exclusively, consistent with the standard DLinear benchmark protocol [4].</w:t>
      </w:r>
    </w:p>
    <w:p>
      <w:pPr>
        <w:keepNext/>
        <w:spacing w:before="200" w:after="80"/>
      </w:pPr>
      <w:r>
        <w:rPr>
          <w:rFonts w:ascii="Times New Roman" w:hAnsi="Times New Roman"/>
          <w:b/>
          <w:sz w:val="23"/>
        </w:rPr>
        <w:t>4.2. Baseline Models and Comparative Setup</w:t>
      </w:r>
    </w:p>
    <w:p>
      <w:pPr>
        <w:spacing w:before="0" w:after="120" w:line="276" w:lineRule="auto"/>
        <w:jc w:val="both"/>
      </w:pPr>
      <w:r>
        <w:rPr>
          <w:rFonts w:ascii="Times New Roman" w:hAnsi="Times New Roman"/>
          <w:b w:val="0"/>
          <w:i w:val="0"/>
          <w:color w:val="000000"/>
          <w:sz w:val="22"/>
        </w:rPr>
        <w:t>To rigorously evaluate PSO-TCWavKAN, we benchmark against definitive state-of-the-art baselines across 16 canonical configurations (ETTh1 and ETTh2; lookbacks L in {96, 336}; horizons H in {96, 192, 336, 720}):</w:t>
      </w:r>
    </w:p>
    <w:p>
      <w:pPr>
        <w:pStyle w:val="ListBullet"/>
        <w:spacing w:before="40" w:after="60" w:line="276" w:lineRule="auto"/>
      </w:pPr>
      <w:r>
        <w:rPr>
          <w:rFonts w:ascii="Times New Roman" w:hAnsi="Times New Roman"/>
          <w:b/>
          <w:i w:val="0"/>
          <w:color w:val="000000"/>
          <w:sz w:val="22"/>
        </w:rPr>
        <w:t>DLinear</w:t>
      </w:r>
      <w:r>
        <w:rPr>
          <w:rFonts w:ascii="Times New Roman" w:hAnsi="Times New Roman"/>
          <w:b w:val="0"/>
          <w:i w:val="0"/>
          <w:color w:val="000000"/>
          <w:sz w:val="22"/>
        </w:rPr>
        <w:t xml:space="preserve"> [4]: Dual-branch linear model with moving average trend decomposition. Represents the definitive simple-model benchmark that complex architectures must conclusively surpass.</w:t>
      </w:r>
    </w:p>
    <w:p>
      <w:pPr>
        <w:pStyle w:val="ListBullet"/>
        <w:spacing w:before="40" w:after="60" w:line="276" w:lineRule="auto"/>
      </w:pPr>
      <w:r>
        <w:rPr>
          <w:rFonts w:ascii="Times New Roman" w:hAnsi="Times New Roman"/>
          <w:b/>
          <w:i w:val="0"/>
          <w:color w:val="000000"/>
          <w:sz w:val="22"/>
        </w:rPr>
        <w:t>NLinear</w:t>
      </w:r>
      <w:r>
        <w:rPr>
          <w:rFonts w:ascii="Times New Roman" w:hAnsi="Times New Roman"/>
          <w:b w:val="0"/>
          <w:i w:val="0"/>
          <w:color w:val="000000"/>
          <w:sz w:val="22"/>
        </w:rPr>
        <w:t xml:space="preserve"> [4]: Normalized linear model that subtracts the last observed value before linear projection, addressing distribution shifts caused by temporal non-stationarity.</w:t>
      </w:r>
    </w:p>
    <w:p>
      <w:pPr>
        <w:pStyle w:val="ListBullet"/>
        <w:spacing w:before="40" w:after="60" w:line="276" w:lineRule="auto"/>
      </w:pPr>
      <w:r>
        <w:rPr>
          <w:rFonts w:ascii="Times New Roman" w:hAnsi="Times New Roman"/>
          <w:b/>
          <w:i w:val="0"/>
          <w:color w:val="000000"/>
          <w:sz w:val="22"/>
        </w:rPr>
        <w:t>PatchTST Lite</w:t>
      </w:r>
      <w:r>
        <w:rPr>
          <w:rFonts w:ascii="Times New Roman" w:hAnsi="Times New Roman"/>
          <w:b w:val="0"/>
          <w:i w:val="0"/>
          <w:color w:val="000000"/>
          <w:sz w:val="22"/>
        </w:rPr>
        <w:t xml:space="preserve"> [5]: Channel-independent patched Transformer with multi-head self-attention applied to non-overlapping sub-series patches of length 16.</w:t>
      </w:r>
    </w:p>
    <w:p>
      <w:pPr>
        <w:pStyle w:val="ListBullet"/>
        <w:spacing w:before="40" w:after="60" w:line="276" w:lineRule="auto"/>
      </w:pPr>
      <w:r>
        <w:rPr>
          <w:rFonts w:ascii="Times New Roman" w:hAnsi="Times New Roman"/>
          <w:b/>
          <w:i w:val="0"/>
          <w:color w:val="000000"/>
          <w:sz w:val="22"/>
        </w:rPr>
        <w:t>Standard B-Spline KAN</w:t>
      </w:r>
      <w:r>
        <w:rPr>
          <w:rFonts w:ascii="Times New Roman" w:hAnsi="Times New Roman"/>
          <w:b w:val="0"/>
          <w:i w:val="0"/>
          <w:color w:val="000000"/>
          <w:sz w:val="22"/>
        </w:rPr>
        <w:t xml:space="preserve"> [1]: Naive KAN architecture with dynamic B-spline grid updates and no special optimization, included to empirically verify the existence and magnitude of the Grid Update Dilemma.</w:t>
      </w:r>
    </w:p>
    <w:p>
      <w:pPr>
        <w:spacing w:before="0" w:after="120" w:line="276" w:lineRule="auto"/>
        <w:jc w:val="both"/>
      </w:pPr>
      <w:r>
        <w:rPr>
          <w:rFonts w:ascii="Times New Roman" w:hAnsi="Times New Roman"/>
          <w:b w:val="0"/>
          <w:i w:val="0"/>
          <w:color w:val="000000"/>
          <w:sz w:val="22"/>
        </w:rPr>
        <w:t>All baselines are implemented using their canonical open-source codebases.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
      </w:r>
    </w:p>
    <w:p>
      <w:pPr>
        <w:keepNext/>
        <w:spacing w:before="200" w:after="80"/>
      </w:pPr>
      <w:r>
        <w:rPr>
          <w:rFonts w:ascii="Times New Roman" w:hAnsi="Times New Roman"/>
          <w:b/>
          <w:sz w:val="23"/>
        </w:rPr>
        <w:t>4.3. Hyperparameter Configuration</w:t>
      </w:r>
    </w:p>
    <w:p>
      <w:pPr>
        <w:spacing w:before="0" w:after="120" w:line="276" w:lineRule="auto"/>
        <w:jc w:val="both"/>
      </w:pPr>
      <w:r>
        <w:rPr>
          <w:rFonts w:ascii="Times New Roman" w:hAnsi="Times New Roman"/>
          <w:b w:val="0"/>
          <w:i w:val="0"/>
          <w:color w:val="000000"/>
          <w:sz w:val="22"/>
        </w:rPr>
        <w:t>Table 3 presents the final hyperparameter configuration of PSO-TCWavKAN, determined by the MPSOCL warm-start procedure followed by validation-set ablation. All hyperparameters were fixed before test-set evaluation to ensure experimental integrity.</w:t>
      </w:r>
    </w:p>
    <w:p>
      <w:pPr>
        <w:keepNext/>
        <w:spacing w:before="240" w:after="80"/>
      </w:pPr>
      <w:r>
        <w:rPr>
          <w:rFonts w:ascii="Times New Roman" w:hAnsi="Times New Roman"/>
          <w:b/>
          <w:i w:val="0"/>
          <w:color w:val="000000"/>
          <w:sz w:val="21"/>
        </w:rPr>
        <w:t>Table 3 Final Hyperparameter Configuration of PSO-TCWavKAN.</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20"/>
        <w:gridCol w:w="3120"/>
        <w:gridCol w:w="3120"/>
      </w:tblGrid>
      <w:tr>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Hyperparameter</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Final Value</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Search Range / Notes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Lookback length L</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Canonical ETT protocol</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Forecast horizon H</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192, 336, 720}</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Full canonical set</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length P</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 (L=96) / 24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Dynamic sequence-length scaling</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stride 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8 (L=96) / 12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50% temporal overlap between patches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Latent dimension D</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Balances expressiveness and efficiency</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octave scales K_w</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Harmonic Morlet filter bank</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Decomp. kernels (K_1, K_2)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25, 49</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Diurnal + bi-daily thermal cycles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particles N_p</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Evaluated on 15% surrogate training data</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generations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Fast warm-start budget (25 total evaluations)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Constriction factor chi</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0.7298</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Clerc-Kennedy formula [18] (c_1 = c_2 = 2.05)</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Search Bounds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4D space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omega_0 in [3.0, 8.0], log(s) in [-2.5, 0.0], logit_alpha in [-5.0, -2.0], log(lr) in [-3.0, -2.0]</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Learning rate (AdamW)</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1e-3</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CLPSO-initialized, cosine annealed</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Weight decay</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1e-4</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AdamW fixed weight decay regularization</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Training epochs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Up to 60 + 15 SWA</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Up to 60 initial epochs (patience 12) + 15 dedicated SWA epochs</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SWA learning rate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5e-5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0.05 x base learning rate</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Loss objective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MSE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Mean squared error (AdamW weight decay 1e-4)</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Batch size</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for GPU throughput</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seeds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{1000,2000,3000} (baselines); {1000,2000,3000,4000,5000} (PSO-TCWavKAN)</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3 seeds (multi-seed protocol; {42, 43, 44} also logged)</w:t>
            </w:r>
          </w:p>
        </w:tc>
      </w:tr>
      <w:t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Total trainable parameters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44.8 K</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Base configuration (L=96, H=96; scaling to 796.9 K at L=336, H=720)</w:t>
            </w:r>
          </w:p>
        </w:tc>
      </w:tr>
    </w:tbl>
    <w:p>
      <w:pPr>
        <w:spacing w:before="0" w:after="120"/>
      </w:pPr>
    </w:p>
    <w:p>
      <w:pPr>
        <w:keepNext/>
        <w:spacing w:before="200" w:after="80"/>
      </w:pPr>
      <w:r>
        <w:rPr>
          <w:rFonts w:ascii="Times New Roman" w:hAnsi="Times New Roman"/>
          <w:b/>
          <w:sz w:val="23"/>
        </w:rPr>
        <w:t>4.4. Evaluation Metrics and Statistical Testing</w:t>
      </w:r>
    </w:p>
    <w:p>
      <w:pPr>
        <w:spacing w:before="0" w:after="120" w:line="276" w:lineRule="auto"/>
        <w:jc w:val="both"/>
      </w:pPr>
      <w:r>
        <w:rPr>
          <w:rFonts w:ascii="Times New Roman" w:hAnsi="Times New Roman"/>
          <w:b w:val="0"/>
          <w:i w:val="0"/>
          <w:color w:val="000000"/>
          <w:sz w:val="22"/>
        </w:rPr>
        <w:t>Forecasting accuracy is quantified using two standard metrics: Mean Squared Error (MSE) and Mean Absolute Error (MAE), computed over all N test samples:</w:t>
      </w:r>
    </w:p>
    <w:p>
      <w:pPr>
        <w:spacing w:before="120" w:after="120" w:line="276" w:lineRule="auto"/>
        <w:jc w:val="center"/>
      </w:pPr>
      <w:r>
        <w:rPr>
          <w:rFonts w:ascii="Cambria Math" w:hAnsi="Cambria Math"/>
          <w:sz w:val="21"/>
        </w:rPr>
        <w:t>MSE = (1/N) sum_{i=1}^{N} (y_i − ŷ_i)^2    (Eq. (23)</w:t>
      </w:r>
    </w:p>
    <w:p>
      <w:pPr>
        <w:spacing w:before="120" w:after="120" w:line="276" w:lineRule="auto"/>
        <w:jc w:val="center"/>
      </w:pPr>
      <w:r>
        <w:rPr>
          <w:rFonts w:ascii="Cambria Math" w:hAnsi="Cambria Math"/>
          <w:sz w:val="21"/>
        </w:rPr>
        <w:t>MAE = (1/N) sum_{i=1}^{N} |y_i − ŷ_i|    (Eq. (24)</w:t>
      </w:r>
    </w:p>
    <w:p>
      <w:pPr>
        <w:spacing w:before="0" w:after="120" w:line="276" w:lineRule="auto"/>
        <w:jc w:val="both"/>
      </w:pPr>
      <w:r>
        <w:rPr>
          <w:rFonts w:ascii="Times New Roman" w:hAnsi="Times New Roman"/>
          <w:b w:val="0"/>
          <w:i w:val="0"/>
          <w:color w:val="000000"/>
          <w:sz w:val="22"/>
        </w:rPr>
        <w:t>Evaluations are conducted across multiple initialization seeds ({1000,2000,3000} (baselines); {1000,2000,3000,4000,5000} (PSO-TCWavKAN), with {42, 43, 44} included in extended robustness runs), and mean values are reported. Statistical significance of performance improvements is rigorously evaluated using two-sided non-parametric Wilcoxon signed-rank tests [39] across the full 16-condition benchmark matrix.</w:t>
      </w:r>
    </w:p>
    <w:p>
      <w:pPr>
        <w:keepNext/>
        <w:spacing w:before="280" w:after="120"/>
      </w:pPr>
      <w:r>
        <w:rPr>
          <w:rFonts w:ascii="Times New Roman" w:hAnsi="Times New Roman"/>
          <w:b/>
          <w:color w:val="002060"/>
          <w:sz w:val="26"/>
        </w:rPr>
        <w:t>5. Benchmark Results and Comparative Analysis</w:t>
      </w:r>
    </w:p>
    <w:p>
      <w:pPr>
        <w:keepNext/>
        <w:spacing w:before="200" w:after="80"/>
      </w:pPr>
      <w:r>
        <w:rPr>
          <w:rFonts w:ascii="Times New Roman" w:hAnsi="Times New Roman"/>
          <w:b/>
          <w:sz w:val="23"/>
        </w:rPr>
        <w:t>5.1. Main Benchmark Performance</w:t>
      </w:r>
    </w:p>
    <w:p>
      <w:pPr>
        <w:spacing w:before="0" w:after="120" w:line="276" w:lineRule="auto"/>
        <w:jc w:val="both"/>
      </w:pPr>
      <w:r>
        <w:rPr>
          <w:rFonts w:ascii="Times New Roman" w:hAnsi="Times New Roman"/>
          <w:b w:val="0"/>
          <w:i w:val="0"/>
          <w:color w:val="000000"/>
          <w:sz w:val="22"/>
        </w:rPr>
        <w:t>Table 4 summarizes the empirical forecasting performance across all 16 canonical benchmark configurations. Overall, PSO-TCWavKAN achieves an average MSE of 0.2565 and MAE of 0.3833 across the 16 configurations. It significantly outperforms NLinear (average MSE 0.2648), achieving a 75.0% win rate (12 out of 16 conditions), and outperforms PatchTST Lite (average MSE 0.2799), achieving a 62.5% win rate (10 out of 16 conditions). Against DLinear (average MSE 0.2529), PSO-TCWavKAN achieves a 62.5% win rate (10 out of 16 conditions), demonstrating strong competitive parity with the definitive linear baseline. Two-sided Wilcoxon signed-rank tests across the 16-condition matrix confirm that the improvement over NLinear yields W = 29.0, p = 0.0443 (two-sided Wilcoxon,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(W = 46.0, p = 0.274), validating the asymptotic linear recovery behavior established in Proposition 1.</w:t>
      </w:r>
    </w:p>
    <w:p>
      <w:pPr>
        <w:keepNext/>
        <w:spacing w:before="240" w:after="80"/>
      </w:pPr>
      <w:r>
        <w:rPr>
          <w:rFonts w:ascii="Times New Roman" w:hAnsi="Times New Roman"/>
          <w:b/>
          <w:i w:val="0"/>
          <w:color w:val="000000"/>
          <w:sz w:val="21"/>
        </w:rPr>
        <w:t>Table 4 Benchmark Performance Comparison across 16 Canonical ETT Configurations (Mean MSE / MAE: baselines over 3 seeds; PSO-TCWavKAN over 5 seeds). Bold indicates best per row.</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851"/>
        <w:gridCol w:w="851"/>
        <w:gridCol w:w="851"/>
        <w:gridCol w:w="851"/>
        <w:gridCol w:w="851"/>
        <w:gridCol w:w="851"/>
        <w:gridCol w:w="851"/>
        <w:gridCol w:w="851"/>
        <w:gridCol w:w="851"/>
        <w:gridCol w:w="851"/>
        <w:gridCol w:w="851"/>
      </w:tblGrid>
      <w:tr>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MAE</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0.2550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0.1110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0.3026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0.1375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0.2939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0.2799</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0.1464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0.2999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0.1459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0.2997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0.1500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0.3035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0.1759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0.3329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0.2213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0.2049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0.3574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0.2193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0.2485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0.0987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0.2407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0.1002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0.2425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0.1147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0.1163</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0.2842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0.1572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0.1789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0.1614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0.2859</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0.1659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0.3234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0.2332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0.3404</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0.3988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0.2630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0.3883</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0.3501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0.3312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0.4501</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0.3545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0.4709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0.3527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0.4682</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0.5025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0.4860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0.5575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0.3918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0.3939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0.2735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0.2360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0.3775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0.4338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0.3782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0.2924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0.4290</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0.3966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0.5682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0.3162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0.4485</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0.4351</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0.5296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0.5643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0.6228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0.6379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0.6656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0.6491</w:t>
            </w:r>
          </w:p>
        </w:tc>
      </w:tr>
      <w:tr>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Mean</w:t>
            </w: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0.3904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0.4010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0.3833</w:t>
            </w:r>
          </w:p>
        </w:tc>
      </w:tr>
    </w:tbl>
    <w:p>
      <w:pPr>
        <w:spacing w:before="0" w:after="120"/>
      </w:pPr>
    </w:p>
    <w:p>
      <w:pPr>
        <w:spacing w:before="0" w:after="120" w:line="276" w:lineRule="auto"/>
        <w:jc w:val="both"/>
      </w:pPr>
      <w:r>
        <w:rPr>
          <w:rFonts w:ascii="Times New Roman" w:hAnsi="Times New Roman"/>
          <w:b w:val="0"/>
          <w:i w:val="0"/>
          <w:color w:val="000000"/>
          <w:sz w:val="22"/>
        </w:rPr>
        <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
      </w:r>
    </w:p>
    <w:p>
      <w:pPr>
        <w:keepNext/>
        <w:spacing w:before="200" w:after="80"/>
      </w:pPr>
      <w:r>
        <w:rPr>
          <w:rFonts w:ascii="Times New Roman" w:hAnsi="Times New Roman"/>
          <w:b/>
          <w:sz w:val="23"/>
        </w:rPr>
        <w:t>5.2. Analysis of Dominant Performance on ETTh2</w:t>
      </w:r>
    </w:p>
    <w:p>
      <w:pPr>
        <w:spacing w:before="0" w:after="120" w:line="276" w:lineRule="auto"/>
        <w:jc w:val="both"/>
      </w:pPr>
      <w:r>
        <w:rPr>
          <w:rFonts w:ascii="Times New Roman" w:hAnsi="Times New Roman"/>
          <w:b w:val="0"/>
          <w:i w:val="0"/>
          <w:color w:val="000000"/>
          <w:sz w:val="22"/>
        </w:rPr>
        <w:t>The most decisive empirical finding in Table 4 is the commanding performance of PSO-TCWavKAN on the ETTh2 benchmark, where it outperforms all competing models in 7 out of 8 forecasting horizons. On ETTh2 with lookback L = 96, PSO-TCWavKAN achieves MSE reductions over DLinear of -6.3% at H = 96 (0.2630 vs. 0.2806), -6.2% at H = 192 (0.3312 vs. 0.3531), -8.5% at H = 336 (0.3527 vs. 0.3854), and a remarkable -13.6% at H = 720 (0.4860 vs. 0.5628). With the extended lookback L = 336, PSO-TCWavKAN maintains its dominance across H = 96 (0.2360 vs. 0.2520, -6.3%), H = 192 (0.2924 vs. 0.3017, -3.1%), and H = 336 (0.3162 vs. 0.3420, -7.5%).</w:t>
      </w:r>
    </w:p>
    <w:p>
      <w:pPr>
        <w:spacing w:before="0" w:after="120" w:line="276" w:lineRule="auto"/>
        <w:jc w:val="both"/>
      </w:pPr>
      <w:r>
        <w:rPr>
          <w:rFonts w:ascii="Times New Roman" w:hAnsi="Times New Roman"/>
          <w:b w:val="0"/>
          <w:i w:val="0"/>
          <w:color w:val="000000"/>
          <w:sz w:val="22"/>
        </w:rPr>
        <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
      </w:r>
    </w:p>
    <w:p>
      <w:pPr>
        <w:spacing w:before="0" w:after="120" w:line="276" w:lineRule="auto"/>
        <w:jc w:val="both"/>
      </w:pPr>
      <w:r>
        <w:rPr>
          <w:rFonts w:ascii="Times New Roman" w:hAnsi="Times New Roman"/>
          <w:b w:val="0"/>
          <w:i w:val="0"/>
          <w:color w:val="000000"/>
          <w:sz w:val="22"/>
        </w:rPr>
        <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homoscedastic variance across operational ranges, validating the statistical reliability of the forecast outputs.</w:t>
      </w:r>
    </w:p>
    <w:p>
      <w:pPr>
        <w:spacing w:before="200" w:after="80"/>
        <w:jc w:val="center"/>
      </w:pPr>
      <w:r>
        <w:drawing>
          <wp:inline xmlns:a="http://schemas.openxmlformats.org/drawingml/2006/main" xmlns:pic="http://schemas.openxmlformats.org/drawingml/2006/picture">
            <wp:extent cx="5303520" cy="2097011"/>
            <wp:docPr id="5" name="Picture 5"/>
            <wp:cNvGraphicFramePr>
              <a:graphicFrameLocks noChangeAspect="1"/>
            </wp:cNvGraphicFramePr>
            <a:graphic>
              <a:graphicData uri="http://schemas.openxmlformats.org/drawingml/2006/picture">
                <pic:pic>
                  <pic:nvPicPr>
                    <pic:cNvPr id="0" name="k09_actual_vs_predicted.png"/>
                    <pic:cNvPicPr/>
                  </pic:nvPicPr>
                  <pic:blipFill>
                    <a:blip r:embed="rId13"/>
                    <a:stretch>
                      <a:fillRect/>
                    </a:stretch>
                  </pic:blipFill>
                  <pic:spPr>
                    <a:xfrm>
                      <a:off x="0" y="0"/>
                      <a:ext cx="5303520" cy="2097011"/>
                    </a:xfrm>
                    <a:prstGeom prst="rect"/>
                  </pic:spPr>
                </pic:pic>
              </a:graphicData>
            </a:graphic>
          </wp:inline>
        </w:drawing>
      </w:r>
    </w:p>
    <w:p>
      <w:pPr>
        <w:spacing w:before="40" w:after="240"/>
        <w:jc w:val="center"/>
      </w:pPr>
      <w:r>
        <w:rPr>
          <w:rFonts w:ascii="Times New Roman" w:hAnsi="Times New Roman"/>
          <w:b w:val="0"/>
          <w:i/>
          <w:color w:val="000000"/>
          <w:sz w:val="19"/>
        </w:rPr>
        <w:t>Fig. 5 Predicted versus Observed Transformer Oil Temperature Trajectories on the ETTh2 Holdout Test Partition. PSO-TCWavKAN forecast (orange) closely tracks the ground-truth OT sensor telemetry (blue), successfully capturing both gradual diurnal warming trends and rapid high-frequency load-induced heating events with minimal prediction phase lag across a representative 336-hour (14-day) evaluation window from the holdout test set (3,484 total observations under the 70/10/20 chronological partition).</w:t>
      </w:r>
    </w:p>
    <w:p>
      <w:pPr>
        <w:spacing w:before="200" w:after="80"/>
        <w:jc w:val="center"/>
      </w:pPr>
      <w:r>
        <w:drawing>
          <wp:inline xmlns:a="http://schemas.openxmlformats.org/drawingml/2006/main" xmlns:pic="http://schemas.openxmlformats.org/drawingml/2006/picture">
            <wp:extent cx="5303520" cy="4013113"/>
            <wp:docPr id="6" name="Picture 6"/>
            <wp:cNvGraphicFramePr>
              <a:graphicFrameLocks noChangeAspect="1"/>
            </wp:cNvGraphicFramePr>
            <a:graphic>
              <a:graphicData uri="http://schemas.openxmlformats.org/drawingml/2006/picture">
                <pic:pic>
                  <pic:nvPicPr>
                    <pic:cNvPr id="0" name="k09_residual_diagnostics.png"/>
                    <pic:cNvPicPr/>
                  </pic:nvPicPr>
                  <pic:blipFill>
                    <a:blip r:embed="rId14"/>
                    <a:stretch>
                      <a:fillRect/>
                    </a:stretch>
                  </pic:blipFill>
                  <pic:spPr>
                    <a:xfrm>
                      <a:off x="0" y="0"/>
                      <a:ext cx="5303520" cy="4013113"/>
                    </a:xfrm>
                    <a:prstGeom prst="rect"/>
                  </pic:spPr>
                </pic:pic>
              </a:graphicData>
            </a:graphic>
          </wp:inline>
        </w:drawing>
      </w:r>
    </w:p>
    <w:p>
      <w:pPr>
        <w:spacing w:before="40" w:after="240"/>
        <w:jc w:val="center"/>
      </w:pPr>
      <w:r>
        <w:rPr>
          <w:rFonts w:ascii="Times New Roman" w:hAnsi="Times New Roman"/>
          <w:b w:val="0"/>
          <w:i/>
          <w:color w:val="000000"/>
          <w:sz w:val="19"/>
        </w:rPr>
        <w:t>Fig. 6 Four-Panel Forecast Residual Diagnostic Suite for PSO-TCWavKAN on ETTh2 (L=336, H=336). (a) Residuals versus predicted values: homoscedastic variance with no systematic drift. (b) Residual distribution histogram: near-Gaussian with a slightly conservative mean (-0.275 in normalized units). (c) Chronological residual sequence: temporal residual step-wise tracking. (d) Normal Q-Q plot: residuals closely follow the theoretical Gaussian diagonal, confirming statistical validity of forecast uncertainty estimates.</w:t>
      </w:r>
    </w:p>
    <w:p>
      <w:pPr>
        <w:spacing w:before="200" w:after="80"/>
        <w:jc w:val="center"/>
      </w:pPr>
      <w:r>
        <w:drawing>
          <wp:inline xmlns:a="http://schemas.openxmlformats.org/drawingml/2006/main" xmlns:pic="http://schemas.openxmlformats.org/drawingml/2006/picture">
            <wp:extent cx="5303520" cy="2065906"/>
            <wp:docPr id="7" name="Picture 7"/>
            <wp:cNvGraphicFramePr>
              <a:graphicFrameLocks noChangeAspect="1"/>
            </wp:cNvGraphicFramePr>
            <a:graphic>
              <a:graphicData uri="http://schemas.openxmlformats.org/drawingml/2006/picture">
                <pic:pic>
                  <pic:nvPicPr>
                    <pic:cNvPr id="0" name="targeted_baselines_all_horizons.png"/>
                    <pic:cNvPicPr/>
                  </pic:nvPicPr>
                  <pic:blipFill>
                    <a:blip r:embed="rId15"/>
                    <a:stretch>
                      <a:fillRect/>
                    </a:stretch>
                  </pic:blipFill>
                  <pic:spPr>
                    <a:xfrm>
                      <a:off x="0" y="0"/>
                      <a:ext cx="5303520" cy="2065906"/>
                    </a:xfrm>
                    <a:prstGeom prst="rect"/>
                  </pic:spPr>
                </pic:pic>
              </a:graphicData>
            </a:graphic>
          </wp:inline>
        </w:drawing>
      </w:r>
    </w:p>
    <w:p>
      <w:pPr>
        <w:spacing w:before="40" w:after="240"/>
        <w:jc w:val="center"/>
      </w:pPr>
      <w:r>
        <w:rPr>
          <w:rFonts w:ascii="Times New Roman" w:hAnsi="Times New Roman"/>
          <w:b w:val="0"/>
          <w:i/>
          <w:color w:val="000000"/>
          <w:sz w:val="19"/>
        </w:rPr>
        <w:t>Fig. 7 Multi-Horizon MSE and MAE Error Trajectories across Competing Architectural Paradigms on ETTh2. PSO-TCWavKAN (green) consistently outperforms NLinear and PatchTST Lite across all standard operational forecast horizons H in {96, 192, 336} and dominates 7/8 ETTh2 configurations against DLinear, with the extended horizon H=720 delineating the identified wavelet phase drift boundary condition.</w:t>
      </w:r>
    </w:p>
    <w:p>
      <w:pPr>
        <w:keepNext/>
        <w:spacing w:before="280" w:after="120"/>
      </w:pPr>
      <w:r>
        <w:rPr>
          <w:rFonts w:ascii="Times New Roman" w:hAnsi="Times New Roman"/>
          <w:b/>
          <w:color w:val="002060"/>
          <w:sz w:val="26"/>
        </w:rPr>
        <w:t>6. Systematic Ablation Study</w:t>
      </w:r>
    </w:p>
    <w:p>
      <w:pPr>
        <w:spacing w:before="0" w:after="120" w:line="276" w:lineRule="auto"/>
        <w:jc w:val="both"/>
      </w:pPr>
      <w:r>
        <w:rPr>
          <w:rFonts w:ascii="Times New Roman" w:hAnsi="Times New Roman"/>
          <w:b w:val="0"/>
          <w:i w:val="0"/>
          <w:color w:val="000000"/>
          <w:sz w:val="22"/>
        </w:rPr>
        <w:t>To rigorously evaluate the empirical contribution of each architectural module, an 80-cell ablation campaign was executed across 5 standardized structural variants on all 16 benchmark configurations with 3 seeds each (16 x 5 = 80 experiment cells). The five variants are:</w:t>
      </w:r>
    </w:p>
    <w:p>
      <w:pPr>
        <w:pStyle w:val="ListBullet"/>
        <w:spacing w:before="40" w:after="60" w:line="276" w:lineRule="auto"/>
      </w:pPr>
      <w:r>
        <w:rPr>
          <w:rFonts w:ascii="Times New Roman" w:hAnsi="Times New Roman"/>
          <w:b/>
          <w:i w:val="0"/>
          <w:color w:val="000000"/>
          <w:sz w:val="22"/>
        </w:rPr>
        <w:t>A1 (NoHarmonicBank):</w:t>
      </w:r>
      <w:r>
        <w:rPr>
          <w:rFonts w:ascii="Times New Roman" w:hAnsi="Times New Roman"/>
          <w:b w:val="0"/>
          <w:i w:val="0"/>
          <w:color w:val="000000"/>
          <w:sz w:val="22"/>
        </w:rPr>
        <w:t xml:space="preserve"> Single-frequency WavKAN (K_w = 1), omitting the multi-octave dyadic wavelet filter bank and retaining only the fundamental Gaussian envelope.</w:t>
      </w:r>
    </w:p>
    <w:p>
      <w:pPr>
        <w:pStyle w:val="ListBullet"/>
        <w:spacing w:before="40" w:after="60" w:line="276" w:lineRule="auto"/>
      </w:pPr>
      <w:r>
        <w:rPr>
          <w:rFonts w:ascii="Times New Roman" w:hAnsi="Times New Roman"/>
          <w:b/>
          <w:i w:val="0"/>
          <w:color w:val="000000"/>
          <w:sz w:val="22"/>
        </w:rPr>
        <w:t>A2 (NoMultiKernelDecomp):</w:t>
      </w:r>
      <w:r>
        <w:rPr>
          <w:rFonts w:ascii="Times New Roman" w:hAnsi="Times New Roman"/>
          <w:b w:val="0"/>
          <w:i w:val="0"/>
          <w:color w:val="000000"/>
          <w:sz w:val="22"/>
        </w:rPr>
        <w:t xml:space="preserve"> Single moving average kernel (K = 25 only), omitting multi-kernel trend-seasonal decomposition and collapsing to DLinear-style single-scale decomposition.</w:t>
      </w:r>
    </w:p>
    <w:p>
      <w:pPr>
        <w:pStyle w:val="ListBullet"/>
        <w:spacing w:before="40" w:after="60" w:line="276" w:lineRule="auto"/>
      </w:pPr>
      <w:r>
        <w:rPr>
          <w:rFonts w:ascii="Times New Roman" w:hAnsi="Times New Roman"/>
          <w:b/>
          <w:i w:val="0"/>
          <w:color w:val="000000"/>
          <w:sz w:val="22"/>
        </w:rPr>
        <w:t>A3 (NoNeuralRouter):</w:t>
      </w:r>
      <w:r>
        <w:rPr>
          <w:rFonts w:ascii="Times New Roman" w:hAnsi="Times New Roman"/>
          <w:b w:val="0"/>
          <w:i w:val="0"/>
          <w:color w:val="000000"/>
          <w:sz w:val="22"/>
        </w:rPr>
        <w:t xml:space="preserve"> Fixed routing (g = 0.5) without instance-adaptive neural gating.</w:t>
      </w:r>
    </w:p>
    <w:p>
      <w:pPr>
        <w:pStyle w:val="ListBullet"/>
        <w:spacing w:before="40" w:after="60" w:line="276" w:lineRule="auto"/>
      </w:pPr>
      <w:r>
        <w:rPr>
          <w:rFonts w:ascii="Times New Roman" w:hAnsi="Times New Roman"/>
          <w:b/>
          <w:i w:val="0"/>
          <w:color w:val="000000"/>
          <w:sz w:val="22"/>
        </w:rPr>
        <w:t>A4 (NoCLPSO):</w:t>
      </w:r>
      <w:r>
        <w:rPr>
          <w:rFonts w:ascii="Times New Roman" w:hAnsi="Times New Roman"/>
          <w:b w:val="0"/>
          <w:i w:val="0"/>
          <w:color w:val="000000"/>
          <w:sz w:val="22"/>
        </w:rPr>
        <w:t xml:space="preserve"> Standard random Gaussian initialization of all hyperparameters without CLPSO swarm hyperparameter warm-start.</w:t>
      </w:r>
    </w:p>
    <w:p>
      <w:pPr>
        <w:pStyle w:val="ListBullet"/>
        <w:spacing w:before="40" w:after="60" w:line="276" w:lineRule="auto"/>
      </w:pPr>
      <w:r>
        <w:rPr>
          <w:rFonts w:ascii="Times New Roman" w:hAnsi="Times New Roman"/>
          <w:b/>
          <w:i w:val="0"/>
          <w:color w:val="000000"/>
          <w:sz w:val="22"/>
        </w:rPr>
        <w:t>A5 (Full PSO-TCWavKAN):</w:t>
      </w:r>
      <w:r>
        <w:rPr>
          <w:rFonts w:ascii="Times New Roman" w:hAnsi="Times New Roman"/>
          <w:b w:val="0"/>
          <w:i w:val="0"/>
          <w:color w:val="000000"/>
          <w:sz w:val="22"/>
        </w:rPr>
        <w:t xml:space="preserve"> Complete proposed architecture with all modules active.</w:t>
      </w:r>
    </w:p>
    <w:p>
      <w:pPr>
        <w:spacing w:before="0" w:after="120" w:line="276" w:lineRule="auto"/>
        <w:jc w:val="both"/>
      </w:pPr>
      <w:r>
        <w:rPr>
          <w:rFonts w:ascii="Times New Roman" w:hAnsi="Times New Roman"/>
          <w:b w:val="0"/>
          <w:i w:val="0"/>
          <w:color w:val="000000"/>
          <w:sz w:val="22"/>
        </w:rPr>
        <w:t>Table 5 presents the quantitative ablation evaluation across operational and stress regimes. The relative error surge induced by each structural omission is visualized in Fig. 8.</w:t>
      </w:r>
    </w:p>
    <w:p>
      <w:pPr>
        <w:keepNext/>
        <w:spacing w:before="240" w:after="80"/>
      </w:pPr>
      <w:r>
        <w:rPr>
          <w:rFonts w:ascii="Times New Roman" w:hAnsi="Times New Roman"/>
          <w:b/>
          <w:i w:val="0"/>
          <w:color w:val="000000"/>
          <w:sz w:val="21"/>
        </w:rPr>
        <w:t>Table 5 Systematic Architectural Ablation Results across Operational and Stress Regimes (Mean MSE across seed evaluations).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Regime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Variant</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Structural Description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 MSE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Delta vs. Full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Assessment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Standard Operational Regime</w:t>
            </w:r>
            <w:r>
              <w:br/>
            </w:r>
            <w:r>
              <w:rPr>
                <w:rFonts w:ascii="Times New Roman" w:hAnsi="Times New Roman"/>
                <w:b w:val="0"/>
                <w:i/>
                <w:color w:val="000000"/>
                <w:sz w:val="18"/>
              </w:rPr>
              <w:t>(H in {96, 192, 336}, 12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(loss of multi-octave diversity)</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0.22247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+4.62%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CRITICAL: Trend aliasing degrades MSE severely</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+2.37%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(static non-adaptive weighting)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0.21612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(suboptimal ripple basin)</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0.21265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Optimal performance across all standard horizons</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Extended Stress Regime</w:t>
            </w:r>
            <w:r>
              <w:br/>
            </w:r>
            <w:r>
              <w:rPr>
                <w:rFonts w:ascii="Times New Roman" w:hAnsi="Times New Roman"/>
                <w:b w:val="0"/>
                <w:i/>
                <w:color w:val="000000"/>
                <w:sz w:val="18"/>
              </w:rPr>
              <w:t>(H = 720, 4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0.34551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-10.98%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Reduced phase accumulation over 30-day horizon</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0.40244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Persistent degradation from trend aliasing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0.34689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Dampened oscillatory drift via fixed 50% split</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0.37575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Flat local basin at extreme horizon distance</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0.38815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Subject to wavelet phase accumulation drift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Benchmark Matrix</w:t>
            </w:r>
            <w:r>
              <w:br/>
            </w:r>
            <w:r>
              <w:rPr>
                <w:rFonts w:ascii="Times New Roman" w:hAnsi="Times New Roman"/>
                <w:b w:val="0"/>
                <w:i/>
                <w:color w:val="000000"/>
                <w:sz w:val="18"/>
              </w:rPr>
              <w:t>(All 16 configurations)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0.26746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+4.26%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Consistent degradation across both regimes</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0.24998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-2.55%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Comparable overall mean with higher seed variance</w:t>
            </w:r>
          </w:p>
        </w:tc>
      </w:tr>
      <w:t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0.25652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Balanced full architecture</w:t>
            </w:r>
          </w:p>
        </w:tc>
      </w:tr>
    </w:tbl>
    <w:p>
      <w:pPr>
        <w:spacing w:before="0" w:after="120"/>
      </w:pPr>
    </w:p>
    <w:p>
      <w:pPr>
        <w:spacing w:before="0" w:after="120" w:line="276" w:lineRule="auto"/>
        <w:jc w:val="both"/>
      </w:pPr>
      <w:r>
        <w:rPr>
          <w:rFonts w:ascii="Times New Roman" w:hAnsi="Times New Roman"/>
          <w:b w:val="0"/>
          <w:i w:val="0"/>
          <w:color w:val="000000"/>
          <w:sz w:val="22"/>
        </w:rPr>
        <w:t xml:space="preserve">Disaggregating the ablation matrix into distinct forecasting regimes reveals the nuanced interplay between architectural modules and temporal scale. Across the </w:t>
      </w:r>
      <w:r>
        <w:rPr>
          <w:rFonts w:ascii="Times New Roman" w:hAnsi="Times New Roman"/>
          <w:b/>
          <w:i w:val="0"/>
          <w:color w:val="000000"/>
          <w:sz w:val="22"/>
        </w:rPr>
        <w:t>Standard Operational Regime</w:t>
      </w:r>
      <w:r>
        <w:rPr>
          <w:rFonts w:ascii="Times New Roman" w:hAnsi="Times New Roman"/>
          <w:b w:val="0"/>
          <w:i w:val="0"/>
          <w:color w:val="000000"/>
          <w:sz w:val="22"/>
        </w:rPr>
        <w:t xml:space="preserve"> (H in {96, 192, 336}, comprising 12 configurations), the Full PSO-TCWavKAN architecture (A5) achieves the lowest Mean MSE (0.21265), and every individual module omission induces clear, measurable performance degradation:</w:t>
      </w:r>
    </w:p>
    <w:p>
      <w:pPr>
        <w:spacing w:before="0" w:after="120" w:line="276" w:lineRule="auto"/>
        <w:jc w:val="both"/>
      </w:pPr>
      <w:r>
        <w:rPr>
          <w:rFonts w:ascii="Times New Roman" w:hAnsi="Times New Roman"/>
          <w:b w:val="0"/>
          <w:i w:val="0"/>
          <w:color w:val="000000"/>
          <w:sz w:val="22"/>
        </w:rPr>
        <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
      </w:r>
    </w:p>
    <w:p>
      <w:pPr>
        <w:spacing w:before="0" w:after="120" w:line="276" w:lineRule="auto"/>
        <w:jc w:val="both"/>
      </w:pPr>
      <w:r>
        <w:rPr>
          <w:rFonts w:ascii="Times New Roman" w:hAnsi="Times New Roman"/>
          <w:b w:val="0"/>
          <w:i w:val="0"/>
          <w:color w:val="000000"/>
          <w:sz w:val="22"/>
        </w:rPr>
        <w:t>(2) Removing the Continuous Harmonic Wavelet Bank (A1, K_w = 1) causes a +2.44% MSE increase across standard horizons, confirming that multi-octave spectral diversity is essential for capturing overlapping load-induced dynamics.</w:t>
      </w:r>
    </w:p>
    <w:p>
      <w:pPr>
        <w:spacing w:before="0" w:after="120" w:line="276" w:lineRule="auto"/>
        <w:jc w:val="both"/>
      </w:pPr>
      <w:r>
        <w:rPr>
          <w:rFonts w:ascii="Times New Roman" w:hAnsi="Times New Roman"/>
          <w:b w:val="0"/>
          <w:i w:val="0"/>
          <w:color w:val="000000"/>
          <w:sz w:val="22"/>
        </w:rPr>
        <w:t>(3) Removing the Instance-Adaptive Neural Router (A3) causes a +2.37% MSE increase across standard horizons, verifying the utility of dynamic gating over static equal-weighted routing (g = 0.5).</w:t>
      </w:r>
    </w:p>
    <w:p>
      <w:pPr>
        <w:spacing w:before="0" w:after="120" w:line="276" w:lineRule="auto"/>
        <w:jc w:val="both"/>
      </w:pPr>
      <w:r>
        <w:rPr>
          <w:rFonts w:ascii="Times New Roman" w:hAnsi="Times New Roman"/>
          <w:b w:val="0"/>
          <w:i w:val="0"/>
          <w:color w:val="000000"/>
          <w:sz w:val="22"/>
        </w:rPr>
        <w:t>(4) Omitting CLPSO swarm warm-start (A4) leads to a +1.63% degradation in standard operational performance, confirming that swarm exploration successfully positions initial weights outside suboptimal oscillatory ripple traps.</w:t>
      </w:r>
    </w:p>
    <w:p>
      <w:pPr>
        <w:spacing w:before="0" w:after="120" w:line="276" w:lineRule="auto"/>
        <w:jc w:val="both"/>
      </w:pPr>
      <w:r>
        <w:rPr>
          <w:rFonts w:ascii="Times New Roman" w:hAnsi="Times New Roman"/>
          <w:b w:val="0"/>
          <w:i w:val="0"/>
          <w:color w:val="000000"/>
          <w:sz w:val="22"/>
        </w:rPr>
        <w:t xml:space="preserve">Conversely, at the </w:t>
      </w:r>
      <w:r>
        <w:rPr>
          <w:rFonts w:ascii="Times New Roman" w:hAnsi="Times New Roman"/>
          <w:b/>
          <w:i w:val="0"/>
          <w:color w:val="000000"/>
          <w:sz w:val="22"/>
        </w:rPr>
        <w:t>Extended Stress Regime</w:t>
      </w:r>
      <w:r>
        <w:rPr>
          <w:rFonts w:ascii="Times New Roman" w:hAnsi="Times New Roman"/>
          <w:b w:val="0"/>
          <w:i w:val="0"/>
          <w:color w:val="000000"/>
          <w:sz w:val="22"/>
        </w:rPr>
        <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
      </w:r>
    </w:p>
    <w:p>
      <w:pPr>
        <w:spacing w:before="200" w:after="80"/>
        <w:jc w:val="center"/>
      </w:pPr>
      <w:r>
        <w:drawing>
          <wp:inline xmlns:a="http://schemas.openxmlformats.org/drawingml/2006/main" xmlns:pic="http://schemas.openxmlformats.org/drawingml/2006/picture">
            <wp:extent cx="5303520" cy="2154125"/>
            <wp:docPr id="8" name="Picture 8"/>
            <wp:cNvGraphicFramePr>
              <a:graphicFrameLocks noChangeAspect="1"/>
            </wp:cNvGraphicFramePr>
            <a:graphic>
              <a:graphicData uri="http://schemas.openxmlformats.org/drawingml/2006/picture">
                <pic:pic>
                  <pic:nvPicPr>
                    <pic:cNvPr id="0" name="v81_ablation_chart.png"/>
                    <pic:cNvPicPr/>
                  </pic:nvPicPr>
                  <pic:blipFill>
                    <a:blip r:embed="rId16"/>
                    <a:stretch>
                      <a:fillRect/>
                    </a:stretch>
                  </pic:blipFill>
                  <pic:spPr>
                    <a:xfrm>
                      <a:off x="0" y="0"/>
                      <a:ext cx="5303520" cy="2154125"/>
                    </a:xfrm>
                    <a:prstGeom prst="rect"/>
                  </pic:spPr>
                </pic:pic>
              </a:graphicData>
            </a:graphic>
          </wp:inline>
        </w:drawing>
      </w:r>
    </w:p>
    <w:p>
      <w:pPr>
        <w:spacing w:before="40" w:after="240"/>
        <w:jc w:val="center"/>
      </w:pPr>
      <w:r>
        <w:rPr>
          <w:rFonts w:ascii="Times New Roman" w:hAnsi="Times New Roman"/>
          <w:b w:val="0"/>
          <w:i/>
          <w:color w:val="000000"/>
          <w:sz w:val="19"/>
        </w:rPr>
        <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
      </w:r>
    </w:p>
    <w:p>
      <w:pPr>
        <w:keepNext/>
        <w:spacing w:before="280" w:after="120"/>
      </w:pPr>
      <w:r>
        <w:rPr>
          <w:rFonts w:ascii="Times New Roman" w:hAnsi="Times New Roman"/>
          <w:b/>
          <w:color w:val="002060"/>
          <w:sz w:val="26"/>
        </w:rPr>
        <w:t>7. Noise Perturbation and Operational Resilience</w:t>
      </w:r>
    </w:p>
    <w:p>
      <w:pPr>
        <w:spacing w:before="0" w:after="120" w:line="276" w:lineRule="auto"/>
        <w:jc w:val="both"/>
      </w:pPr>
      <w:r>
        <w:rPr>
          <w:rFonts w:ascii="Times New Roman" w:hAnsi="Times New Roman"/>
          <w:b w:val="0"/>
          <w:i w:val="0"/>
          <w:color w:val="000000"/>
          <w:sz w:val="22"/>
        </w:rPr>
        <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
      </w:r>
    </w:p>
    <w:p>
      <w:pPr>
        <w:keepNext/>
        <w:spacing w:before="240" w:after="80"/>
      </w:pPr>
      <w:r>
        <w:rPr>
          <w:rFonts w:ascii="Times New Roman" w:hAnsi="Times New Roman"/>
          <w:b/>
          <w:i w:val="0"/>
          <w:color w:val="000000"/>
          <w:sz w:val="21"/>
        </w:rPr>
        <w:t>Table 6 Synthetic Gaussian Noise Robustness Evaluation under Progressive Perturbation (Seed 42 pre-SWA reference checkpoint stress test).</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170"/>
        <w:gridCol w:w="1170"/>
        <w:gridCol w:w="1170"/>
        <w:gridCol w:w="1170"/>
        <w:gridCol w:w="1170"/>
        <w:gridCol w:w="1170"/>
        <w:gridCol w:w="1170"/>
        <w:gridCol w:w="1170"/>
      </w:tblGrid>
      <w:tr>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Clean (sigma=0.0)</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Low Noise (sigma=0.1)</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Med Noise (sigma=0.2)</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High Noise (sigma=0.3)</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 Degradation</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0.1145</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0.1273</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0.2142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0.3216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0.4354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+139.6%</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0.3312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0.3334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+4.8%</w:t>
            </w:r>
          </w:p>
        </w:tc>
      </w:tr>
      <w:t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0.3475</w:t>
            </w:r>
          </w:p>
        </w:tc>
        <w:tc>
          <w:tcPr>
            <w:tcW w:type="dxa" w:w="117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+1.4% (Ultra-Resilient)</w:t>
            </w:r>
          </w:p>
        </w:tc>
      </w:tr>
    </w:tbl>
    <w:p>
      <w:pPr>
        <w:spacing w:before="0" w:after="120"/>
      </w:pPr>
    </w:p>
    <w:p>
      <w:pPr>
        <w:spacing w:before="0" w:after="120" w:line="276" w:lineRule="auto"/>
        <w:jc w:val="both"/>
      </w:pPr>
      <w:r>
        <w:rPr>
          <w:rFonts w:ascii="Times New Roman" w:hAnsi="Times New Roman"/>
          <w:b w:val="0"/>
          <w:i/>
          <w:color w:val="000000"/>
          <w:sz w:val="22"/>
        </w:rPr>
        <w:t>Note: Noise robustness evaluation (Table 6) uses the best pre-SWA checkpoint; results may differ marginally from the SWA-averaged model used in Table 4 when SWA was selected. In Table 6, baseline clean values reflect the individual test trajectory (0.3426 on ETTh2 L=336 H=336) recorded during perturbation profiling, compared to the benchmark mean of 0.3162 reported in Table 4.</w:t>
      </w:r>
    </w:p>
    <w:p>
      <w:pPr>
        <w:spacing w:before="0" w:after="120" w:line="276" w:lineRule="auto"/>
        <w:jc w:val="both"/>
      </w:pPr>
      <w:r>
        <w:rPr>
          <w:rFonts w:ascii="Times New Roman" w:hAnsi="Times New Roman"/>
          <w:b w:val="0"/>
          <w:i w:val="0"/>
          <w:color w:val="000000"/>
          <w:sz w:val="22"/>
        </w:rPr>
        <w:t>The empirical results demonstrate distinct resilience profiles depending on the operational forecasting regime:</w:t>
      </w:r>
    </w:p>
    <w:p>
      <w:pPr>
        <w:spacing w:before="0" w:after="120" w:line="276" w:lineRule="auto"/>
        <w:jc w:val="both"/>
      </w:pPr>
      <w:r>
        <w:rPr>
          <w:rFonts w:ascii="Times New Roman" w:hAnsi="Times New Roman"/>
          <w:b w:val="0"/>
          <w:i w:val="0"/>
          <w:color w:val="000000"/>
          <w:sz w:val="22"/>
        </w:rPr>
        <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
      </w:r>
    </w:p>
    <w:p>
      <w:pPr>
        <w:spacing w:before="0" w:after="120" w:line="276" w:lineRule="auto"/>
        <w:jc w:val="both"/>
      </w:pPr>
      <w:r>
        <w:rPr>
          <w:rFonts w:ascii="Times New Roman" w:hAnsi="Times New Roman"/>
          <w:b w:val="0"/>
          <w:i w:val="0"/>
          <w:color w:val="000000"/>
          <w:sz w:val="22"/>
        </w:rPr>
        <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step-by-step cumulative error growth across prediction horizons under perturbation is depicted in Fig. 9.</w:t>
      </w:r>
    </w:p>
    <w:p>
      <w:pPr>
        <w:spacing w:before="200" w:after="80"/>
        <w:jc w:val="center"/>
      </w:pPr>
      <w:r>
        <w:drawing>
          <wp:inline xmlns:a="http://schemas.openxmlformats.org/drawingml/2006/main" xmlns:pic="http://schemas.openxmlformats.org/drawingml/2006/picture">
            <wp:extent cx="5303520" cy="2384151"/>
            <wp:docPr id="9" name="Picture 9"/>
            <wp:cNvGraphicFramePr>
              <a:graphicFrameLocks noChangeAspect="1"/>
            </wp:cNvGraphicFramePr>
            <a:graphic>
              <a:graphicData uri="http://schemas.openxmlformats.org/drawingml/2006/picture">
                <pic:pic>
                  <pic:nvPicPr>
                    <pic:cNvPr id="0" name="k09_forecast_step_rmse.png"/>
                    <pic:cNvPicPr/>
                  </pic:nvPicPr>
                  <pic:blipFill>
                    <a:blip r:embed="rId17"/>
                    <a:stretch>
                      <a:fillRect/>
                    </a:stretch>
                  </pic:blipFill>
                  <pic:spPr>
                    <a:xfrm>
                      <a:off x="0" y="0"/>
                      <a:ext cx="5303520" cy="2384151"/>
                    </a:xfrm>
                    <a:prstGeom prst="rect"/>
                  </pic:spPr>
                </pic:pic>
              </a:graphicData>
            </a:graphic>
          </wp:inline>
        </w:drawing>
      </w:r>
    </w:p>
    <w:p>
      <w:pPr>
        <w:spacing w:before="40" w:after="240"/>
        <w:jc w:val="center"/>
      </w:pPr>
      <w:r>
        <w:rPr>
          <w:rFonts w:ascii="Times New Roman" w:hAnsi="Times New Roman"/>
          <w:b w:val="0"/>
          <w:i/>
          <w:color w:val="000000"/>
          <w:sz w:val="19"/>
        </w:rPr>
        <w:t>Fig. 9 Step-by-Step Cumulative Root Mean Squared Error Growth across Prediction Horizons on ETTh2 (L=336, H=336, sigma=0.0). Step-wise RMSE plotted across forecast steps h ∈ {1, ..., 336} comparing PSO-TCWavKAN with DLinear and theoretical autoregressive error compounding. Under the instance-adaptive routing gate, PSO-TCWavKAN exhibits bounded, sub-linear error accumulation and achieves late-horizon stability (h ≥ 221), avoiding the rapid error compounding characteristic of recursive autoregressive forecasting architectures.</w:t>
      </w:r>
    </w:p>
    <w:p>
      <w:pPr>
        <w:keepNext/>
        <w:spacing w:before="280" w:after="120"/>
      </w:pPr>
      <w:r>
        <w:rPr>
          <w:rFonts w:ascii="Times New Roman" w:hAnsi="Times New Roman"/>
          <w:b/>
          <w:color w:val="002060"/>
          <w:sz w:val="26"/>
        </w:rPr>
        <w:t>8. Computational Complexity, Hardware Efficiency, and Inference Latency</w:t>
      </w:r>
    </w:p>
    <w:p>
      <w:pPr>
        <w:spacing w:before="0" w:after="120" w:line="276" w:lineRule="auto"/>
        <w:jc w:val="both"/>
      </w:pPr>
      <w:r>
        <w:rPr>
          <w:rFonts w:ascii="Times New Roman" w:hAnsi="Times New Roman"/>
          <w:b w:val="0"/>
          <w:i w:val="0"/>
          <w:color w:val="000000"/>
          <w:sz w:val="22"/>
        </w:rPr>
        <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
      </w:r>
    </w:p>
    <w:p>
      <w:pPr>
        <w:keepNext/>
        <w:spacing w:before="240" w:after="80"/>
      </w:pPr>
      <w:r>
        <w:rPr>
          <w:rFonts w:ascii="Times New Roman" w:hAnsi="Times New Roman"/>
          <w:b/>
          <w:i w:val="0"/>
          <w:color w:val="000000"/>
          <w:sz w:val="21"/>
        </w:rPr>
        <w:t>Table 7 Computational Resource Allocation, Parameter Counts, and Inference Latency (NVIDIA Tesla T4 GPU).</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Model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Parameters (Base L=96, H=96)</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Train Time/Epoch (s)</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Peak GPU Memory (MB)</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Batch Inference Latency (ms)</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Edge SCADA Feasibility</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DLinear [4]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18.6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Yes (ultra-lightweight)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NLinear [4]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9.3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Yes (ultra-lightweight)</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PatchTST Lite [5]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169.6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1,240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Moderate (cloud gateway)</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Standard B-Spline KAN [1]</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52.4 K</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980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No (grid update overhead)</w:t>
            </w:r>
          </w:p>
        </w:tc>
      </w:tr>
      <w:t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 (Proposed)</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44.8 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680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3.4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Yes (high-efficiency)</w:t>
            </w:r>
          </w:p>
        </w:tc>
      </w:tr>
    </w:tbl>
    <w:p>
      <w:pPr>
        <w:spacing w:before="0" w:after="120"/>
      </w:pPr>
    </w:p>
    <w:p>
      <w:pPr>
        <w:spacing w:before="0" w:after="120" w:line="276" w:lineRule="auto"/>
        <w:jc w:val="both"/>
      </w:pPr>
      <w:r>
        <w:rPr>
          <w:rFonts w:ascii="Times New Roman" w:hAnsi="Times New Roman"/>
          <w:b w:val="0"/>
          <w:i w:val="0"/>
          <w:color w:val="000000"/>
          <w:sz w:val="22"/>
        </w:rPr>
        <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
      </w:r>
    </w:p>
    <w:p>
      <w:pPr>
        <w:keepNext/>
        <w:spacing w:before="280" w:after="120"/>
      </w:pPr>
      <w:r>
        <w:rPr>
          <w:rFonts w:ascii="Times New Roman" w:hAnsi="Times New Roman"/>
          <w:b/>
          <w:color w:val="002060"/>
          <w:sz w:val="26"/>
        </w:rPr>
        <w:t>9. Discussion, Engineering Implications, and Limitations</w:t>
      </w:r>
    </w:p>
    <w:p>
      <w:pPr>
        <w:keepNext/>
        <w:spacing w:before="200" w:after="80"/>
      </w:pPr>
      <w:r>
        <w:rPr>
          <w:rFonts w:ascii="Times New Roman" w:hAnsi="Times New Roman"/>
          <w:b/>
          <w:sz w:val="23"/>
        </w:rPr>
        <w:t>9.1. Engineering Significance for Smart Substation Operation</w:t>
      </w:r>
    </w:p>
    <w:p>
      <w:pPr>
        <w:spacing w:before="0" w:after="120" w:line="276" w:lineRule="auto"/>
        <w:jc w:val="both"/>
      </w:pPr>
      <w:r>
        <w:rPr>
          <w:rFonts w:ascii="Times New Roman" w:hAnsi="Times New Roman"/>
          <w:b w:val="0"/>
          <w:i w:val="0"/>
          <w:color w:val="000000"/>
          <w:sz w:val="22"/>
        </w:rPr>
        <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and IEC 60076-7 [22]:</w:t>
      </w:r>
    </w:p>
    <w:p>
      <w:pPr>
        <w:spacing w:before="120" w:after="120" w:line="276" w:lineRule="auto"/>
        <w:jc w:val="center"/>
      </w:pPr>
      <w:r>
        <w:rPr>
          <w:rFonts w:ascii="Cambria Math" w:hAnsi="Cambria Math"/>
          <w:sz w:val="21"/>
        </w:rPr>
        <w:t>FAA = exp[B × (1/383 − 1/(Θ_H + 273))]    (Eq. (25)  [IEC 60076-7 Arrhenius aging acceleration factor; B ≈ 15000 K; reference 110°C; numerically ≈2× per +6°C near rated point]</w:t>
      </w:r>
    </w:p>
    <w:p>
      <w:pPr>
        <w:spacing w:before="0" w:after="120" w:line="276" w:lineRule="auto"/>
        <w:jc w:val="both"/>
      </w:pPr>
      <w:r>
        <w:rPr>
          <w:rFonts w:ascii="Times New Roman" w:hAnsi="Times New Roman"/>
          <w:b w:val="0"/>
          <w:i w:val="0"/>
          <w:color w:val="000000"/>
          <w:sz w:val="22"/>
        </w:rPr>
        <w:t>where V represents relative insulation aging rate, and Theta_H is the winding hot-spot temperature (in degrees Celsius). In accordance with Eq. (25), every sustained 6 °C temperature elevation above the 110 °C reference point doubles the insulation aging acceleration factor.</w:t>
      </w:r>
    </w:p>
    <w:p>
      <w:pPr>
        <w:spacing w:before="0" w:after="120" w:line="276" w:lineRule="auto"/>
        <w:jc w:val="both"/>
      </w:pPr>
      <w:r>
        <w:rPr>
          <w:rFonts w:ascii="Times New Roman" w:hAnsi="Times New Roman"/>
          <w:b w:val="0"/>
          <w:i w:val="0"/>
          <w:color w:val="000000"/>
          <w:sz w:val="22"/>
        </w:rPr>
        <w:t>Evaluating physical prediction error requires denormalizing standardized test MSE via the training set standard deviation (σ_train ≈ 11.59 °C on ETTh2). When evaluated on identical forecasting configurations, PSO-TCWavKAN demonstrates consistent physical error reductions: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
      </w:r>
    </w:p>
    <w:p>
      <w:pPr>
        <w:spacing w:before="0" w:after="120" w:line="276" w:lineRule="auto"/>
        <w:jc w:val="both"/>
      </w:pPr>
      <w:r>
        <w:rPr>
          <w:rFonts w:ascii="Times New Roman" w:hAnsi="Times New Roman"/>
          <w:b w:val="0"/>
          <w:i w:val="0"/>
          <w:color w:val="000000"/>
          <w:sz w:val="22"/>
        </w:rPr>
        <w:t>In power transformer operations, top-oil temperature (TOT) forecasts serve as the direct thermal boundary condition for estimating the internal winding hot-spot temperature (Θ_H) through differential equations defined in IEEE Std C57.91 [21] and IEC 60076-7 [22]. By providing more accurate top-oil boundary estimates during peak dynamic load cycles, premature thermal runaway can be proactively mitigated, supporting dynamic line rating (DTR) and transformer asset utilization analysis, indicating potential loading capacity gains of 10%–15% subject to site-specific physical calibration [24].</w:t>
      </w:r>
    </w:p>
    <w:p>
      <w:pPr>
        <w:keepNext/>
        <w:spacing w:before="200" w:after="80"/>
      </w:pPr>
      <w:r>
        <w:rPr>
          <w:rFonts w:ascii="Times New Roman" w:hAnsi="Times New Roman"/>
          <w:b/>
          <w:sz w:val="23"/>
        </w:rPr>
        <w:t>9.2. Limitations and Future Directions</w:t>
      </w:r>
    </w:p>
    <w:p>
      <w:pPr>
        <w:spacing w:before="0" w:after="120" w:line="276" w:lineRule="auto"/>
        <w:jc w:val="both"/>
      </w:pPr>
      <w:r>
        <w:rPr>
          <w:rFonts w:ascii="Times New Roman" w:hAnsi="Times New Roman"/>
          <w:b/>
          <w:i w:val="0"/>
          <w:color w:val="000000"/>
          <w:sz w:val="22"/>
        </w:rPr>
        <w:t>Limitations.</w:t>
      </w:r>
      <w:r>
        <w:rPr>
          <w:rFonts w:ascii="Times New Roman" w:hAnsi="Times New Roman"/>
          <w:b w:val="0"/>
          <w:i w:val="0"/>
          <w:color w:val="000000"/>
          <w:sz w:val="22"/>
        </w:rPr>
        <w:t xml:space="preserve"> To ensure sound engineering deployment, several limitations are transparently acknowledged:</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Univariate OT target:</w:t>
      </w:r>
      <w:r>
        <w:rPr>
          <w:rFonts w:ascii="Times New Roman" w:hAnsi="Times New Roman"/>
          <w:b w:val="0"/>
          <w:i w:val="0"/>
          <w:color w:val="000000"/>
          <w:sz w:val="22"/>
        </w:rPr>
        <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ETT benchmark scope:</w:t>
      </w:r>
      <w:r>
        <w:rPr>
          <w:rFonts w:ascii="Times New Roman" w:hAnsi="Times New Roman"/>
          <w:b w:val="0"/>
          <w:i w:val="0"/>
          <w:color w:val="000000"/>
          <w:sz w:val="22"/>
        </w:rPr>
        <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Extended-horizon phase accumulation boundary:</w:t>
      </w:r>
      <w:r>
        <w:rPr>
          <w:rFonts w:ascii="Times New Roman" w:hAnsi="Times New Roman"/>
          <w:b w:val="0"/>
          <w:i w:val="0"/>
          <w:color w:val="000000"/>
          <w:sz w:val="22"/>
        </w:rPr>
        <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
      </w:r>
    </w:p>
    <w:p>
      <w:pPr>
        <w:spacing w:before="200" w:after="80"/>
        <w:jc w:val="center"/>
      </w:pPr>
      <w:r>
        <w:drawing>
          <wp:inline xmlns:a="http://schemas.openxmlformats.org/drawingml/2006/main" xmlns:pic="http://schemas.openxmlformats.org/drawingml/2006/picture">
            <wp:extent cx="5303520" cy="2096740"/>
            <wp:docPr id="10" name="Picture 10"/>
            <wp:cNvGraphicFramePr>
              <a:graphicFrameLocks noChangeAspect="1"/>
            </wp:cNvGraphicFramePr>
            <a:graphic>
              <a:graphicData uri="http://schemas.openxmlformats.org/drawingml/2006/picture">
                <pic:pic>
                  <pic:nvPicPr>
                    <pic:cNvPr id="0" name="k10_h720_forecasts.png"/>
                    <pic:cNvPicPr/>
                  </pic:nvPicPr>
                  <pic:blipFill>
                    <a:blip r:embed="rId18"/>
                    <a:stretch>
                      <a:fillRect/>
                    </a:stretch>
                  </pic:blipFill>
                  <pic:spPr>
                    <a:xfrm>
                      <a:off x="0" y="0"/>
                      <a:ext cx="5303520" cy="2096740"/>
                    </a:xfrm>
                    <a:prstGeom prst="rect"/>
                  </pic:spPr>
                </pic:pic>
              </a:graphicData>
            </a:graphic>
          </wp:inline>
        </w:drawing>
      </w:r>
    </w:p>
    <w:p>
      <w:pPr>
        <w:spacing w:before="40" w:after="240"/>
        <w:jc w:val="center"/>
      </w:pPr>
      <w:r>
        <w:rPr>
          <w:rFonts w:ascii="Times New Roman" w:hAnsi="Times New Roman"/>
          <w:b w:val="0"/>
          <w:i/>
          <w:color w:val="000000"/>
          <w:sz w:val="19"/>
        </w:rPr>
        <w:t>Fig. 10 Long-Horizon (H=720) Forecast Trajectories: PSO-TCWavKAN vs. DLinear on ETTh2 (L=336). At the 30-day-ahead extreme horizon, DLinear (blue dashed) achieves lower MSE. This transparently illustrates the identified boundary condition: at H=720, accumulated wavelet phase drift in the non-linear pathway degrades performance, performing worse than DLinear for this specific extreme configuration and motivating future horizon-adaptive routing gate extensions.</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CLPSO surrogate budget:</w:t>
      </w:r>
      <w:r>
        <w:rPr>
          <w:rFonts w:ascii="Times New Roman" w:hAnsi="Times New Roman"/>
          <w:b w:val="0"/>
          <w:i w:val="0"/>
          <w:color w:val="000000"/>
          <w:sz w:val="22"/>
        </w:rPr>
        <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
      </w:r>
    </w:p>
    <w:p>
      <w:pPr>
        <w:spacing w:before="0" w:after="120" w:line="276" w:lineRule="auto"/>
        <w:jc w:val="both"/>
      </w:pPr>
      <w:r>
        <w:rPr>
          <w:rFonts w:ascii="Times New Roman" w:hAnsi="Times New Roman"/>
          <w:b/>
          <w:i w:val="0"/>
          <w:color w:val="000000"/>
          <w:sz w:val="22"/>
        </w:rPr>
        <w:t>Future Directions.</w:t>
      </w:r>
      <w:r>
        <w:rPr>
          <w:rFonts w:ascii="Times New Roman" w:hAnsi="Times New Roman"/>
          <w:b w:val="0"/>
          <w:i w:val="0"/>
          <w:color w:val="000000"/>
          <w:sz w:val="22"/>
        </w:rPr>
        <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
      </w:r>
    </w:p>
    <w:p>
      <w:pPr>
        <w:keepNext/>
        <w:spacing w:before="280" w:after="120"/>
      </w:pPr>
      <w:r>
        <w:rPr>
          <w:rFonts w:ascii="Times New Roman" w:hAnsi="Times New Roman"/>
          <w:b/>
          <w:color w:val="002060"/>
          <w:sz w:val="26"/>
        </w:rPr>
        <w:t>10. Conclusions</w:t>
      </w:r>
    </w:p>
    <w:p>
      <w:pPr>
        <w:spacing w:before="0" w:after="120" w:line="276" w:lineRule="auto"/>
        <w:jc w:val="both"/>
      </w:pPr>
      <w:r>
        <w:rPr>
          <w:rFonts w:ascii="Times New Roman" w:hAnsi="Times New Roman"/>
          <w:b w:val="0"/>
          <w:i w:val="0"/>
          <w:color w:val="000000"/>
          <w:sz w:val="22"/>
        </w:rPr>
        <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asymptotic recovery of the DLinear structural subspace (Proposition 1), providing structural protection against non-linear overfitting. A 4D Modified PSO with Comprehensive Learning (MPSOCL) (CLPSO) warm-start mechanism navigates multi-modal wavelet ripple basins prior to AdamW fine-tuning and Stochastic Weight Averaging.</w:t>
      </w:r>
    </w:p>
    <w:p>
      <w:pPr>
        <w:spacing w:before="0" w:after="120" w:line="276" w:lineRule="auto"/>
        <w:jc w:val="both"/>
      </w:pPr>
      <w:r>
        <w:rPr>
          <w:rFonts w:ascii="Times New Roman" w:hAnsi="Times New Roman"/>
          <w:b w:val="0"/>
          <w:i w:val="0"/>
          <w:color w:val="000000"/>
          <w:sz w:val="22"/>
        </w:rPr>
        <w:t>Empirical evaluation across 16 canonical ETT benchmark configurations demonstrated that PSO-TCWavKAN achieves directional improvements over NLinear (two-sided Wilcoxon uncorrected p = 0.0443; Holm-corrected p = 0.133 across 3 simultaneous baseline comparisons) and competitive parity with DLinear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
      </w:r>
    </w:p>
    <w:p>
      <w:pPr>
        <w:jc w:val="both"/>
      </w:pPr>
      <w:r>
        <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
      </w:r>
    </w:p>
    <w:p>
      <w:pPr>
        <w:keepNext/>
        <w:spacing w:before="280" w:after="120"/>
      </w:pPr>
      <w:r>
        <w:rPr>
          <w:rFonts w:ascii="Times New Roman" w:hAnsi="Times New Roman"/>
          <w:b/>
          <w:color w:val="002060"/>
          <w:sz w:val="26"/>
        </w:rPr>
        <w:t>Declarations</w:t>
      </w:r>
    </w:p>
    <w:p>
      <w:pPr>
        <w:spacing w:before="80" w:after="80" w:line="276" w:lineRule="auto"/>
        <w:jc w:val="both"/>
      </w:pPr>
      <w:r>
        <w:rPr>
          <w:rFonts w:ascii="Times New Roman" w:hAnsi="Times New Roman"/>
          <w:b/>
          <w:i w:val="0"/>
          <w:color w:val="000000"/>
          <w:sz w:val="21"/>
        </w:rPr>
        <w:t>Availability of data and materials:</w:t>
      </w:r>
      <w:r>
        <w:rPr>
          <w:rFonts w:ascii="Times New Roman" w:hAnsi="Times New Roman"/>
          <w:b w:val="0"/>
          <w:i w:val="0"/>
          <w:color w:val="000000"/>
          <w:sz w:val="21"/>
        </w:rPr>
        <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Model checkpoints and detailed per-seed experiment logs are hosted on Kaggle Cloud (available upon reasonable request; checkpoint download links will be provided upon paper acceptance).</w:t>
      </w:r>
    </w:p>
    <w:p>
      <w:pPr>
        <w:jc w:val="both"/>
      </w:pPr>
      <w:r>
        <w:rPr>
          <w:rFonts w:ascii="Times New Roman" w:hAnsi="Times New Roman"/>
          <w:b/>
          <w:i w:val="0"/>
          <w:color w:val="000000"/>
          <w:sz w:val="21"/>
        </w:rPr>
        <w:t xml:space="preserve">Consent to participate: Not applicable. This study does not involve human participants or animal subjects; all data used are publicly available open-source benchmark datasets.</w:t>
      </w:r>
    </w:p>
    <w:p>
      <w:pPr>
        <w:spacing w:before="80" w:after="80" w:line="276" w:lineRule="auto"/>
        <w:jc w:val="both"/>
      </w:pPr>
      <w:r>
        <w:rPr>
          <w:rFonts w:ascii="Times New Roman" w:hAnsi="Times New Roman"/>
          <w:b/>
          <w:i w:val="0"/>
          <w:color w:val="000000"/>
          <w:sz w:val="21"/>
        </w:rPr>
        <w:t>Consent for publication:</w:t>
      </w:r>
      <w:r>
        <w:rPr>
          <w:rFonts w:ascii="Times New Roman" w:hAnsi="Times New Roman"/>
          <w:b w:val="0"/>
          <w:i w:val="0"/>
          <w:color w:val="000000"/>
          <w:sz w:val="21"/>
        </w:rPr>
        <w:t xml:space="preserve"> The author confirms that this manuscript has been read and approved for submission and that the content has not been published or submitted for publication elsewhere, either in whole or in part.</w:t>
      </w:r>
    </w:p>
    <w:p>
      <w:pPr>
        <w:spacing w:before="80" w:after="80" w:line="276" w:lineRule="auto"/>
        <w:jc w:val="both"/>
      </w:pPr>
      <w:r>
        <w:rPr>
          <w:rFonts w:ascii="Times New Roman" w:hAnsi="Times New Roman"/>
          <w:b/>
          <w:i w:val="0"/>
          <w:color w:val="000000"/>
          <w:sz w:val="21"/>
        </w:rPr>
        <w:t>Competing interests:</w:t>
      </w:r>
      <w:r>
        <w:rPr>
          <w:rFonts w:ascii="Times New Roman" w:hAnsi="Times New Roman"/>
          <w:b w:val="0"/>
          <w:i w:val="0"/>
          <w:color w:val="000000"/>
          <w:sz w:val="21"/>
        </w:rPr>
        <w:t xml:space="preserve"> The author declares that he has no competing financial or personal interests that could have appeared to influence the work reported in this paper.</w:t>
      </w:r>
    </w:p>
    <w:p>
      <w:pPr>
        <w:spacing w:before="80" w:after="80" w:line="276" w:lineRule="auto"/>
        <w:jc w:val="both"/>
      </w:pPr>
      <w:r>
        <w:rPr>
          <w:rFonts w:ascii="Times New Roman" w:hAnsi="Times New Roman"/>
          <w:b/>
          <w:i w:val="0"/>
          <w:color w:val="000000"/>
          <w:sz w:val="21"/>
        </w:rPr>
        <w:t>Funding:</w:t>
      </w:r>
      <w:r>
        <w:rPr>
          <w:rFonts w:ascii="Times New Roman" w:hAnsi="Times New Roman"/>
          <w:b w:val="0"/>
          <w:i w:val="0"/>
          <w:color w:val="000000"/>
          <w:sz w:val="21"/>
        </w:rPr>
        <w:t xml:space="preserve"> This research received no specific grant from any funding agency in the public, commercial, or not-for-profit sectors.</w:t>
      </w:r>
    </w:p>
    <w:p>
      <w:pPr>
        <w:spacing w:before="80" w:after="80" w:line="276" w:lineRule="auto"/>
        <w:jc w:val="both"/>
      </w:pPr>
      <w:r>
        <w:rPr>
          <w:rFonts w:ascii="Times New Roman" w:hAnsi="Times New Roman"/>
          <w:b/>
          <w:i w:val="0"/>
          <w:color w:val="000000"/>
          <w:sz w:val="21"/>
        </w:rPr>
        <w:t>Authors contributions:</w:t>
      </w:r>
      <w:r>
        <w:rPr>
          <w:rFonts w:ascii="Times New Roman" w:hAnsi="Times New Roman"/>
          <w:b w:val="0"/>
          <w:i w:val="0"/>
          <w:color w:val="000000"/>
          <w:sz w:val="21"/>
        </w:rPr>
        <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
      </w:r>
    </w:p>
    <w:p>
      <w:pPr>
        <w:spacing w:before="80" w:after="80" w:line="276" w:lineRule="auto"/>
        <w:jc w:val="both"/>
      </w:pPr>
      <w:r>
        <w:rPr>
          <w:rFonts w:ascii="Times New Roman" w:hAnsi="Times New Roman"/>
          <w:b/>
          <w:i w:val="0"/>
          <w:color w:val="000000"/>
          <w:sz w:val="21"/>
        </w:rPr>
        <w:t>Acknowledgements:</w:t>
      </w:r>
      <w:r>
        <w:rPr>
          <w:rFonts w:ascii="Times New Roman" w:hAnsi="Times New Roman"/>
          <w:b w:val="0"/>
          <w:i w:val="0"/>
          <w:color w:val="000000"/>
          <w:sz w:val="21"/>
        </w:rPr>
        <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
      </w:r>
    </w:p>
    <w:p>
      <w:pPr>
        <w:spacing w:before="80" w:after="80" w:line="276" w:lineRule="auto"/>
        <w:jc w:val="both"/>
      </w:pPr>
      <w:r>
        <w:rPr>
          <w:rFonts w:ascii="Times New Roman" w:hAnsi="Times New Roman"/>
          <w:b/>
          <w:i w:val="0"/>
          <w:color w:val="000000"/>
          <w:sz w:val="21"/>
        </w:rPr>
        <w:t>Ethics approval and consent to participate:</w:t>
      </w:r>
      <w:r>
        <w:rPr>
          <w:rFonts w:ascii="Times New Roman" w:hAnsi="Times New Roman"/>
          <w:b w:val="0"/>
          <w:i w:val="0"/>
          <w:color w:val="000000"/>
          <w:sz w:val="21"/>
        </w:rPr>
        <w:t xml:space="preserve"> Not applicable. This study involves only publicly available benchmark data and does not involve human participants, animal subjects, or sensitive personal data.</w:t>
      </w:r>
    </w:p>
    <w:p>
      <w:pPr>
        <w:keepNext/>
        <w:spacing w:before="280" w:after="120"/>
      </w:pPr>
      <w:r>
        <w:rPr>
          <w:rFonts w:ascii="Times New Roman" w:hAnsi="Times New Roman"/>
          <w:b/>
          <w:color w:val="002060"/>
          <w:sz w:val="26"/>
        </w:rPr>
        <w:t>References</w:t>
      </w:r>
    </w:p>
    <w:p>
      <w:pPr>
        <w:spacing w:before="40" w:after="60" w:line="276" w:lineRule="auto"/>
        <w:ind w:left="432" w:hanging="432"/>
      </w:pPr>
      <w:r>
        <w:rPr>
          <w:rFonts w:ascii="Times New Roman" w:hAnsi="Times New Roman"/>
          <w:b w:val="0"/>
          <w:i w:val="0"/>
          <w:color w:val="000000"/>
          <w:sz w:val="19"/>
        </w:rPr>
        <w:t>1. Liu Z, Wang Y, Vaidya S, Ruehle F, Halverson J, Soljacic M, Hou TY, Tegmark M (2024) KAN: Kolmogorov-Arnold Networks. arXiv:2404.19756. https://doi.org/10.48550/arXiv.2404.19756</w:t>
      </w:r>
    </w:p>
    <w:p>
      <w:pPr>
        <w:spacing w:before="40" w:after="60" w:line="276" w:lineRule="auto"/>
        <w:ind w:left="432" w:hanging="432"/>
      </w:pPr>
      <w:r>
        <w:rPr>
          <w:rFonts w:ascii="Times New Roman" w:hAnsi="Times New Roman"/>
          <w:b w:val="0"/>
          <w:i w:val="0"/>
          <w:color w:val="000000"/>
          <w:sz w:val="19"/>
        </w:rPr>
        <w:t>2. Bozorgasl Z, Chen H (2024) Wav-KAN: Wavelet Kolmogorov-Arnold Networks. arXiv:2405.12832. https://doi.org/10.48550/arXiv.2405.12832</w:t>
      </w:r>
    </w:p>
    <w:p>
      <w:pPr>
        <w:spacing w:before="40" w:after="60" w:line="276" w:lineRule="auto"/>
        <w:ind w:left="432" w:hanging="432"/>
      </w:pPr>
      <w:r>
        <w:rPr>
          <w:rFonts w:ascii="Times New Roman" w:hAnsi="Times New Roman"/>
          <w:b w:val="0"/>
          <w:i w:val="0"/>
          <w:color w:val="000000"/>
          <w:sz w:val="19"/>
        </w:rPr>
        <w:t>3. Zhou H, Zhang S, Peng J, Zhang S, Li J, Xiong H, Zhang W (2021) Informer: Beyond efficient transformer for long sequence time-series forecasting. Proc AAAI Conf Artif Intell 35(12):11106-11115</w:t>
      </w:r>
    </w:p>
    <w:p>
      <w:pPr>
        <w:spacing w:before="40" w:after="60" w:line="276" w:lineRule="auto"/>
        <w:ind w:left="432" w:hanging="432"/>
      </w:pPr>
      <w:r>
        <w:rPr>
          <w:rFonts w:ascii="Times New Roman" w:hAnsi="Times New Roman"/>
          <w:b w:val="0"/>
          <w:i w:val="0"/>
          <w:color w:val="000000"/>
          <w:sz w:val="19"/>
        </w:rPr>
        <w:t>4. Zeng A, Chen M, Zhang L, Xu Q (2023) Are transformers effective for time series? Proc AAAI Conf Artif Intell 37(9):11121-11128</w:t>
      </w:r>
    </w:p>
    <w:p>
      <w:pPr>
        <w:spacing w:before="40" w:after="60" w:line="276" w:lineRule="auto"/>
        <w:ind w:left="432" w:hanging="432"/>
      </w:pPr>
      <w:r>
        <w:rPr>
          <w:rFonts w:ascii="Times New Roman" w:hAnsi="Times New Roman"/>
          <w:b w:val="0"/>
          <w:i w:val="0"/>
          <w:color w:val="000000"/>
          <w:sz w:val="19"/>
        </w:rPr>
        <w:t>5. Nie Y, Nguyen NH, Sinthong P, Kalagnanam J (2023) A time series is worth 64 words: Long-term forecasting with transformers. Int Conf Learn Represent (ICLR)</w:t>
      </w:r>
    </w:p>
    <w:p>
      <w:pPr>
        <w:spacing w:before="40" w:after="60" w:line="276" w:lineRule="auto"/>
        <w:ind w:left="432" w:hanging="432"/>
      </w:pPr>
      <w:r>
        <w:rPr>
          <w:rFonts w:ascii="Times New Roman" w:hAnsi="Times New Roman"/>
          <w:b w:val="0"/>
          <w:i w:val="0"/>
          <w:color w:val="000000"/>
          <w:sz w:val="19"/>
        </w:rPr>
        <w:t>6. Yang J, Zhang B, Tong L, Cao S, Sun S (2025) An error correction ACKLSTM model combining data-driven and deep learning for wind power prediction. J Eng Appl Sci 72:191. https://doi.org/10.1186/s44147-025-00771-0</w:t>
      </w:r>
    </w:p>
    <w:p>
      <w:pPr>
        <w:spacing w:before="40" w:after="60" w:line="276" w:lineRule="auto"/>
        <w:ind w:left="432" w:hanging="432"/>
      </w:pPr>
      <w:r>
        <w:rPr>
          <w:rFonts w:ascii="Times New Roman" w:hAnsi="Times New Roman"/>
          <w:b w:val="0"/>
          <w:i w:val="0"/>
          <w:color w:val="000000"/>
          <w:sz w:val="19"/>
        </w:rPr>
        <w:t>7. Alnaqbi A, Al-Khateeb GG, Zeiada W (2025) Predictive modeling of longitudinal cracking in CRCP using PSO-tuned gradient boosting machines. J Eng Appl Sci 72:58. https://doi.org/10.1186/s44147-025-00623-x</w:t>
      </w:r>
    </w:p>
    <w:p>
      <w:pPr>
        <w:spacing w:before="40" w:after="60" w:line="276" w:lineRule="auto"/>
        <w:ind w:left="432" w:hanging="432"/>
      </w:pPr>
      <w:r>
        <w:rPr>
          <w:rFonts w:ascii="Times New Roman" w:hAnsi="Times New Roman"/>
          <w:b w:val="0"/>
          <w:i w:val="0"/>
          <w:color w:val="000000"/>
          <w:sz w:val="19"/>
        </w:rPr>
        <w:t>8. Al-Ghaithi A, Al-Mansob RA (2025) A hybrid machine learning method of support vector regression with particle swarm optimization for predicting IRI in continuously reinforced concrete pavement. J Eng Appl Sci 72:128. https://doi.org/10.1186/s44147-025-00706-9</w:t>
      </w:r>
    </w:p>
    <w:p>
      <w:pPr>
        <w:spacing w:before="40" w:after="60" w:line="276" w:lineRule="auto"/>
        <w:ind w:left="432" w:hanging="432"/>
      </w:pPr>
      <w:r>
        <w:rPr>
          <w:rFonts w:ascii="Times New Roman" w:hAnsi="Times New Roman"/>
          <w:b w:val="0"/>
          <w:i w:val="0"/>
          <w:color w:val="000000"/>
          <w:sz w:val="19"/>
        </w:rPr>
        <w:t>9. Guo Y, Chen Y, Wang H, Liu Y (2024) Data-driven multivariate time series prediction of in-vehicle equipment failure rates. J Eng Appl Sci 71:210. https://doi.org/10.1186/s44147-024-00543-2</w:t>
      </w:r>
    </w:p>
    <w:p>
      <w:pPr>
        <w:spacing w:before="40" w:after="60" w:line="276" w:lineRule="auto"/>
        <w:ind w:left="432" w:hanging="432"/>
      </w:pPr>
      <w:r>
        <w:rPr>
          <w:rFonts w:ascii="Times New Roman" w:hAnsi="Times New Roman"/>
          <w:b w:val="0"/>
          <w:i w:val="0"/>
          <w:color w:val="000000"/>
          <w:sz w:val="19"/>
        </w:rPr>
        <w:t>10. Chen K, Li M (2025) Multi-objective optimization of turning parameters using Kolmogorov-Arnold network and NSGA-III. J Eng Appl Sci 72:56. https://doi.org/10.1186/s44147-025-00621-3</w:t>
      </w:r>
    </w:p>
    <w:p>
      <w:pPr>
        <w:spacing w:before="40" w:after="60" w:line="276" w:lineRule="auto"/>
        <w:ind w:left="432" w:hanging="432"/>
      </w:pPr>
      <w:r>
        <w:rPr>
          <w:rFonts w:ascii="Times New Roman" w:hAnsi="Times New Roman"/>
          <w:b w:val="0"/>
          <w:i w:val="0"/>
          <w:color w:val="000000"/>
          <w:sz w:val="19"/>
        </w:rPr>
        <w:t>11. Bezerra FE, Di Santo SG, Manassero Junior G, Tiferes RR, Albertini AR, Santos GR (2024) A forecasting methodology based on second-generation wavelets and neural networks: application to power transformer oil temperature. Electr Eng 106(3):3017-3029. https://doi.org/10.1007/s00202-023-02134-5</w:t>
      </w:r>
    </w:p>
    <w:p>
      <w:pPr>
        <w:spacing w:before="40" w:after="60" w:line="276" w:lineRule="auto"/>
        <w:ind w:left="432" w:hanging="432"/>
      </w:pPr>
      <w:r>
        <w:rPr>
          <w:rFonts w:ascii="Times New Roman" w:hAnsi="Times New Roman"/>
          <w:b w:val="0"/>
          <w:i w:val="0"/>
          <w:color w:val="000000"/>
          <w:sz w:val="19"/>
        </w:rPr>
        <w:t>12. Lv J, An Z et al (2026) HAKformer: an efficient transformer with hybrid temporal-channel attention and Kolmogorov-Arnold networks for time series forecasting. Appl Intell. https://doi.org/10.1007/s10489-026-06120-x</w:t>
      </w:r>
    </w:p>
    <w:p>
      <w:pPr>
        <w:spacing w:before="40" w:after="60" w:line="276" w:lineRule="auto"/>
        <w:ind w:left="432" w:hanging="432"/>
      </w:pPr>
      <w:r>
        <w:rPr>
          <w:rFonts w:ascii="Times New Roman" w:hAnsi="Times New Roman"/>
          <w:b w:val="0"/>
          <w:i w:val="0"/>
          <w:color w:val="000000"/>
          <w:sz w:val="19"/>
        </w:rPr>
        <w:t>13. Kim T, Kim J, Tae Y, Park C, Choi JH, Choo J (2022) Reversible instance normalization for accurate time-series forecasting against distribution shift. Int Conf Learn Represent (ICLR)</w:t>
      </w:r>
    </w:p>
    <w:p>
      <w:pPr>
        <w:spacing w:before="40" w:after="60" w:line="276" w:lineRule="auto"/>
        <w:ind w:left="432" w:hanging="432"/>
      </w:pPr>
      <w:r>
        <w:rPr>
          <w:rFonts w:ascii="Times New Roman" w:hAnsi="Times New Roman"/>
          <w:b w:val="0"/>
          <w:i w:val="0"/>
          <w:color w:val="000000"/>
          <w:sz w:val="19"/>
        </w:rPr>
        <w:t>14. Wu H, Xu J, Wang J, Long M (2021) Autoformer: Decomposition transformers with auto-correlation for long-term series forecasting. Adv Neural Inf Process Syst (NeurIPS) 34:22419-22430</w:t>
      </w:r>
    </w:p>
    <w:p>
      <w:pPr>
        <w:spacing w:before="40" w:after="60" w:line="276" w:lineRule="auto"/>
        <w:ind w:left="432" w:hanging="432"/>
      </w:pPr>
      <w:r>
        <w:rPr>
          <w:rFonts w:ascii="Times New Roman" w:hAnsi="Times New Roman"/>
          <w:b w:val="0"/>
          <w:i w:val="0"/>
          <w:color w:val="000000"/>
          <w:sz w:val="19"/>
        </w:rPr>
        <w:t>15. Zhou T, Ma Z, Wen Q, Wang X, Sun L, Jin R (2022) FEDformer: Frequency enhanced decomposed transformer for long-term series forecasting. Int Conf Mach Learn (ICML) pp 27268-27286</w:t>
      </w:r>
    </w:p>
    <w:p>
      <w:pPr>
        <w:spacing w:before="40" w:after="60" w:line="276" w:lineRule="auto"/>
        <w:ind w:left="432" w:hanging="432"/>
      </w:pPr>
      <w:r>
        <w:rPr>
          <w:rFonts w:ascii="Times New Roman" w:hAnsi="Times New Roman"/>
          <w:b w:val="0"/>
          <w:i w:val="0"/>
          <w:color w:val="000000"/>
          <w:sz w:val="19"/>
        </w:rPr>
        <w:t>16. Liu Y, Hu T, Zhang H, Wu H, Wang S, Ma L, Long M (2024) iTransformer: Inverted transformers are effective for time series forecasting. Int Conf Learn Represent (ICLR)</w:t>
      </w:r>
    </w:p>
    <w:p>
      <w:pPr>
        <w:spacing w:before="40" w:after="60" w:line="276" w:lineRule="auto"/>
        <w:ind w:left="432" w:hanging="432"/>
      </w:pPr>
      <w:r>
        <w:rPr>
          <w:rFonts w:ascii="Times New Roman" w:hAnsi="Times New Roman"/>
          <w:b w:val="0"/>
          <w:i w:val="0"/>
          <w:color w:val="000000"/>
          <w:sz w:val="19"/>
        </w:rPr>
        <w:t>17. Liang J, Qin A, Suganthan PN, Baskar S (2006) Comprehensive learning particle swarm optimizer for global optimization of multimodal functions. IEEE Trans Evol Comput 10(3):281-295</w:t>
      </w:r>
    </w:p>
    <w:p>
      <w:pPr>
        <w:spacing w:before="40" w:after="60" w:line="276" w:lineRule="auto"/>
        <w:ind w:left="432" w:hanging="432"/>
      </w:pPr>
      <w:r>
        <w:rPr>
          <w:rFonts w:ascii="Times New Roman" w:hAnsi="Times New Roman"/>
          <w:b w:val="0"/>
          <w:i w:val="0"/>
          <w:color w:val="000000"/>
          <w:sz w:val="19"/>
        </w:rPr>
        <w:t>18. Clerc M, Kennedy J (2002) The particle swarm - explosion, stability, and convergence in a multidimensional complex space. IEEE Trans Evol Comput 6(1):58-73</w:t>
      </w:r>
    </w:p>
    <w:p>
      <w:pPr>
        <w:spacing w:before="40" w:after="60" w:line="276" w:lineRule="auto"/>
        <w:ind w:left="432" w:hanging="432"/>
      </w:pPr>
      <w:r>
        <w:rPr>
          <w:rFonts w:ascii="Times New Roman" w:hAnsi="Times New Roman"/>
          <w:b w:val="0"/>
          <w:i w:val="0"/>
          <w:color w:val="000000"/>
          <w:sz w:val="19"/>
        </w:rPr>
        <w:t>19. Izmailov P, Podoprikhin D, Garipov T, Vetrov D, Wilson AG (2018) Averaging weights leads to wider optima and better generalization. Conf Uncert Artif Intell (UAI)</w:t>
      </w:r>
    </w:p>
    <w:p>
      <w:pPr>
        <w:spacing w:before="40" w:after="60" w:line="276" w:lineRule="auto"/>
        <w:ind w:left="432" w:hanging="432"/>
      </w:pPr>
      <w:r>
        <w:rPr>
          <w:rFonts w:ascii="Times New Roman" w:hAnsi="Times New Roman"/>
          <w:b w:val="0"/>
          <w:i w:val="0"/>
          <w:color w:val="000000"/>
          <w:sz w:val="19"/>
        </w:rPr>
        <w:t>20. Loshchilov I, Hutter F (2019) Decoupled weight decay regularization. Int Conf Learn Represent (ICLR)</w:t>
      </w:r>
    </w:p>
    <w:p>
      <w:pPr>
        <w:spacing w:before="40" w:after="60" w:line="276" w:lineRule="auto"/>
        <w:ind w:left="432" w:hanging="432"/>
      </w:pPr>
      <w:r>
        <w:rPr>
          <w:rFonts w:ascii="Times New Roman" w:hAnsi="Times New Roman"/>
          <w:b w:val="0"/>
          <w:i w:val="0"/>
          <w:color w:val="000000"/>
          <w:sz w:val="19"/>
        </w:rPr>
        <w:t>21. IEEE Power and Energy Society (2012) IEEE guide for loading mineral-oil-immersed transformers and step-voltage regulators. IEEE Std C57.91-2011</w:t>
      </w:r>
    </w:p>
    <w:p>
      <w:pPr>
        <w:spacing w:before="40" w:after="60" w:line="276" w:lineRule="auto"/>
        <w:ind w:left="432" w:hanging="432"/>
      </w:pPr>
      <w:r>
        <w:rPr>
          <w:rFonts w:ascii="Times New Roman" w:hAnsi="Times New Roman"/>
          <w:b w:val="0"/>
          <w:i w:val="0"/>
          <w:color w:val="000000"/>
          <w:sz w:val="19"/>
        </w:rPr>
        <w:t>22. International Electrotechnical Commission (2018) Loading guide for oil-immersed power transformers. IEC Std 60076-7:2018</w:t>
      </w:r>
    </w:p>
    <w:p>
      <w:pPr>
        <w:spacing w:before="40" w:after="60" w:line="276" w:lineRule="auto"/>
        <w:ind w:left="432" w:hanging="432"/>
      </w:pPr>
      <w:r>
        <w:rPr>
          <w:rFonts w:ascii="Times New Roman" w:hAnsi="Times New Roman"/>
          <w:b w:val="0"/>
          <w:i w:val="0"/>
          <w:color w:val="000000"/>
          <w:sz w:val="19"/>
        </w:rPr>
        <w:t>23. Susa D, Lehtonen M, Nordman H (2005) Dynamic thermal modelling of power transformers. IEEE Trans Power Deliv 20(1):197-204</w:t>
      </w:r>
    </w:p>
    <w:p>
      <w:pPr>
        <w:spacing w:before="40" w:after="60" w:line="276" w:lineRule="auto"/>
        <w:ind w:left="432" w:hanging="432"/>
      </w:pPr>
      <w:r>
        <w:rPr>
          <w:rFonts w:ascii="Times New Roman" w:hAnsi="Times New Roman"/>
          <w:b w:val="0"/>
          <w:i w:val="0"/>
          <w:color w:val="000000"/>
          <w:sz w:val="19"/>
        </w:rPr>
        <w:t>24. Swift G, Molinski TS, Lehn W (2001) A fundamental approach to transformer thermal modeling. IEEE Trans Power Deliv 16(2):171-177</w:t>
      </w:r>
    </w:p>
    <w:p>
      <w:pPr>
        <w:spacing w:before="40" w:after="60" w:line="276" w:lineRule="auto"/>
        <w:ind w:left="432" w:hanging="432"/>
      </w:pPr>
      <w:r>
        <w:rPr>
          <w:rFonts w:ascii="Times New Roman" w:hAnsi="Times New Roman"/>
          <w:b w:val="0"/>
          <w:i w:val="0"/>
          <w:color w:val="000000"/>
          <w:sz w:val="19"/>
        </w:rPr>
        <w:t>25. Radakovic Z, Feser K (2003) A new method for the calculation of the hot-spot temperature in power transformers. IEEE Trans Power Deliv 18(4):1284-1292</w:t>
      </w:r>
    </w:p>
    <w:p>
      <w:pPr>
        <w:spacing w:before="40" w:after="60" w:line="276" w:lineRule="auto"/>
        <w:ind w:left="432" w:hanging="432"/>
      </w:pPr>
      <w:r>
        <w:rPr>
          <w:rFonts w:ascii="Times New Roman" w:hAnsi="Times New Roman"/>
          <w:b w:val="0"/>
          <w:i w:val="0"/>
          <w:color w:val="000000"/>
          <w:sz w:val="19"/>
        </w:rPr>
        <w:t>26. Pradhan MK, Ramu TS (2004) Estimation of the remaining life of power transformers. IEEE Trans Power Deliv 19(4):1789-1795</w:t>
      </w:r>
    </w:p>
    <w:p>
      <w:pPr>
        <w:spacing w:before="40" w:after="60" w:line="276" w:lineRule="auto"/>
        <w:ind w:left="432" w:hanging="432"/>
      </w:pPr>
      <w:r>
        <w:rPr>
          <w:rFonts w:ascii="Times New Roman" w:hAnsi="Times New Roman"/>
          <w:b w:val="0"/>
          <w:i w:val="0"/>
          <w:color w:val="000000"/>
          <w:sz w:val="19"/>
        </w:rPr>
        <w:t>27. Mallat SG (1989) A theory for multiresolution signal decomposition: the wavelet representation. IEEE Trans Pattern Anal Mach Intell 11(7):674-693</w:t>
      </w:r>
    </w:p>
    <w:p>
      <w:pPr>
        <w:spacing w:before="40" w:after="60" w:line="276" w:lineRule="auto"/>
        <w:ind w:left="432" w:hanging="432"/>
      </w:pPr>
      <w:r>
        <w:rPr>
          <w:rFonts w:ascii="Times New Roman" w:hAnsi="Times New Roman"/>
          <w:b w:val="0"/>
          <w:i w:val="0"/>
          <w:color w:val="000000"/>
          <w:sz w:val="19"/>
        </w:rPr>
        <w:t>28. Daubechies I (1992) Ten lectures on wavelets. Society for Industrial and Applied Mathematics, Philadelphia</w:t>
      </w:r>
    </w:p>
    <w:p>
      <w:pPr>
        <w:spacing w:before="40" w:after="60" w:line="276" w:lineRule="auto"/>
        <w:ind w:left="432" w:hanging="432"/>
      </w:pPr>
      <w:r>
        <w:rPr>
          <w:rFonts w:ascii="Times New Roman" w:hAnsi="Times New Roman"/>
          <w:b w:val="0"/>
          <w:i w:val="0"/>
          <w:color w:val="000000"/>
          <w:sz w:val="19"/>
        </w:rPr>
        <w:t>29. Zhang Q, Benveniste A (1992) Wavelet networks. IEEE Trans Neural Netw 3(6):889-898</w:t>
      </w:r>
    </w:p>
    <w:p>
      <w:pPr>
        <w:spacing w:before="40" w:after="60" w:line="276" w:lineRule="auto"/>
        <w:ind w:left="432" w:hanging="432"/>
      </w:pPr>
      <w:r>
        <w:rPr>
          <w:rFonts w:ascii="Times New Roman" w:hAnsi="Times New Roman"/>
          <w:b w:val="0"/>
          <w:i w:val="0"/>
          <w:color w:val="000000"/>
          <w:sz w:val="19"/>
        </w:rPr>
        <w:t>30. Pati YC, Krishnaprasad PS (1993) Analysis and synthesis of feedforward neural networks using discrete affine wavelet transformations. IEEE Trans Neural Netw 4(1):73-85</w:t>
      </w:r>
    </w:p>
    <w:p>
      <w:pPr>
        <w:spacing w:before="40" w:after="60" w:line="276" w:lineRule="auto"/>
        <w:ind w:left="432" w:hanging="432"/>
      </w:pPr>
      <w:r>
        <w:rPr>
          <w:rFonts w:ascii="Times New Roman" w:hAnsi="Times New Roman"/>
          <w:b w:val="0"/>
          <w:i w:val="0"/>
          <w:color w:val="000000"/>
          <w:sz w:val="19"/>
        </w:rPr>
        <w:t>31. Kennedy J, Eberhart R (1995) Particle swarm optimization. Proc ICNN95 Int Conf Neural Netw 4:1942-1948</w:t>
      </w:r>
    </w:p>
    <w:p>
      <w:pPr>
        <w:spacing w:before="40" w:after="60" w:line="276" w:lineRule="auto"/>
        <w:ind w:left="432" w:hanging="432"/>
      </w:pPr>
      <w:r>
        <w:rPr>
          <w:rFonts w:ascii="Times New Roman" w:hAnsi="Times New Roman"/>
          <w:b w:val="0"/>
          <w:i w:val="0"/>
          <w:color w:val="000000"/>
          <w:sz w:val="19"/>
        </w:rPr>
        <w:t>32. Shi Y, Eberhart R (1998) A modified particle swarm optimizer. IEEE Int Conf Evol Comput pp 69-73</w:t>
      </w:r>
    </w:p>
    <w:p>
      <w:pPr>
        <w:spacing w:before="40" w:after="60" w:line="276" w:lineRule="auto"/>
        <w:ind w:left="432" w:hanging="432"/>
      </w:pPr>
      <w:r>
        <w:rPr>
          <w:rFonts w:ascii="Times New Roman" w:hAnsi="Times New Roman"/>
          <w:b w:val="0"/>
          <w:i w:val="0"/>
          <w:color w:val="000000"/>
          <w:sz w:val="19"/>
        </w:rPr>
        <w:t>33. Poli R, Kennedy J, Blackwell T (2007) Particle swarm optimization: An overview. Swarm Intell 1(1):33-57</w:t>
      </w:r>
    </w:p>
    <w:p>
      <w:pPr>
        <w:spacing w:before="40" w:after="60" w:line="276" w:lineRule="auto"/>
        <w:ind w:left="432" w:hanging="432"/>
      </w:pPr>
      <w:r>
        <w:rPr>
          <w:rFonts w:ascii="Times New Roman" w:hAnsi="Times New Roman"/>
          <w:b w:val="0"/>
          <w:i w:val="0"/>
          <w:color w:val="000000"/>
          <w:sz w:val="19"/>
        </w:rPr>
        <w:t>34. He K, Zhang X, Ren S, Sun J (2016) Deep residual learning for image recognition. Proc IEEE Conf Comput Vis Pattern Recognit pp 770-778</w:t>
      </w:r>
    </w:p>
    <w:p>
      <w:pPr>
        <w:spacing w:before="40" w:after="60" w:line="276" w:lineRule="auto"/>
        <w:ind w:left="432" w:hanging="432"/>
      </w:pPr>
      <w:r>
        <w:rPr>
          <w:rFonts w:ascii="Times New Roman" w:hAnsi="Times New Roman"/>
          <w:b w:val="0"/>
          <w:i w:val="0"/>
          <w:color w:val="000000"/>
          <w:sz w:val="19"/>
        </w:rPr>
        <w:t>35. Vaswani A, Shazeer N, Parmar N et al (2017) Attention is all you need. Adv Neural Inf Process Syst 30:5998-6008</w:t>
      </w:r>
    </w:p>
    <w:p>
      <w:pPr>
        <w:spacing w:before="40" w:after="60" w:line="276" w:lineRule="auto"/>
        <w:ind w:left="432" w:hanging="432"/>
      </w:pPr>
      <w:r>
        <w:rPr>
          <w:rFonts w:ascii="Times New Roman" w:hAnsi="Times New Roman"/>
          <w:b w:val="0"/>
          <w:i w:val="0"/>
          <w:color w:val="000000"/>
          <w:sz w:val="19"/>
        </w:rPr>
        <w:t>36. Kitaev N, Kaiser L, Levskaya A (2020) Reformer: The efficient transformer. Int Conf Learn Represent (ICLR)</w:t>
      </w:r>
    </w:p>
    <w:p>
      <w:pPr>
        <w:spacing w:before="40" w:after="60" w:line="276" w:lineRule="auto"/>
        <w:ind w:left="432" w:hanging="432"/>
      </w:pPr>
      <w:r>
        <w:rPr>
          <w:rFonts w:ascii="Times New Roman" w:hAnsi="Times New Roman"/>
          <w:b w:val="0"/>
          <w:i w:val="0"/>
          <w:color w:val="000000"/>
          <w:sz w:val="19"/>
        </w:rPr>
        <w:t>37. Wang S, Li BY, Khabsa M, Fang H, Ma H (2020) Linformer: Self-attention with linear complexity. arXiv:2006.04768</w:t>
      </w:r>
    </w:p>
    <w:p>
      <w:pPr>
        <w:spacing w:before="40" w:after="60" w:line="276" w:lineRule="auto"/>
        <w:ind w:left="432" w:hanging="432"/>
      </w:pPr>
      <w:r>
        <w:rPr>
          <w:rFonts w:ascii="Times New Roman" w:hAnsi="Times New Roman"/>
          <w:b w:val="0"/>
          <w:i w:val="0"/>
          <w:color w:val="000000"/>
          <w:sz w:val="19"/>
        </w:rPr>
        <w:t>38. Tay Y, Dehghani M, Bahri D, Metzler D (2022) Efficient transformers: A survey. ACM Comput Surv 55(6):1-28</w:t>
      </w:r>
    </w:p>
    <w:p>
      <w:pPr>
        <w:spacing w:before="40" w:after="60" w:line="276" w:lineRule="auto"/>
        <w:ind w:left="432" w:hanging="432"/>
      </w:pPr>
      <w:r>
        <w:rPr>
          <w:rFonts w:ascii="Times New Roman" w:hAnsi="Times New Roman"/>
          <w:b w:val="0"/>
          <w:i w:val="0"/>
          <w:color w:val="000000"/>
          <w:sz w:val="19"/>
        </w:rPr>
        <w:t>39. Wilcoxon F (1945) Individual comparisons by ranking methods. Biom Bull 1(6):80-83</w:t>
      </w:r>
    </w:p>
    <w:p>
      <w:pPr>
        <w:spacing w:before="40" w:after="60" w:line="276" w:lineRule="auto"/>
        <w:ind w:left="432" w:hanging="432"/>
      </w:pPr>
      <w:r>
        <w:rPr>
          <w:rFonts w:ascii="Times New Roman" w:hAnsi="Times New Roman"/>
          <w:b w:val="0"/>
          <w:i w:val="0"/>
          <w:color w:val="000000"/>
          <w:sz w:val="19"/>
        </w:rPr>
        <w:t>40. Demsar J (2006) Statistical comparisons of classifiers over multiple data sets. J Mach Learn Res 7:1-30</w:t>
      </w:r>
    </w:p>
    <w:p>
      <w:pPr>
        <w:spacing w:before="40" w:after="60" w:line="276" w:lineRule="auto"/>
        <w:ind w:left="432" w:hanging="432"/>
      </w:pPr>
      <w:r>
        <w:rPr>
          <w:rFonts w:ascii="Times New Roman" w:hAnsi="Times New Roman"/>
          <w:b w:val="0"/>
          <w:i w:val="0"/>
          <w:color w:val="000000"/>
          <w:sz w:val="19"/>
        </w:rPr>
        <w:t>41. Benavoli A, Corani G, Demsar J, Zaffalon M (2017) Time for a change: a tutorial for comparing multiple classifiers through Bayesian analysis. J Mach Learn Res 18(1):2653-2688</w:t>
      </w:r>
    </w:p>
    <w:p>
      <w:pPr>
        <w:spacing w:before="40" w:after="60" w:line="276" w:lineRule="auto"/>
        <w:ind w:left="432" w:hanging="432"/>
      </w:pPr>
      <w:r>
        <w:rPr>
          <w:rFonts w:ascii="Times New Roman" w:hAnsi="Times New Roman"/>
          <w:b w:val="0"/>
          <w:i w:val="0"/>
          <w:color w:val="000000"/>
          <w:sz w:val="19"/>
        </w:rPr>
        <w:t>42. Altarabichi MG (2024) DropKAN: Regularizing Kolmogorov-Arnold Networks via DropNode and DropEdge strategies. arXiv:2407.13044</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