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5"/>
      </w:pPr>
      <w:r>
        <w:rPr>
          <w:rFonts w:ascii="Times New Roman" w:hAnsi="Times New Roman"/>
          <w:b/>
          <w:i w:val="0"/>
          <w:sz w:val="22"/>
        </w:rPr>
        <w:t>Cover Letter — Electrical Engineering (Archiv für Elektrotechnik, Springer Nature)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2"/>
        </w:rPr>
        <w:t>Date: October 24, 2026</w:t>
      </w:r>
    </w:p>
    <w:p>
      <w:pPr>
        <w:spacing w:before="0" w:after="20"/>
      </w:pPr>
      <w:r>
        <w:rPr>
          <w:rFonts w:ascii="Times New Roman" w:hAnsi="Times New Roman"/>
          <w:b/>
          <w:i w:val="0"/>
          <w:sz w:val="22"/>
        </w:rPr>
        <w:t>To: Prof. Dr. Igor Kuzle, Editor-in-Chief</w:t>
      </w:r>
    </w:p>
    <w:p>
      <w:pPr>
        <w:spacing w:before="0" w:after="85"/>
      </w:pPr>
      <w:r>
        <w:rPr>
          <w:rFonts w:ascii="Times New Roman" w:hAnsi="Times New Roman"/>
          <w:b w:val="0"/>
          <w:i/>
          <w:sz w:val="22"/>
        </w:rPr>
        <w:t>Electrical Engineering (Archiv für Elektrotechnik), Faculty of Electrical Engineering and Computing, University of Zagreb, Croatia</w:t>
      </w:r>
    </w:p>
    <w:p>
      <w:pPr>
        <w:spacing w:before="0" w:after="100"/>
      </w:pPr>
      <w:r>
        <w:rPr>
          <w:rFonts w:ascii="Times New Roman" w:hAnsi="Times New Roman"/>
          <w:b/>
          <w:sz w:val="22"/>
        </w:rPr>
        <w:t xml:space="preserve">Subject: </w:t>
      </w:r>
      <w:r>
        <w:rPr>
          <w:rFonts w:ascii="Times New Roman" w:hAnsi="Times New Roman"/>
          <w:sz w:val="22"/>
        </w:rPr>
        <w:t>Submission of Original Research Article — “PSO-TCWavKAN: A Swarm-Optimized Temporal Convolutional Wavelet Kolmogorov-Arnold Network with Multi-Kernel Trend Decomposition and Asymptotic Linear Structural Recovery for Resilient Power Transformer Thermal Dynamics Forecasting”</w:t>
      </w:r>
    </w:p>
    <w:p>
      <w:pPr>
        <w:spacing w:before="0" w:after="85"/>
      </w:pPr>
      <w:r>
        <w:rPr>
          <w:rFonts w:ascii="Times New Roman" w:hAnsi="Times New Roman"/>
          <w:b w:val="0"/>
          <w:i w:val="0"/>
          <w:sz w:val="22"/>
        </w:rPr>
        <w:t>Dear Prof. Dr. Kuzle and Esteemed Editorial Board,</w:t>
      </w:r>
    </w:p>
    <w:p>
      <w:pPr>
        <w:spacing w:before="0" w:after="85"/>
      </w:pPr>
      <w:r>
        <w:rPr>
          <w:rFonts w:ascii="Times New Roman" w:hAnsi="Times New Roman"/>
          <w:b w:val="0"/>
          <w:i w:val="0"/>
          <w:sz w:val="22"/>
        </w:rPr>
        <w:t>I respectfully submit the above-titled original research manuscript for consideration as an Original Research Paper in Electrical Engineering (Archiv für Elektrotechnik). This work addresses a critical operational challenge in power system asset management: accurate multi-step thermal dynamics forecasting for high-voltage mineral-oil-immersed power transformers, directly relevant to substation dynamic thermal rating (DTR), IEC 60076-7 thermal overrun prevention, and condition-based maintenance.</w:t>
      </w:r>
    </w:p>
    <w:p>
      <w:pPr>
        <w:spacing w:before="0" w:after="85"/>
      </w:pPr>
      <w:r>
        <w:rPr>
          <w:rFonts w:ascii="Times New Roman" w:hAnsi="Times New Roman"/>
          <w:b w:val="0"/>
          <w:i w:val="0"/>
          <w:sz w:val="22"/>
        </w:rPr>
        <w:t>This manuscript directly builds upon the seminal contribution published in this journal — Bezerra et al. (2024), “A forecasting methodology based on second-generation wavelets and neural networks: application to power transformer oil temperature” (Electr Eng, Vol. 106, pp. 3017–3029, DOI: 10.1007/s00202-023-02134-5) — and proposes three orthogonal advances: (i) continuous dyadic Morlet wavelet filter banks embedded in Kolmogorov-Arnold Network edges; (ii) an asymptotic linear structural recovery property (Proposition 1) guaranteeing the hypothesis space contains a linear subspace, ensuring structural expressivity; and (iii) a Modified PSO with Comprehensive Learning Exemplar (MPSOCL) warm-start bypassing non-convex wavelet ripple traps prior to AdamW fine-tuning and Stochastic Weight Averaging.</w:t>
      </w:r>
    </w:p>
    <w:p>
      <w:pPr>
        <w:spacing w:before="0" w:after="85"/>
      </w:pPr>
      <w:r>
        <w:rPr>
          <w:rFonts w:ascii="Times New Roman" w:hAnsi="Times New Roman"/>
          <w:b w:val="0"/>
          <w:i w:val="0"/>
          <w:sz w:val="22"/>
        </w:rPr>
        <w:t>Empirical validation across 16 canonical ETT benchmark configurations demonstrates that PSO-TCWavKAN achieves competitive or superior performance on 7 of 8 ETTh2 horizons, with up to 8.5% MSE reduction over DLinear on ETTh2 within operational horizons (H≤336), with a maximum reduction of 13.6% at H=720. A directional improvement over NLinear is observed (Wilcoxon p = 0.0443, uncorrected; Holm-corrected p = 0.133). Synthetic Gaussian noise robustness testing (σ = 0.3) shows error growth of 1.4%–13.0% for operational horizons H≤336; the long-horizon stress case (H = 720) exhibits 139.6% MSE degradation, reflecting known instability at ultra-long forecasting horizons. The model’s 44.8 K parameters and 3.4 ms batch inference latency on NVIDIA Tesla T4 suggest potential viability for edge applications, subject to direct hardware validation.</w:t>
      </w:r>
    </w:p>
    <w:p>
      <w:pPr>
        <w:spacing w:before="0" w:after="85"/>
      </w:pPr>
      <w:r>
        <w:rPr>
          <w:rFonts w:ascii="Times New Roman" w:hAnsi="Times New Roman"/>
          <w:b w:val="0"/>
          <w:i w:val="0"/>
          <w:sz w:val="22"/>
        </w:rPr>
        <w:t>The ETTh1 and ETTh2 datasets are publicly available at https://github.com/zhouhaoyi/ETDataset. Complete PyTorch implementation, training scripts, and result CSV files are available at https://github.com/nphu211206/KAN-PSO-Transformer-Forecasting (MIT License).</w:t>
      </w:r>
    </w:p>
    <w:p>
      <w:pPr>
        <w:spacing w:before="0" w:after="100"/>
      </w:pPr>
      <w:r>
        <w:rPr>
          <w:rFonts w:ascii="Times New Roman" w:hAnsi="Times New Roman"/>
          <w:b w:val="0"/>
          <w:i w:val="0"/>
          <w:sz w:val="22"/>
        </w:rPr>
        <w:t>This manuscript is original, unpublished, and not under simultaneous consideration elsewhere. I declare no competing interests and no external funding. This submission is made under the traditional subscription route ($0 APC). I have not selected, and do not intend to select, the Open Access option.</w:t>
      </w:r>
    </w:p>
    <w:p>
      <w:pPr>
        <w:spacing w:before="0" w:after="110"/>
      </w:pPr>
      <w:r>
        <w:rPr>
          <w:rFonts w:ascii="Times New Roman" w:hAnsi="Times New Roman"/>
          <w:b w:val="0"/>
          <w:i w:val="0"/>
          <w:sz w:val="22"/>
        </w:rPr>
        <w:t>Thank you sincerely for your consideration.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sz w:val="22"/>
        </w:rPr>
        <w:t>Respectfully yours,</w:t>
      </w:r>
    </w:p>
    <w:p>
      <w:pPr>
        <w:spacing w:before="0" w:after="20"/>
      </w:pPr>
      <w:r>
        <w:rPr>
          <w:rFonts w:ascii="Times New Roman" w:hAnsi="Times New Roman"/>
          <w:b/>
          <w:i w:val="0"/>
          <w:sz w:val="22"/>
        </w:rPr>
        <w:t>Nguyen Phu Toan</w:t>
      </w:r>
    </w:p>
    <w:p>
      <w:pPr>
        <w:spacing w:before="0" w:after="20"/>
      </w:pPr>
      <w:r>
        <w:rPr>
          <w:rFonts w:ascii="Times New Roman" w:hAnsi="Times New Roman"/>
          <w:b w:val="0"/>
          <w:i w:val="0"/>
          <w:sz w:val="22"/>
        </w:rPr>
        <w:t>Department of Information Technology, Hanoi University of Business and Technology</w:t>
      </w:r>
    </w:p>
    <w:p>
      <w:pPr>
        <w:spacing w:before="0" w:after="20"/>
      </w:pPr>
      <w:r>
        <w:rPr>
          <w:rFonts w:ascii="Times New Roman" w:hAnsi="Times New Roman"/>
          <w:b w:val="0"/>
          <w:i w:val="0"/>
          <w:sz w:val="22"/>
        </w:rPr>
        <w:t>29A, Lane 124 Vinh Tuy Street, Vinh Tuy Ward, Hai Ba Trung District, Hanoi, Vietnam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sz w:val="22"/>
        </w:rPr>
        <w:t>Email: nphu211206@gmail.com  |  ORCID: 0009-0005-0529-2131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