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40"/>
      </w:pPr>
      <w:r>
        <w:rPr>
          <w:rFonts w:ascii="Times New Roman" w:hAnsi="Times New Roman"/>
          <w:b/>
          <w:i w:val="0"/>
          <w:sz w:val="22"/>
        </w:rPr>
        <w:t>Submission Declarations — Electrical Engineering (Archiv für Elektrotechnik, Springer Nature)</w:t>
      </w:r>
    </w:p>
    <w:p>
      <w:pPr>
        <w:keepNext/>
        <w:spacing w:before="200" w:after="60"/>
      </w:pPr>
      <w:r>
        <w:rPr>
          <w:rFonts w:ascii="Times New Roman" w:hAnsi="Times New Roman"/>
          <w:b/>
          <w:sz w:val="24"/>
        </w:rPr>
        <w:t>Manuscript Information</w:t>
      </w:r>
    </w:p>
    <w:p>
      <w:pPr>
        <w:keepNext/>
        <w:spacing w:before="40" w:after="100"/>
      </w:pPr>
      <w:r>
        <w:rPr>
          <w:rFonts w:ascii="Times New Roman" w:hAnsi="Times New Roman"/>
          <w:b/>
          <w:sz w:val="22"/>
        </w:rPr>
        <w:t xml:space="preserve">Title: </w:t>
      </w:r>
      <w:r>
        <w:rPr>
          <w:rFonts w:ascii="Times New Roman" w:hAnsi="Times New Roman"/>
          <w:sz w:val="22"/>
        </w:rPr>
        <w:t>PSO-TCWavKAN: A Swarm-Optimized Temporal Convolutional Wavelet Kolmogorov-Arnold Network with Multi-Kernel Trend Decomposition and Asymptotic Linear Structural Recovery for Resilient Power Transformer Thermal Dynamics Forecasting</w:t>
      </w:r>
    </w:p>
    <w:p>
      <w:pPr>
        <w:keepNext/>
        <w:spacing w:before="40" w:after="100"/>
      </w:pPr>
      <w:r>
        <w:rPr>
          <w:rFonts w:ascii="Times New Roman" w:hAnsi="Times New Roman"/>
          <w:b/>
          <w:sz w:val="22"/>
        </w:rPr>
        <w:t xml:space="preserve">Author: </w:t>
      </w:r>
      <w:r>
        <w:rPr>
          <w:rFonts w:ascii="Times New Roman" w:hAnsi="Times New Roman"/>
          <w:sz w:val="22"/>
        </w:rPr>
        <w:t>Nguyen Phu Toan</w:t>
      </w:r>
    </w:p>
    <w:p>
      <w:pPr>
        <w:keepNext/>
        <w:spacing w:before="40" w:after="100"/>
      </w:pPr>
      <w:r>
        <w:rPr>
          <w:rFonts w:ascii="Times New Roman" w:hAnsi="Times New Roman"/>
          <w:b/>
          <w:sz w:val="22"/>
        </w:rPr>
        <w:t xml:space="preserve">Affiliation: </w:t>
      </w:r>
      <w:r>
        <w:rPr>
          <w:rFonts w:ascii="Times New Roman" w:hAnsi="Times New Roman"/>
          <w:sz w:val="22"/>
        </w:rPr>
        <w:t>Department of Information Technology, Hanoi University of Business and Technology, 29A, Lane 124 Vinh Tuy Street, Vinh Tuy Ward, Hai Ba Trung District, Hanoi, Vietnam</w:t>
      </w:r>
    </w:p>
    <w:p>
      <w:pPr>
        <w:keepNext/>
        <w:spacing w:before="40" w:after="100"/>
      </w:pPr>
      <w:r>
        <w:rPr>
          <w:rFonts w:ascii="Times New Roman" w:hAnsi="Times New Roman"/>
          <w:b/>
          <w:sz w:val="22"/>
        </w:rPr>
        <w:t xml:space="preserve">Email: </w:t>
      </w:r>
      <w:r>
        <w:rPr>
          <w:rFonts w:ascii="Times New Roman" w:hAnsi="Times New Roman"/>
          <w:sz w:val="22"/>
        </w:rPr>
        <w:t>nphu211206@gmail.com</w:t>
      </w:r>
    </w:p>
    <w:p>
      <w:pPr>
        <w:keepNext/>
        <w:spacing w:before="40" w:after="100"/>
      </w:pPr>
      <w:r>
        <w:rPr>
          <w:rFonts w:ascii="Times New Roman" w:hAnsi="Times New Roman"/>
          <w:b/>
          <w:sz w:val="22"/>
        </w:rPr>
        <w:t xml:space="preserve">ORCID: </w:t>
      </w:r>
      <w:r>
        <w:rPr>
          <w:rFonts w:ascii="Times New Roman" w:hAnsi="Times New Roman"/>
          <w:sz w:val="22"/>
        </w:rPr>
        <w:t>0009-0005-0529-2131 (https://orcid.org/0009-0005-0529-2131)</w:t>
      </w:r>
    </w:p>
    <w:p>
      <w:pPr>
        <w:keepNext/>
        <w:spacing w:before="40" w:after="100"/>
      </w:pPr>
      <w:r>
        <w:rPr>
          <w:rFonts w:ascii="Times New Roman" w:hAnsi="Times New Roman"/>
          <w:b/>
          <w:sz w:val="22"/>
        </w:rPr>
        <w:t xml:space="preserve">Corresponding Author: </w:t>
      </w:r>
      <w:r>
        <w:rPr>
          <w:rFonts w:ascii="Times New Roman" w:hAnsi="Times New Roman"/>
          <w:sz w:val="22"/>
        </w:rPr>
        <w:t>Nguyen Phu Toan (sole author)</w:t>
      </w:r>
    </w:p>
    <w:p>
      <w:pPr>
        <w:keepNext/>
        <w:spacing w:before="200" w:after="60"/>
      </w:pPr>
      <w:r>
        <w:rPr>
          <w:rFonts w:ascii="Times New Roman" w:hAnsi="Times New Roman"/>
          <w:b/>
          <w:sz w:val="24"/>
        </w:rPr>
        <w:t>Availability of Data and Materials</w:t>
      </w:r>
    </w:p>
    <w:p>
      <w:pPr>
        <w:spacing w:before="0" w:after="120"/>
      </w:pPr>
      <w:r>
        <w:rPr>
          <w:rFonts w:ascii="Times New Roman" w:hAnsi="Times New Roman"/>
          <w:b w:val="0"/>
          <w:i w:val="0"/>
          <w:sz w:val="22"/>
        </w:rPr>
        <w:t>The ETTh1 and ETTh2 benchmark datasets utilized in this study are publicly available open-source time-series datasets from the Electricity Transformer Temperature (ETT) benchmark established by Zhou et al. (Informer, AAAI 2021). The datasets are freely accessible at: https://github.com/zhouhaoyi/ETDataset. No private, proprietary, or confidential data were used in this investigation.</w:t>
      </w:r>
    </w:p>
    <w:p>
      <w:pPr>
        <w:keepNext/>
        <w:spacing w:before="200" w:after="60"/>
      </w:pPr>
      <w:r>
        <w:rPr>
          <w:rFonts w:ascii="Times New Roman" w:hAnsi="Times New Roman"/>
          <w:b/>
          <w:sz w:val="24"/>
        </w:rPr>
        <w:t>Code Availability</w:t>
      </w:r>
    </w:p>
    <w:p>
      <w:pPr>
        <w:spacing w:before="40" w:after="100"/>
      </w:pPr>
      <w:r>
        <w:rPr>
          <w:rFonts w:ascii="Times New Roman" w:hAnsi="Times New Roman"/>
          <w:b/>
          <w:sz w:val="22"/>
        </w:rPr>
        <w:t xml:space="preserve">Project Name: </w:t>
      </w:r>
      <w:r>
        <w:rPr>
          <w:rFonts w:ascii="Times New Roman" w:hAnsi="Times New Roman"/>
          <w:sz w:val="22"/>
        </w:rPr>
        <w:t>KAN-PSO-Transformer-Forecasting (PSO-TCWavKAN v9.1)</w:t>
      </w:r>
    </w:p>
    <w:p>
      <w:pPr>
        <w:spacing w:before="40" w:after="100"/>
      </w:pPr>
      <w:r>
        <w:rPr>
          <w:rFonts w:ascii="Times New Roman" w:hAnsi="Times New Roman"/>
          <w:b/>
          <w:sz w:val="22"/>
        </w:rPr>
        <w:t xml:space="preserve">Repository URL: </w:t>
      </w:r>
      <w:r>
        <w:rPr>
          <w:rFonts w:ascii="Times New Roman" w:hAnsi="Times New Roman"/>
          <w:sz w:val="22"/>
        </w:rPr>
        <w:t>https://github.com/nphu211206/KAN-PSO-Transformer-Forecasting (Zenodo archive: https://doi.org/10.5281/zenodo.23636953)</w:t>
      </w:r>
    </w:p>
    <w:p>
      <w:pPr>
        <w:spacing w:before="40" w:after="100"/>
      </w:pPr>
      <w:r>
        <w:rPr>
          <w:rFonts w:ascii="Times New Roman" w:hAnsi="Times New Roman"/>
          <w:b/>
          <w:sz w:val="22"/>
        </w:rPr>
        <w:t xml:space="preserve">Operating System: </w:t>
      </w:r>
      <w:r>
        <w:rPr>
          <w:rFonts w:ascii="Times New Roman" w:hAnsi="Times New Roman"/>
          <w:sz w:val="22"/>
        </w:rPr>
        <w:t>Platform independent (verified on Windows 11 and Linux Ubuntu 22.04 via Kaggle Cloud / NVIDIA Tesla T4 GPU)</w:t>
      </w:r>
    </w:p>
    <w:p>
      <w:pPr>
        <w:spacing w:before="40" w:after="100"/>
      </w:pPr>
      <w:r>
        <w:rPr>
          <w:rFonts w:ascii="Times New Roman" w:hAnsi="Times New Roman"/>
          <w:b/>
          <w:sz w:val="22"/>
        </w:rPr>
        <w:t xml:space="preserve">Programming Language: </w:t>
      </w:r>
      <w:r>
        <w:rPr>
          <w:rFonts w:ascii="Times New Roman" w:hAnsi="Times New Roman"/>
          <w:sz w:val="22"/>
        </w:rPr>
        <w:t>Python 3.10 – 3.13</w:t>
      </w:r>
    </w:p>
    <w:p>
      <w:pPr>
        <w:spacing w:before="40" w:after="100"/>
      </w:pPr>
      <w:r>
        <w:rPr>
          <w:rFonts w:ascii="Times New Roman" w:hAnsi="Times New Roman"/>
          <w:b/>
          <w:sz w:val="22"/>
        </w:rPr>
        <w:t xml:space="preserve">Primary Dependencies: </w:t>
      </w:r>
      <w:r>
        <w:rPr>
          <w:rFonts w:ascii="Times New Roman" w:hAnsi="Times New Roman"/>
          <w:sz w:val="22"/>
        </w:rPr>
        <w:t>PyTorch ≥ 2.0.0, NumPy ≥ 1.24, SciPy ≥ 1.10, Scikit-learn ≥ 1.3, Pandas ≥ 2.0, Matplotlib ≥ 3.7</w:t>
      </w:r>
    </w:p>
    <w:p>
      <w:pPr>
        <w:spacing w:before="40" w:after="100"/>
      </w:pPr>
      <w:r>
        <w:rPr>
          <w:rFonts w:ascii="Times New Roman" w:hAnsi="Times New Roman"/>
          <w:b/>
          <w:sz w:val="22"/>
        </w:rPr>
        <w:t xml:space="preserve">License: </w:t>
      </w:r>
      <w:r>
        <w:rPr>
          <w:rFonts w:ascii="Times New Roman" w:hAnsi="Times New Roman"/>
          <w:sz w:val="22"/>
        </w:rPr>
        <w:t>MIT License — fully open for academic and commercial research use</w:t>
      </w:r>
    </w:p>
    <w:p>
      <w:pPr>
        <w:spacing w:before="40" w:after="100"/>
      </w:pPr>
      <w:r>
        <w:rPr>
          <w:rFonts w:ascii="Times New Roman" w:hAnsi="Times New Roman"/>
          <w:b/>
          <w:sz w:val="22"/>
        </w:rPr>
        <w:t xml:space="preserve">Reproducibility: </w:t>
      </w:r>
      <w:r>
        <w:rPr>
          <w:rFonts w:ascii="Times New Roman" w:hAnsi="Times New Roman"/>
          <w:sz w:val="22"/>
        </w:rPr>
        <w:t>Training scripts and result CSV files are archived at the repository. Model checkpoints and per-seed experiment logs are hosted on Kaggle (available upon reasonable request). The repository will be updated with checkpoint links upon paper acceptance.</w:t>
      </w:r>
    </w:p>
    <w:p>
      <w:pPr>
        <w:keepNext/>
        <w:spacing w:before="200" w:after="60"/>
      </w:pPr>
      <w:r>
        <w:rPr>
          <w:rFonts w:ascii="Times New Roman" w:hAnsi="Times New Roman"/>
          <w:b/>
          <w:sz w:val="24"/>
        </w:rPr>
        <w:t>Competing Interests</w:t>
      </w:r>
    </w:p>
    <w:p>
      <w:pPr>
        <w:spacing w:before="0" w:after="120"/>
      </w:pPr>
      <w:r>
        <w:rPr>
          <w:rFonts w:ascii="Times New Roman" w:hAnsi="Times New Roman"/>
          <w:b w:val="0"/>
          <w:i w:val="0"/>
          <w:sz w:val="22"/>
        </w:rPr>
        <w:t>The author declares that there are no financial, professional, personal, or non-financial competing interests directly or indirectly related to the work submitted for publication.</w:t>
      </w:r>
    </w:p>
    <w:p>
      <w:pPr>
        <w:keepNext/>
        <w:spacing w:before="200" w:after="60"/>
      </w:pPr>
      <w:r>
        <w:rPr>
          <w:rFonts w:ascii="Times New Roman" w:hAnsi="Times New Roman"/>
          <w:b/>
          <w:sz w:val="24"/>
        </w:rPr>
        <w:t>Funding</w:t>
      </w:r>
    </w:p>
    <w:p>
      <w:pPr>
        <w:spacing w:before="0" w:after="120"/>
      </w:pPr>
      <w:r>
        <w:rPr>
          <w:rFonts w:ascii="Times New Roman" w:hAnsi="Times New Roman"/>
          <w:b w:val="0"/>
          <w:i w:val="0"/>
          <w:sz w:val="22"/>
        </w:rPr>
        <w:t>The author received no specific grant or external financial support from any funding agency in the public, commercial, or not-for-profit sectors for this research. All computational resources were provided free of charge via Kaggle Cloud GPU environments.</w:t>
      </w:r>
    </w:p>
    <w:p>
      <w:pPr>
        <w:keepNext/>
        <w:spacing w:before="200" w:after="60"/>
      </w:pPr>
      <w:r>
        <w:rPr>
          <w:rFonts w:ascii="Times New Roman" w:hAnsi="Times New Roman"/>
          <w:b/>
          <w:sz w:val="24"/>
        </w:rPr>
        <w:t>Authors’ Contributions</w:t>
      </w:r>
    </w:p>
    <w:p>
      <w:pPr>
        <w:spacing w:before="0" w:after="120"/>
      </w:pPr>
      <w:r>
        <w:rPr>
          <w:rFonts w:ascii="Times New Roman" w:hAnsi="Times New Roman"/>
          <w:b w:val="0"/>
          <w:i w:val="0"/>
          <w:sz w:val="22"/>
        </w:rPr>
        <w:t>Nguyen Phu Toan (NPT) is the sole author and performed all aspects of this research, including: conceptualization and theoretical development; mathematical formulation and formal derivation of Proposition 1; software design and full PyTorch implementation; execution of all GPU training experiments (16 benchmark configurations, 80-cell ablation, noise perturbation study); formal statistical analysis (Wilcoxon signed-rank tests); data curation and visualization; writing – original draft preparation; writing – review and editing; and project administration. The author read and approved the final manuscript.</w:t>
      </w:r>
    </w:p>
    <w:p>
      <w:pPr>
        <w:keepNext/>
        <w:spacing w:before="200" w:after="60"/>
      </w:pPr>
      <w:r>
        <w:rPr>
          <w:rFonts w:ascii="Times New Roman" w:hAnsi="Times New Roman"/>
          <w:b/>
          <w:sz w:val="24"/>
        </w:rPr>
        <w:t>Acknowledgements</w:t>
      </w:r>
    </w:p>
    <w:p>
      <w:pPr>
        <w:spacing w:before="0" w:after="120"/>
      </w:pPr>
      <w:r>
        <w:rPr>
          <w:rFonts w:ascii="Times New Roman" w:hAnsi="Times New Roman"/>
          <w:b w:val="0"/>
          <w:i w:val="0"/>
          <w:sz w:val="22"/>
        </w:rPr>
        <w:t>Computational resources for executing the extensive 16-configuration benchmark campaigns, systematic 80-cell ablation studies, and noise perturbation evaluations were provided by the Kaggle Cloud GPU environment (NVIDIA Tesla T4 GPU accelerator) at no cost to the researcher. The author gratefully acknowledges the open-source scientific Python community (PyTorch, NumPy, SciPy, Matplotlib, Scikit-learn) for the foundational software tools used throughout this research.</w:t>
      </w:r>
    </w:p>
    <w:p>
      <w:pPr>
        <w:keepNext/>
        <w:spacing w:before="200" w:after="60"/>
      </w:pPr>
      <w:r>
        <w:rPr>
          <w:rFonts w:ascii="Times New Roman" w:hAnsi="Times New Roman"/>
          <w:b/>
          <w:sz w:val="24"/>
        </w:rPr>
        <w:t>Ethics Approval and Consent to Participate</w:t>
      </w:r>
    </w:p>
    <w:p>
      <w:pPr>
        <w:spacing w:before="0" w:after="120"/>
      </w:pPr>
      <w:r>
        <w:rPr>
          <w:rFonts w:ascii="Times New Roman" w:hAnsi="Times New Roman"/>
          <w:b w:val="0"/>
          <w:i w:val="0"/>
          <w:sz w:val="22"/>
        </w:rPr>
        <w:t>Not applicable. This study utilizes strictly open-source physical sensor telemetry datasets (ETTh1, ETTh2) and involves no human participants, tissue samples, animal experiments, or personally identifiable information of any kind.</w:t>
      </w:r>
    </w:p>
    <w:p>
      <w:pPr>
        <w:keepNext/>
        <w:spacing w:before="200" w:after="60"/>
      </w:pPr>
      <w:r>
        <w:rPr>
          <w:rFonts w:ascii="Times New Roman" w:hAnsi="Times New Roman"/>
          <w:b/>
          <w:sz w:val="24"/>
        </w:rPr>
        <w:t>Consent for Publication</w:t>
      </w:r>
    </w:p>
    <w:p>
      <w:pPr>
        <w:spacing w:before="0" w:after="120"/>
      </w:pPr>
      <w:r>
        <w:rPr>
          <w:rFonts w:ascii="Times New Roman" w:hAnsi="Times New Roman"/>
          <w:b w:val="0"/>
          <w:i w:val="0"/>
          <w:sz w:val="22"/>
        </w:rPr>
        <w:t>Not applicable. The manuscript contains no individual person’s personal identifying data, images, or details in any form. The author confirms consent for publication of this work.</w:t>
      </w:r>
    </w:p>
    <w:p>
      <w:pPr>
        <w:keepNext/>
        <w:spacing w:before="200" w:after="60"/>
      </w:pPr>
      <w:r>
        <w:rPr>
          <w:rFonts w:ascii="Times New Roman" w:hAnsi="Times New Roman"/>
          <w:b/>
          <w:sz w:val="24"/>
        </w:rPr>
        <w:t>Publication Model Declaration</w:t>
      </w:r>
    </w:p>
    <w:p>
      <w:pPr>
        <w:spacing w:before="0" w:after="120"/>
      </w:pPr>
      <w:r>
        <w:rPr>
          <w:rFonts w:ascii="Times New Roman" w:hAnsi="Times New Roman"/>
          <w:b w:val="0"/>
          <w:i w:val="0"/>
          <w:sz w:val="22"/>
        </w:rPr>
        <w:t>This manuscript is submitted for publication under the traditional subscription route (no open-access fees; 0 APC). The author has not selected, and does not intend to select, the Open Access option.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