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sz w:val="22"/>
        </w:rPr>
        <w:t>Cover Letter — Electrical Engineering (Archiv für Elektrotechnik, Springer Nature)</w:t>
      </w:r>
    </w:p>
    <w:p>
      <w:pPr>
        <w:spacing w:before="0" w:after="60"/>
        <w:jc w:val="left"/>
      </w:pPr>
      <w:r>
        <w:t>Date: October 28, 2026</w:t>
      </w:r>
    </w:p>
    <w:p>
      <w:pPr>
        <w:spacing w:before="0" w:after="20"/>
        <w:jc w:val="left"/>
      </w:pPr>
      <w:r>
        <w:rPr>
          <w:rFonts w:ascii="Times New Roman" w:hAnsi="Times New Roman"/>
          <w:b/>
          <w:i w:val="0"/>
          <w:sz w:val="21"/>
        </w:rPr>
        <w:t>To: Prof. Dr. Igor Kuzle, Editor-in-Chief</w:t>
      </w:r>
    </w:p>
    <w:p>
      <w:pPr>
        <w:spacing w:before="0" w:after="20"/>
        <w:jc w:val="left"/>
      </w:pPr>
      <w:r>
        <w:rPr>
          <w:rFonts w:ascii="Times New Roman" w:hAnsi="Times New Roman"/>
          <w:b w:val="0"/>
          <w:i/>
          <w:sz w:val="21"/>
        </w:rPr>
        <w:t>Electrical Engineering (Archiv für Elektrotechnik)</w:t>
      </w:r>
    </w:p>
    <w:p>
      <w:pPr>
        <w:spacing w:before="0" w:after="80"/>
        <w:jc w:val="left"/>
      </w:pPr>
      <w:r>
        <w:rPr>
          <w:rFonts w:ascii="Times New Roman" w:hAnsi="Times New Roman"/>
          <w:b w:val="0"/>
          <w:i w:val="0"/>
          <w:sz w:val="21"/>
        </w:rPr>
        <w:t>Faculty of Electrical Engineering and Computing, University of Zagreb, Croatia</w:t>
      </w:r>
    </w:p>
    <w:p>
      <w:pPr>
        <w:spacing w:before="0" w:after="80"/>
      </w:pPr>
      <w:r>
        <w:rPr>
          <w:rFonts w:ascii="Times New Roman" w:hAnsi="Times New Roman"/>
          <w:b/>
          <w:sz w:val="21"/>
        </w:rPr>
        <w:t xml:space="preserve">Subject: </w:t>
      </w:r>
      <w:r>
        <w:rPr>
          <w:rFonts w:ascii="Times New Roman" w:hAnsi="Times New Roman"/>
          <w:b w:val="0"/>
          <w:sz w:val="21"/>
        </w:rPr>
        <w:t>Submission of Original Research Article — “PSO-TCWavKAN: A Swarm-Optimized Temporal Convolutional Wavelet Kolmogorov-Arnold Network with Multi-Kernel Trend Decomposition and Asymptotic Linear Structural Recovery for Resilient Power Transformer Thermal Dynamics Forecasting”</w:t>
      </w:r>
    </w:p>
    <w:p>
      <w:pPr>
        <w:spacing w:before="0" w:after="120"/>
        <w:jc w:val="left"/>
      </w:pPr>
      <w:r>
        <w:rPr>
          <w:rFonts w:ascii="Times New Roman" w:hAnsi="Times New Roman"/>
          <w:b w:val="0"/>
          <w:i w:val="0"/>
          <w:sz w:val="21"/>
        </w:rPr>
        <w:t>Dear Prof. Dr. Kuzle and Esteemed Editorial Board,</w:t>
      </w:r>
    </w:p>
    <w:p>
      <w:pPr>
        <w:spacing w:before="0" w:after="120"/>
        <w:jc w:val="left"/>
      </w:pPr>
      <w:r>
        <w:rPr>
          <w:rFonts w:ascii="Times New Roman" w:hAnsi="Times New Roman"/>
          <w:b w:val="0"/>
          <w:i w:val="0"/>
          <w:sz w:val="21"/>
        </w:rPr>
        <w:t>I respectfully submit the above-titled original research manuscript for consideration as an Original Research Paper in Electrical Engineering (Archiv für Elektrotechnik). This work presents PSO-TCWavKAN, a swarm-optimized temporal convolutional wavelet Kolmogorov-Arnold network for multi-step thermal dynamics forecasting of mineral-oil-immersed power transformers, directly applicable to substation dynamic thermal rating (DTR), condition-based asset management, and thermal overrun prevention in accordance with IEC 60076-7 and IEEE Std C57.91.</w:t>
      </w:r>
    </w:p>
    <w:p>
      <w:pPr>
        <w:keepNext/>
        <w:spacing w:before="80" w:after="60"/>
      </w:pPr>
      <w:r>
        <w:rPr>
          <w:rFonts w:ascii="Times New Roman" w:hAnsi="Times New Roman"/>
          <w:b/>
          <w:sz w:val="22"/>
        </w:rPr>
        <w:t>Alignment with the Scope of Electrical Engineering</w:t>
      </w:r>
    </w:p>
    <w:p>
      <w:pPr>
        <w:spacing w:before="0" w:after="80"/>
        <w:jc w:val="left"/>
      </w:pPr>
      <w:r>
        <w:t>This manuscript addresses transformer thermal dynamics forecasting—a core topic within power engineering. Our research directly builds upon and extends the methodology published by Bezerra et al. (2024), “A forecasting methodology based on second-generation wavelets and neural networks: application to power transformer oil temperature” (Electr Eng 106(3):3017–3029, DOI: 10.1007/s00202-023-02134-5). While Bezerra et al. demonstrated the efficacy of discrete wavelets with standard neural networks, our investigation substantially advances this line of research via three orthogonal innovations:</w:t>
      </w:r>
    </w:p>
    <w:p>
      <w:pPr>
        <w:pStyle w:val="ListBullet"/>
        <w:spacing w:before="0" w:after="40"/>
        <w:ind w:left="288"/>
      </w:pPr>
      <w:r>
        <w:t>(1) Continuous Dyadic Morlet Wavelet Filter Banks embedded in Kolmogorov-Arnold Network edges, eliminating discrete boundary distortion and providing continuous differentiable multiscale activations that bypass discrete grid re-allocation instabilities observed in standard B-spline KANs;</w:t>
      </w:r>
    </w:p>
    <w:p>
      <w:pPr>
        <w:pStyle w:val="ListBullet"/>
        <w:spacing w:before="0" w:after="40"/>
        <w:ind w:left="288"/>
      </w:pPr>
      <w:r>
        <w:t>(2) Multi-Kernel Linear Subspace Containment (Proposition 1), establishing that the hypothesis-space closure contains the dual-kernel linear projection model as neural routing weights approach zero; and</w:t>
      </w:r>
    </w:p>
    <w:p>
      <w:pPr>
        <w:pStyle w:val="ListBullet"/>
        <w:spacing w:before="0" w:after="40"/>
        <w:ind w:left="288"/>
      </w:pPr>
      <w:r>
        <w:rPr>
          <w:rFonts w:ascii="Times New Roman" w:hAnsi="Times New Roman"/>
          <w:sz w:val="20"/>
        </w:rPr>
        <w:t>(3) Comprehensive Learning Particle Swarm Optimization (CLPSO) warm-start with Clerc constriction factor (χ = 0.7298), initializing critical hyperparameters across a bounded 4-D search space prior to AdamW fine-tuning and SWA.</w:t>
      </w:r>
    </w:p>
    <w:p>
      <w:pPr>
        <w:keepNext/>
        <w:spacing w:before="80" w:after="60"/>
      </w:pPr>
      <w:r>
        <w:rPr>
          <w:rFonts w:ascii="Times New Roman" w:hAnsi="Times New Roman"/>
          <w:b/>
          <w:sz w:val="22"/>
        </w:rPr>
        <w:t>Summary of Scientific Contributions and Empirical Findings</w:t>
      </w:r>
    </w:p>
    <w:p>
      <w:pPr>
        <w:spacing w:before="20" w:after="60"/>
        <w:ind w:left="0"/>
      </w:pPr>
      <w:r>
        <w:t>Theoretical Rigor: Proposition 1 provides a strict topological closure proof establishing that the hypothesis-space closure contains the dual-kernel linear projection model as gating weights approach zero, establishing representational containment of the linear multi-kernel subspace without asserting unconditional optimization or generalization guarantees.</w:t>
      </w:r>
    </w:p>
    <w:p>
      <w:pPr>
        <w:spacing w:before="20" w:after="60"/>
        <w:ind w:left="0"/>
      </w:pPr>
      <w:r>
        <w:rPr>
          <w:rFonts w:ascii="Times New Roman" w:hAnsi="Times New Roman"/>
          <w:b/>
          <w:sz w:val="20"/>
        </w:rPr>
        <w:t>Empirical Benchmarking:</w:t>
      </w:r>
      <w:r>
        <w:rPr>
          <w:rFonts w:ascii="Times New Roman" w:hAnsi="Times New Roman"/>
          <w:b w:val="0"/>
          <w:sz w:val="20"/>
        </w:rPr>
        <w:t xml:space="preserve"> Evaluated across 16 canonical ETT benchmark configurations (ETTh1 and ETTh2; lookback L ∈ {96, 336}; horizon H ∈ {96, 192, 336, 720}; 5 independent seeds for DLinear, NLinear, and PSO-TCWavKAN; 3 seeds for PatchTST Lite). On the volatile ETTh2 benchmark, PSO-TCWavKAN outperforms competing models in 7 of 8 lookback–horizon configurations. Across all 16 configurations, it achieves nominal improvement over NLinear (uncorrected Wilcoxon p = 0.0443; Holm-corrected p = 0.133) and competitive parity with DLinear (p = 0.274; +1.4% higher mean MSE due to long-horizon dispersion).</w:t>
      </w:r>
    </w:p>
    <w:p>
      <w:pPr>
        <w:spacing w:before="20" w:after="60"/>
        <w:ind w:left="0"/>
      </w:pPr>
      <w:r>
        <w:t>Regime-Disaggregated Ablation: An 80-cell ablation campaign across 5 structural variants confirms that within the standard operational forecasting regime (H ≤ 336), every module omission degrades performance (+1.63% to +4.62% Mean MSE), while transparently identifying boundary trade-offs at H = 720.</w:t>
      </w:r>
    </w:p>
    <w:p>
      <w:pPr>
        <w:spacing w:before="20" w:after="60"/>
        <w:ind w:left="0"/>
      </w:pPr>
      <w:r>
        <w:rPr>
          <w:rFonts w:ascii="Times New Roman" w:hAnsi="Times New Roman"/>
          <w:b/>
          <w:sz w:val="20"/>
        </w:rPr>
        <w:t>Operational Resilience:</w:t>
      </w:r>
      <w:r>
        <w:rPr>
          <w:rFonts w:ascii="Times New Roman" w:hAnsi="Times New Roman"/>
          <w:b w:val="0"/>
          <w:sz w:val="20"/>
        </w:rPr>
        <w:t xml:space="preserve"> Controlled synthetic Gaussian noise injection (σ = 0.30) bounds operational error degradation between +1.4% and +13.0% across standard operational horizons (H ≤ 336).</w:t>
      </w:r>
    </w:p>
    <w:p>
      <w:pPr>
        <w:spacing w:before="20" w:after="60"/>
        <w:ind w:left="0"/>
      </w:pPr>
      <w:r>
        <w:rPr>
          <w:rFonts w:ascii="Times New Roman" w:hAnsi="Times New Roman"/>
          <w:b/>
          <w:sz w:val="20"/>
        </w:rPr>
        <w:t>Computational Profiling:</w:t>
      </w:r>
      <w:r>
        <w:rPr>
          <w:rFonts w:ascii="Times New Roman" w:hAnsi="Times New Roman"/>
          <w:b w:val="0"/>
          <w:sz w:val="20"/>
        </w:rPr>
        <w:t xml:space="preserve"> With 44.8 K parameters in the base configuration and 3.4 ms batch inference latency on NVIDIA Tesla T4, the model exhibits favorable computational economy relative to patched Transformer architectures (169.6 K params, 8.6 ms latency).</w:t>
      </w:r>
    </w:p>
    <w:p>
      <w:pPr>
        <w:keepNext/>
        <w:spacing w:before="80" w:after="60"/>
      </w:pPr>
      <w:r>
        <w:rPr>
          <w:rFonts w:ascii="Times New Roman" w:hAnsi="Times New Roman"/>
          <w:b/>
          <w:sz w:val="22"/>
        </w:rPr>
        <w:t>Publication Model and Open Science Declarations</w:t>
      </w:r>
    </w:p>
    <w:p>
      <w:pPr>
        <w:spacing w:before="0" w:after="80"/>
        <w:jc w:val="left"/>
      </w:pPr>
      <w:r>
        <w:t>In accordance with Springer Nature policies for hybrid journals, this manuscript is submitted under the traditional subscription route (no open-access publication fees; 0 APC). The author has not selected the Open Access option. All training scripts, benchmark configurations, result CSV files, and evaluation codes are openly accessible in the public GitHub repository at: https://github.com/nphu211206/KAN-PSO-Transformer-Forecasting (MIT License). Extended per-seed logs and model checkpoints are preserved on Kaggle Cloud and available upon reasonable request from the corresponding author.</w:t>
      </w:r>
    </w:p>
    <w:p>
      <w:pPr>
        <w:keepNext/>
        <w:spacing w:before="80" w:after="60"/>
      </w:pPr>
      <w:r>
        <w:rPr>
          <w:rFonts w:ascii="Times New Roman" w:hAnsi="Times New Roman"/>
          <w:b/>
          <w:sz w:val="22"/>
        </w:rPr>
        <w:t>Ethical Declarations</w:t>
      </w:r>
    </w:p>
    <w:p>
      <w:pPr>
        <w:spacing w:before="0" w:after="40"/>
      </w:pPr>
      <w:r>
        <w:rPr>
          <w:rFonts w:ascii="Times New Roman" w:hAnsi="Times New Roman"/>
          <w:b/>
          <w:sz w:val="19"/>
        </w:rPr>
        <w:t>Originality:</w:t>
      </w:r>
      <w:r>
        <w:rPr>
          <w:rFonts w:ascii="Times New Roman" w:hAnsi="Times New Roman"/>
          <w:sz w:val="19"/>
        </w:rPr>
        <w:t xml:space="preserve"> This manuscript is original, has not been published previously, and is not under consideration elsewhere.</w:t>
      </w:r>
    </w:p>
    <w:p>
      <w:pPr>
        <w:spacing w:before="0" w:after="40"/>
      </w:pPr>
      <w:r>
        <w:rPr>
          <w:rFonts w:ascii="Times New Roman" w:hAnsi="Times New Roman"/>
          <w:b/>
          <w:sz w:val="19"/>
        </w:rPr>
        <w:t>Competing Interests:</w:t>
      </w:r>
      <w:r>
        <w:rPr>
          <w:rFonts w:ascii="Times New Roman" w:hAnsi="Times New Roman"/>
          <w:sz w:val="19"/>
        </w:rPr>
        <w:t xml:space="preserve"> The author declares no financial or non-financial competing interests.</w:t>
      </w:r>
    </w:p>
    <w:p>
      <w:pPr>
        <w:spacing w:before="0" w:after="40"/>
      </w:pPr>
      <w:r>
        <w:rPr>
          <w:rFonts w:ascii="Times New Roman" w:hAnsi="Times New Roman"/>
          <w:b/>
          <w:sz w:val="19"/>
        </w:rPr>
        <w:t>Funding:</w:t>
      </w:r>
      <w:r>
        <w:rPr>
          <w:rFonts w:ascii="Times New Roman" w:hAnsi="Times New Roman"/>
          <w:sz w:val="19"/>
        </w:rPr>
        <w:t xml:space="preserve"> This research received no external grant funding from any public, commercial, or non-profit agency.</w:t>
      </w:r>
    </w:p>
    <w:p>
      <w:pPr>
        <w:spacing w:before="0" w:after="40"/>
      </w:pPr>
      <w:r>
        <w:rPr>
          <w:rFonts w:ascii="Times New Roman" w:hAnsi="Times New Roman"/>
          <w:b/>
          <w:sz w:val="19"/>
        </w:rPr>
        <w:t>Human/Animal Rights:</w:t>
      </w:r>
      <w:r>
        <w:rPr>
          <w:rFonts w:ascii="Times New Roman" w:hAnsi="Times New Roman"/>
          <w:sz w:val="19"/>
        </w:rPr>
        <w:t xml:space="preserve"> Not applicable. Only publicly available open-source benchmark sensor datasets were used.</w:t>
      </w:r>
    </w:p>
    <w:p>
      <w:pPr>
        <w:spacing w:before="80" w:after="120"/>
        <w:jc w:val="left"/>
      </w:pPr>
      <w:r>
        <w:rPr>
          <w:rFonts w:ascii="Times New Roman" w:hAnsi="Times New Roman"/>
          <w:b w:val="0"/>
          <w:i w:val="0"/>
          <w:sz w:val="20"/>
        </w:rPr>
        <w:t>Thank you sincerely for your time and consideration of this manuscript.</w:t>
      </w:r>
    </w:p>
    <w:p>
      <w:pPr>
        <w:spacing w:before="0" w:after="40"/>
        <w:jc w:val="left"/>
      </w:pPr>
      <w:r>
        <w:rPr>
          <w:rFonts w:ascii="Times New Roman" w:hAnsi="Times New Roman"/>
          <w:b w:val="0"/>
          <w:i w:val="0"/>
          <w:sz w:val="20"/>
        </w:rPr>
        <w:t>Respectfully yours,</w:t>
      </w:r>
    </w:p>
    <w:p>
      <w:pPr>
        <w:spacing w:before="0" w:after="20"/>
        <w:jc w:val="left"/>
      </w:pPr>
      <w:r>
        <w:rPr>
          <w:rFonts w:ascii="Times New Roman" w:hAnsi="Times New Roman"/>
          <w:b/>
          <w:i w:val="0"/>
          <w:sz w:val="21"/>
        </w:rPr>
        <w:t>Nguyen Phu Toan</w:t>
      </w:r>
    </w:p>
    <w:p>
      <w:pPr>
        <w:spacing w:before="0" w:after="20"/>
        <w:jc w:val="left"/>
      </w:pPr>
      <w:r>
        <w:rPr>
          <w:rFonts w:ascii="Times New Roman" w:hAnsi="Times New Roman"/>
          <w:b w:val="0"/>
          <w:i w:val="0"/>
          <w:sz w:val="20"/>
        </w:rPr>
        <w:t>Department of Information Technology, Hanoi University of Business and Technology</w:t>
      </w:r>
    </w:p>
    <w:p>
      <w:pPr>
        <w:spacing w:before="0" w:after="20"/>
        <w:jc w:val="left"/>
      </w:pPr>
      <w:r>
        <w:t>29A, Lane 124 Vinh Tuy Street, Vinh Tuy Ward, Hai Ba Trung District, Hanoi, Vietnam</w:t>
      </w:r>
    </w:p>
    <w:p>
      <w:pPr>
        <w:spacing w:before="0" w:after="0"/>
        <w:jc w:val="left"/>
      </w:pPr>
      <w:r>
        <w:rPr>
          <w:rFonts w:ascii="Times New Roman" w:hAnsi="Times New Roman"/>
          <w:b w:val="0"/>
          <w:i w:val="0"/>
          <w:sz w:val="20"/>
        </w:rPr>
        <w:t>Email: nphu211206@gmail.com | ORCID: 0009-0005-0529-2131</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