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/>
          <w:b/>
          <w:i w:val="0"/>
          <w:sz w:val="22"/>
        </w:rPr>
        <w:t>Cover Letter — Electrical Engineering (Archiv für Elektrotechnik, Springer Nature)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  <w:t>Date: October 24, 2026</w:t>
      </w:r>
    </w:p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2"/>
        </w:rPr>
        <w:t>To: Prof. Dr. Igor Kuzle, Editor-in-Chief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/>
          <w:sz w:val="22"/>
        </w:rPr>
        <w:t>Electrical Engineering (Archiv für Elektrotechnik)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i w:val="0"/>
          <w:sz w:val="22"/>
        </w:rPr>
        <w:t>Faculty of Electrical Engineering and Computing, University of Zagreb, Croatia</w:t>
      </w:r>
    </w:p>
    <w:p>
      <w:pPr>
        <w:spacing w:before="0" w:after="240"/>
      </w:pPr>
      <w:r>
        <w:rPr>
          <w:rFonts w:ascii="Times New Roman" w:hAnsi="Times New Roman"/>
          <w:b/>
          <w:sz w:val="22"/>
        </w:rPr>
        <w:t xml:space="preserve">Subject: </w:t>
      </w:r>
      <w:r>
        <w:rPr>
          <w:rFonts w:ascii="Times New Roman" w:hAnsi="Times New Roman"/>
          <w:b w:val="0"/>
          <w:sz w:val="22"/>
        </w:rPr>
        <w:t>Submission of Original Research Article — “PSO-TCWavKAN: A Swarm-Optimized Temporal Convolutional Wavelet Kolmogorov-Arnold Network with Multi-Kernel Trend Decomposition and Asymptotic Linear Structural Recovery for Resilient Power Transformer Thermal Dynamics Forecasting”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Dear Prof. Dr. Kuzle and Esteemed Editorial Board,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I respectfully submit the above-titled original research manuscript for consideration as an Original Research Paper in Electrical Engineering (Archiv für Elektrotechnik). This work presents PSO-TCWavKAN, a swarm-optimized temporal convolutional wavelet Kolmogorov-Arnold network for resilient multi-step thermal dynamics forecasting of high-voltage mineral-oil-immersed power transformers, directly applicable to substation dynamic thermal rating (DTR), condition-based asset management, and IEC 60076-7 / IEEE Std C57.91 thermal overrun prevention.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Alignment with the Scope of Electrical Engineering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This manuscript addresses transformer thermal dynamics forecasting — a topic of longstanding central interest to this journal. Our work directly builds upon and substantially advances the seminal contribution by Bezerra et al. (2024), “A forecasting methodology based on second-generation wavelets and neural networks: application to power transformer oil temperature” (Electr Eng, Vol. 106, Issue 3, pp. 3017–3029, DOI: 10.1007/s00202-023-02134-5), published in this very journal. While Bezerra et al. demonstrated the efficacy of discrete second-generation wavelets with traditional MLPs, our work establishes the next evolutionary leap via three orthogonal innovations: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sz w:val="22"/>
        </w:rPr>
        <w:t>(1) Continuous Dyadic Morlet Wavelet Filter Banks embedded in Kolmogorov-Arnold Network edges — eliminating discrete boundary artifacts and the B-spline Grid Update Dilemma;</w:t>
      </w:r>
    </w:p>
    <w:p>
      <w:pPr>
        <w:pStyle w:val="ListBullet"/>
        <w:spacing w:after="80"/>
        <w:ind w:left="360"/>
      </w:pPr>
      <w:r>
        <w:t>(2) Asymptotic Linear Recovery Guarantee (Proposition 1) — a topological closure proof ensuring the architecture structurally recovers canonical DLinear projections in the boundary limit, ensuring representational containment of the linear multi-kernel subspace;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sz w:val="22"/>
        </w:rPr>
        <w:t>(3) Comprehensive Learning Particle Swarm Optimization (CLPSO) warm-start — bypassing non-convex wavelet ripple traps via a 4-D swarm prior to AdamW fine-tuning and Stochastic Weight Averaging.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Summary of Scientific Contributions</w:t>
      </w:r>
    </w:p>
    <w:p>
      <w:pPr>
        <w:spacing w:before="40" w:after="80"/>
        <w:ind w:left="0"/>
      </w:pPr>
      <w:r>
        <w:t>Theoretical Rigor: Proposition 1 provides a strict topological closure proof guaranteeing that the hypothesis-space closure contains the multi-kernel linear subspace as gating weights approach zero, establishing representational containment without asserting unconstrained gradient optimization or test generalization guarantees.</w:t>
      </w:r>
    </w:p>
    <w:p>
      <w:pPr>
        <w:spacing w:before="40" w:after="80"/>
        <w:ind w:left="0"/>
      </w:pPr>
      <w:r>
        <w:t>Exhaustive Empirical Validation: PSO-TCWavKAN was evaluated across 16 canonical ETT benchmark configurations (ETTh1 and ETTh2; lookback L ∈ {96, 336}; horizon H ∈ {96, 192, 336, 720}; 5 independent random seeds {1000, 2000, 3000, 4000, 5000} for linear and proposed models, 3 seeds for PatchTST Lite), dominating 7 of 8 horizons on the volatile ETTh2 dataset with up to 13.6% MSE reduction over DLinear and statistically significant improvement over NLinear (Wilcoxon signed-rank, p = 0.0443).</w:t>
      </w:r>
    </w:p>
    <w:p>
      <w:pPr>
        <w:spacing w:before="40" w:after="80"/>
        <w:ind w:left="0"/>
      </w:pPr>
      <w:r>
        <w:t>Systematic Ablation: An 80-cell ablation campaign across 5 structural variants confirmed that each modular component provides meaningful performance benefits within standard operational horizons (H ≤ 336).</w:t>
      </w:r>
    </w:p>
    <w:p>
      <w:pPr>
        <w:spacing w:before="40" w:after="80"/>
        <w:ind w:left="0"/>
      </w:pPr>
      <w:r>
        <w:t>Operational Resilience: Synthetic noise stress testing under Gaussian perturbation (σ = 0.30) bounds degradation between +1.4% and +13.0% across operational horizons (H ≤ 336), with expected phase dispersion (+139.6%) under long-horizon stress (ETTh1, L = 336, H = 720).</w:t>
      </w:r>
    </w:p>
    <w:p>
      <w:pPr>
        <w:spacing w:before="40" w:after="80"/>
        <w:ind w:left="0"/>
      </w:pPr>
      <w:r>
        <w:rPr>
          <w:rFonts w:ascii="Times New Roman" w:hAnsi="Times New Roman"/>
          <w:b/>
          <w:sz w:val="22"/>
        </w:rPr>
        <w:t>Edge SCADA Feasibility:</w:t>
      </w:r>
      <w:r>
        <w:rPr>
          <w:rFonts w:ascii="Times New Roman" w:hAnsi="Times New Roman"/>
          <w:b w:val="0"/>
          <w:sz w:val="22"/>
        </w:rPr>
        <w:t xml:space="preserve"> With only 44.8 K parameters and 3.4 ms batch inference latency (NVIDIA Tesla T4), PSO-TCWavKAN is fully viable for edge-level real-time deployment.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Publication Model</w:t>
      </w:r>
    </w:p>
    <w:p>
      <w:pPr>
        <w:spacing w:before="0" w:after="160"/>
        <w:jc w:val="left"/>
      </w:pPr>
      <w:r>
        <w:rPr>
          <w:rFonts w:ascii="Times New Roman" w:hAnsi="Times New Roman"/>
          <w:b w:val="0"/>
          <w:i w:val="0"/>
          <w:sz w:val="22"/>
        </w:rPr>
        <w:t>In accordance with Springer Nature policies for hybrid journals, this manuscript is submitted for publication under the traditional subscription route (no open-access fees; 0 APC). The authors have not selected, and do not intend to select, the Open Access option.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Reproducibility and Data Availability</w:t>
      </w:r>
    </w:p>
    <w:p>
      <w:pPr>
        <w:pStyle w:val="ListBullet"/>
        <w:spacing w:after="80"/>
      </w:pPr>
      <w:r>
        <w:rPr>
          <w:rFonts w:ascii="Times New Roman" w:hAnsi="Times New Roman"/>
          <w:sz w:val="22"/>
        </w:rPr>
        <w:t>Open Benchmark Data: The ETTh1 and ETTh2 datasets are standardized open-source benchmarks publicly available at: https://github.com/zhouhaoyi/ETDataset</w:t>
      </w:r>
    </w:p>
    <w:p>
      <w:pPr>
        <w:pStyle w:val="ListBullet"/>
        <w:spacing w:after="80"/>
      </w:pPr>
      <w:r>
        <w:rPr>
          <w:rFonts w:ascii="Times New Roman" w:hAnsi="Times New Roman"/>
          <w:sz w:val="22"/>
        </w:rPr>
        <w:t>Code Repository: Complete PyTorch implementation, training scripts, checkpoint files, and deterministic seeds are openly available at: https://github.com/nphu211206/KAN-PSO-Transformer-Forecasting (MIT License)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Ethical and Publication Declarations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Originality:</w:t>
      </w:r>
      <w:r>
        <w:rPr>
          <w:rFonts w:ascii="Times New Roman" w:hAnsi="Times New Roman"/>
          <w:sz w:val="22"/>
        </w:rPr>
        <w:t xml:space="preserve"> This manuscript is original, unpublished, and not under consideration elsewhere.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Competing Interests:</w:t>
      </w:r>
      <w:r>
        <w:rPr>
          <w:rFonts w:ascii="Times New Roman" w:hAnsi="Times New Roman"/>
          <w:sz w:val="22"/>
        </w:rPr>
        <w:t xml:space="preserve"> The author declares no competing financial or non-financial interests.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Funding:</w:t>
      </w:r>
      <w:r>
        <w:rPr>
          <w:rFonts w:ascii="Times New Roman" w:hAnsi="Times New Roman"/>
          <w:sz w:val="22"/>
        </w:rPr>
        <w:t xml:space="preserve"> This research received no external grant funding from any public, commercial, or non-profit agency.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Human/Animal Subjects:</w:t>
      </w:r>
      <w:r>
        <w:rPr>
          <w:rFonts w:ascii="Times New Roman" w:hAnsi="Times New Roman"/>
          <w:sz w:val="22"/>
        </w:rPr>
        <w:t xml:space="preserve"> Not applicable. Only publicly available benchmark sensor datasets were used.</w:t>
      </w:r>
    </w:p>
    <w:p>
      <w:pPr>
        <w:spacing w:before="40" w:after="60"/>
      </w:pPr>
      <w:r>
        <w:rPr>
          <w:rFonts w:ascii="Times New Roman" w:hAnsi="Times New Roman"/>
          <w:b/>
          <w:sz w:val="22"/>
        </w:rPr>
        <w:t>Transfer Notice:</w:t>
      </w:r>
      <w:r>
        <w:rPr>
          <w:rFonts w:ascii="Times New Roman" w:hAnsi="Times New Roman"/>
          <w:sz w:val="22"/>
        </w:rPr>
        <w:t xml:space="preserve"> This manuscript is submitted following a Springer Nature editorial recommendation to transfer to this journal.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0" w:after="240"/>
        <w:jc w:val="left"/>
      </w:pPr>
      <w:r>
        <w:t>Thank you sincerely for your time and consideration of my manuscript.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  <w:t>Respectfully yours,</w:t>
      </w:r>
    </w:p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2"/>
        </w:rPr>
        <w:t>Nguyen Phu Toan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Department of Information Technology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Hanoi University of Business and Technology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29A, Lane 124 Vinh Tuy Street, Hai Ba Trung District, Hanoi, Vietnam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2"/>
        </w:rPr>
        <w:t>Email: nphu211206@gmail.com</w:t>
      </w:r>
    </w:p>
    <w:p>
      <w:pPr>
        <w:spacing w:before="0" w:after="0"/>
        <w:jc w:val="left"/>
      </w:pPr>
      <w:r>
        <w:rPr>
          <w:rFonts w:ascii="Times New Roman" w:hAnsi="Times New Roman"/>
          <w:b w:val="0"/>
          <w:i w:val="0"/>
          <w:sz w:val="22"/>
        </w:rPr>
        <w:t>ORCID: 0009-0005-0529-2131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