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PHÂN TÍCH TRADE-OFF VÀ ĐẶC TẢ SRS</w:t>
        <w:br/>
      </w:r>
      <w:r>
        <w:rPr>
          <w:b/>
          <w:sz w:val="32"/>
        </w:rPr>
        <w:t>Tích hợp thanh toán và đối soát COD – RikkeiLogistics</w:t>
      </w:r>
    </w:p>
    <w:p>
      <w:pPr>
        <w:jc w:val="center"/>
      </w:pPr>
      <w:r>
        <w:rPr>
          <w:i/>
        </w:rPr>
        <w:t>Phiên bản 1.0 | 24/09/2026 | Quy mô &gt; 200.000 giao dịch/ngày</w:t>
      </w:r>
    </w:p>
    <w:p>
      <w:pPr>
        <w:jc w:val="center"/>
      </w:pPr>
      <w:r>
        <w:drawing>
          <wp:inline xmlns:a="http://schemas.openxmlformats.org/drawingml/2006/main" xmlns:pic="http://schemas.openxmlformats.org/drawingml/2006/picture">
            <wp:extent cx="5940000" cy="3234000"/>
            <wp:docPr id="1" name="Picture 1"/>
            <wp:cNvGraphicFramePr>
              <a:graphicFrameLocks noChangeAspect="1"/>
            </wp:cNvGraphicFramePr>
            <a:graphic>
              <a:graphicData uri="http://schemas.openxmlformats.org/drawingml/2006/picture">
                <pic:pic>
                  <pic:nvPicPr>
                    <pic:cNvPr id="0" name="RikkeiLogistics_Sequence_Thanh_toan_COD.png"/>
                    <pic:cNvPicPr/>
                  </pic:nvPicPr>
                  <pic:blipFill>
                    <a:blip r:embed="rId9"/>
                    <a:stretch>
                      <a:fillRect/>
                    </a:stretch>
                  </pic:blipFill>
                  <pic:spPr>
                    <a:xfrm>
                      <a:off x="0" y="0"/>
                      <a:ext cx="5940000" cy="3234000"/>
                    </a:xfrm>
                    <a:prstGeom prst="rect"/>
                  </pic:spPr>
                </pic:pic>
              </a:graphicData>
            </a:graphic>
          </wp:inline>
        </w:drawing>
      </w:r>
    </w:p>
    <w:p>
      <w:r>
        <w:br w:type="page"/>
      </w:r>
    </w:p>
    <w:p>
      <w:pPr>
        <w:pStyle w:val="Heading1"/>
      </w:pPr>
      <w:r>
        <w:t>1. Mục tiêu</w:t>
      </w:r>
    </w:p>
    <w:p>
      <w:pPr>
        <w:pStyle w:val="ListBullet"/>
      </w:pPr>
      <w:r>
        <w:t>Cho phép khách hàng thanh toán cước vận chuyển bằng kênh số.</w:t>
      </w:r>
    </w:p>
    <w:p>
      <w:pPr>
        <w:pStyle w:val="ListBullet"/>
      </w:pPr>
      <w:r>
        <w:t>Nhận kết quả thanh toán từ ngân hàng/cổng thanh toán.</w:t>
      </w:r>
    </w:p>
    <w:p>
      <w:pPr>
        <w:pStyle w:val="ListBullet"/>
      </w:pPr>
      <w:r>
        <w:t>Chỉ ghi nhận PAID khi HMAC-SHA256 hợp lệ.</w:t>
      </w:r>
    </w:p>
    <w:p>
      <w:pPr>
        <w:pStyle w:val="ListBullet"/>
      </w:pPr>
      <w:r>
        <w:t>Xử lý webhook trùng bằng Idempotency Key.</w:t>
      </w:r>
    </w:p>
    <w:p>
      <w:pPr>
        <w:pStyle w:val="ListBullet"/>
      </w:pPr>
      <w:r>
        <w:t>Đối soát COD tự động và chuyển tiền vào ví người gửi trong 24 giờ khi dữ liệu hợp lệ.</w:t>
      </w:r>
    </w:p>
    <w:p>
      <w:pPr>
        <w:pStyle w:val="ListBullet"/>
      </w:pPr>
      <w:r>
        <w:t>Đảm bảo ACID và Audit Trail Log.</w:t>
      </w:r>
    </w:p>
    <w:p>
      <w:pPr>
        <w:pStyle w:val="Heading1"/>
      </w:pPr>
      <w:r>
        <w:t>2. Bối cảnh và giả định</w:t>
      </w:r>
    </w:p>
    <w:p>
      <w:r>
        <w:t>Khối lượng trên 200.000 giao dịch/ngày yêu cầu kiến trúc chịu tải, có khả năng retry và kiểm soát chặt tính nhất quán tài chính. Hai phương án được so sánh là Sync API và Async Webhook/Queue.</w:t>
      </w:r>
    </w:p>
    <w:p>
      <w:pPr>
        <w:pStyle w:val="Heading1"/>
      </w:pPr>
      <w:r>
        <w:t>3. Phân tích Trade-off</w:t>
      </w:r>
    </w:p>
    <w:p>
      <w:pPr>
        <w:pStyle w:val="Heading2"/>
      </w:pPr>
      <w:r>
        <w:t>3.1. Giải pháp 1 – Sync API</w:t>
      </w:r>
    </w:p>
    <w:p>
      <w:r>
        <w:t>RikkeiLogistics gọi Payment Gateway/Bank và chờ phản hồi đồng bộ. Kiến trúc đơn giản, dễ triển khai nhưng timeout có thể tạo trạng thái không rõ ràng khi ngân hàng đã xử lý còn ứng dụng chưa nhận được phản hồi.</w:t>
      </w:r>
    </w:p>
    <w:p>
      <w:pPr>
        <w:pStyle w:val="Heading2"/>
      </w:pPr>
      <w:r>
        <w:t>3.2. Giải pháp 2 – Async Webhook/Queue</w:t>
      </w:r>
    </w:p>
    <w:p>
      <w:r>
        <w:t>Ngân hàng/cổng thanh toán gửi webhook vào Message Queue; Consumer chuyển dữ liệu cho Billing Service. Billing xác thực HMAC, kiểm tra idempotency, thực hiện transaction ACID, cập nhật đơn hàng và ghi AuditLog. Queue hỗ trợ retry và hấp thụ tải.</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Arial" w:hAnsi="Arial"/>
                <w:b/>
                <w:sz w:val="18"/>
              </w:rPr>
              <w:t>Tiêu chí</w:t>
            </w:r>
          </w:p>
        </w:tc>
        <w:tc>
          <w:tcPr>
            <w:tcW w:type="dxa" w:w="3324"/>
            <w:vAlign w:val="center"/>
            <w:shd w:fill="D9EAF7"/>
          </w:tcPr>
          <w:p>
            <w:r/>
            <w:r>
              <w:rPr>
                <w:rFonts w:ascii="Arial" w:hAnsi="Arial"/>
                <w:b/>
                <w:sz w:val="18"/>
              </w:rPr>
              <w:t>Sync API</w:t>
            </w:r>
          </w:p>
        </w:tc>
        <w:tc>
          <w:tcPr>
            <w:tcW w:type="dxa" w:w="3324"/>
            <w:vAlign w:val="center"/>
            <w:shd w:fill="D9EAF7"/>
          </w:tcPr>
          <w:p>
            <w:r/>
            <w:r>
              <w:rPr>
                <w:rFonts w:ascii="Arial" w:hAnsi="Arial"/>
                <w:b/>
                <w:sz w:val="18"/>
              </w:rPr>
              <w:t>Async Webhook/Queue</w:t>
            </w:r>
          </w:p>
        </w:tc>
      </w:tr>
      <w:tr>
        <w:tc>
          <w:tcPr>
            <w:tcW w:type="dxa" w:w="3324"/>
            <w:vAlign w:val="center"/>
          </w:tcPr>
          <w:p>
            <w:r/>
            <w:r>
              <w:rPr>
                <w:rFonts w:ascii="Arial" w:hAnsi="Arial"/>
                <w:b w:val="0"/>
                <w:sz w:val="18"/>
              </w:rPr>
              <w:t>Độ tin cậy khi nghẽn mạng</w:t>
            </w:r>
          </w:p>
        </w:tc>
        <w:tc>
          <w:tcPr>
            <w:tcW w:type="dxa" w:w="3324"/>
            <w:vAlign w:val="center"/>
          </w:tcPr>
          <w:p>
            <w:r/>
            <w:r>
              <w:rPr>
                <w:rFonts w:ascii="Arial" w:hAnsi="Arial"/>
                <w:b w:val="0"/>
                <w:sz w:val="18"/>
              </w:rPr>
              <w:t>Thấp hơn: timeout có thể xảy ra sau khi ngân hàng đã xử lý; cần reconciliation.</w:t>
            </w:r>
          </w:p>
        </w:tc>
        <w:tc>
          <w:tcPr>
            <w:tcW w:type="dxa" w:w="3324"/>
            <w:vAlign w:val="center"/>
          </w:tcPr>
          <w:p>
            <w:r/>
            <w:r>
              <w:rPr>
                <w:rFonts w:ascii="Arial" w:hAnsi="Arial"/>
                <w:b w:val="0"/>
                <w:sz w:val="18"/>
              </w:rPr>
              <w:t>Cao hơn: Queue giữ sự kiện và hỗ trợ retry khi consumer/mạng lỗi.</w:t>
            </w:r>
          </w:p>
        </w:tc>
      </w:tr>
      <w:tr>
        <w:tc>
          <w:tcPr>
            <w:tcW w:type="dxa" w:w="3324"/>
            <w:vAlign w:val="center"/>
          </w:tcPr>
          <w:p>
            <w:r/>
            <w:r>
              <w:rPr>
                <w:rFonts w:ascii="Arial" w:hAnsi="Arial"/>
                <w:b w:val="0"/>
                <w:sz w:val="18"/>
              </w:rPr>
              <w:t>Độ phức tạp triển khai</w:t>
            </w:r>
          </w:p>
        </w:tc>
        <w:tc>
          <w:tcPr>
            <w:tcW w:type="dxa" w:w="3324"/>
            <w:vAlign w:val="center"/>
          </w:tcPr>
          <w:p>
            <w:r/>
            <w:r>
              <w:rPr>
                <w:rFonts w:ascii="Arial" w:hAnsi="Arial"/>
                <w:b w:val="0"/>
                <w:sz w:val="18"/>
              </w:rPr>
              <w:t>Thấp; ít thành phần.</w:t>
            </w:r>
          </w:p>
        </w:tc>
        <w:tc>
          <w:tcPr>
            <w:tcW w:type="dxa" w:w="3324"/>
            <w:vAlign w:val="center"/>
          </w:tcPr>
          <w:p>
            <w:r/>
            <w:r>
              <w:rPr>
                <w:rFonts w:ascii="Arial" w:hAnsi="Arial"/>
                <w:b w:val="0"/>
                <w:sz w:val="18"/>
              </w:rPr>
              <w:t>Cao; cần Queue, Worker, retry, DLQ, monitoring, idempotency.</w:t>
            </w:r>
          </w:p>
        </w:tc>
      </w:tr>
      <w:tr>
        <w:tc>
          <w:tcPr>
            <w:tcW w:type="dxa" w:w="3324"/>
            <w:vAlign w:val="center"/>
          </w:tcPr>
          <w:p>
            <w:r/>
            <w:r>
              <w:rPr>
                <w:rFonts w:ascii="Arial" w:hAnsi="Arial"/>
                <w:b w:val="0"/>
                <w:sz w:val="18"/>
              </w:rPr>
              <w:t>Rủi ro sai lệch dữ liệu tài chính</w:t>
            </w:r>
          </w:p>
        </w:tc>
        <w:tc>
          <w:tcPr>
            <w:tcW w:type="dxa" w:w="3324"/>
            <w:vAlign w:val="center"/>
          </w:tcPr>
          <w:p>
            <w:r/>
            <w:r>
              <w:rPr>
                <w:rFonts w:ascii="Arial" w:hAnsi="Arial"/>
                <w:b w:val="0"/>
                <w:sz w:val="18"/>
              </w:rPr>
              <w:t>Có rủi ro nếu timeout/retry không được thiết kế tốt.</w:t>
            </w:r>
          </w:p>
        </w:tc>
        <w:tc>
          <w:tcPr>
            <w:tcW w:type="dxa" w:w="3324"/>
            <w:vAlign w:val="center"/>
          </w:tcPr>
          <w:p>
            <w:r/>
            <w:r>
              <w:rPr>
                <w:rFonts w:ascii="Arial" w:hAnsi="Arial"/>
                <w:b w:val="0"/>
                <w:sz w:val="18"/>
              </w:rPr>
              <w:t>Kiểm soát tốt hơn khi kết hợp HMAC + idempotency + ACID + AuditLog.</w:t>
            </w:r>
          </w:p>
        </w:tc>
      </w:tr>
      <w:tr>
        <w:tc>
          <w:tcPr>
            <w:tcW w:type="dxa" w:w="3324"/>
            <w:vAlign w:val="center"/>
          </w:tcPr>
          <w:p>
            <w:r/>
            <w:r>
              <w:rPr>
                <w:rFonts w:ascii="Arial" w:hAnsi="Arial"/>
                <w:b w:val="0"/>
                <w:sz w:val="18"/>
              </w:rPr>
              <w:t>Khả năng hấp thụ tải</w:t>
            </w:r>
          </w:p>
        </w:tc>
        <w:tc>
          <w:tcPr>
            <w:tcW w:type="dxa" w:w="3324"/>
            <w:vAlign w:val="center"/>
          </w:tcPr>
          <w:p>
            <w:r/>
            <w:r>
              <w:rPr>
                <w:rFonts w:ascii="Arial" w:hAnsi="Arial"/>
                <w:b w:val="0"/>
                <w:sz w:val="18"/>
              </w:rPr>
              <w:t>Phụ thuộc trực tiếp vào API và thời gian phản hồi.</w:t>
            </w:r>
          </w:p>
        </w:tc>
        <w:tc>
          <w:tcPr>
            <w:tcW w:type="dxa" w:w="3324"/>
            <w:vAlign w:val="center"/>
          </w:tcPr>
          <w:p>
            <w:r/>
            <w:r>
              <w:rPr>
                <w:rFonts w:ascii="Arial" w:hAnsi="Arial"/>
                <w:b w:val="0"/>
                <w:sz w:val="18"/>
              </w:rPr>
              <w:t>Tốt hơn nhờ Queue làm lớp đệm.</w:t>
            </w:r>
          </w:p>
        </w:tc>
      </w:tr>
      <w:tr>
        <w:tc>
          <w:tcPr>
            <w:tcW w:type="dxa" w:w="3324"/>
            <w:vAlign w:val="center"/>
          </w:tcPr>
          <w:p>
            <w:r/>
            <w:r>
              <w:rPr>
                <w:rFonts w:ascii="Arial" w:hAnsi="Arial"/>
                <w:b w:val="0"/>
                <w:sz w:val="18"/>
              </w:rPr>
              <w:t>Khả năng retry</w:t>
            </w:r>
          </w:p>
        </w:tc>
        <w:tc>
          <w:tcPr>
            <w:tcW w:type="dxa" w:w="3324"/>
            <w:vAlign w:val="center"/>
          </w:tcPr>
          <w:p>
            <w:r/>
            <w:r>
              <w:rPr>
                <w:rFonts w:ascii="Arial" w:hAnsi="Arial"/>
                <w:b w:val="0"/>
                <w:sz w:val="18"/>
              </w:rPr>
              <w:t>Phải tự xây dựng ở tầng client/API.</w:t>
            </w:r>
          </w:p>
        </w:tc>
        <w:tc>
          <w:tcPr>
            <w:tcW w:type="dxa" w:w="3324"/>
            <w:vAlign w:val="center"/>
          </w:tcPr>
          <w:p>
            <w:r/>
            <w:r>
              <w:rPr>
                <w:rFonts w:ascii="Arial" w:hAnsi="Arial"/>
                <w:b w:val="0"/>
                <w:sz w:val="18"/>
              </w:rPr>
              <w:t>Tự nhiên hơn với Queue/Worker.</w:t>
            </w:r>
          </w:p>
        </w:tc>
      </w:tr>
      <w:tr>
        <w:tc>
          <w:tcPr>
            <w:tcW w:type="dxa" w:w="3324"/>
            <w:vAlign w:val="center"/>
          </w:tcPr>
          <w:p>
            <w:r/>
            <w:r>
              <w:rPr>
                <w:rFonts w:ascii="Arial" w:hAnsi="Arial"/>
                <w:b w:val="0"/>
                <w:sz w:val="18"/>
              </w:rPr>
              <w:t>Khả năng mở rộng</w:t>
            </w:r>
          </w:p>
        </w:tc>
        <w:tc>
          <w:tcPr>
            <w:tcW w:type="dxa" w:w="3324"/>
            <w:vAlign w:val="center"/>
          </w:tcPr>
          <w:p>
            <w:r/>
            <w:r>
              <w:rPr>
                <w:rFonts w:ascii="Arial" w:hAnsi="Arial"/>
                <w:b w:val="0"/>
                <w:sz w:val="18"/>
              </w:rPr>
              <w:t>Khó hơn khi tải tăng mạnh.</w:t>
            </w:r>
          </w:p>
        </w:tc>
        <w:tc>
          <w:tcPr>
            <w:tcW w:type="dxa" w:w="3324"/>
            <w:vAlign w:val="center"/>
          </w:tcPr>
          <w:p>
            <w:r/>
            <w:r>
              <w:rPr>
                <w:rFonts w:ascii="Arial" w:hAnsi="Arial"/>
                <w:b w:val="0"/>
                <w:sz w:val="18"/>
              </w:rPr>
              <w:t>Có thể scale ngang Consumer/Worker.</w:t>
            </w:r>
          </w:p>
        </w:tc>
      </w:tr>
    </w:tbl>
    <w:p/>
    <w:p>
      <w:pPr>
        <w:pStyle w:val="Heading1"/>
      </w:pPr>
      <w:r>
        <w:t>4. Lựa chọn kiến trúc</w:t>
      </w:r>
    </w:p>
    <w:p>
      <w:r>
        <w:rPr>
          <w:b/>
        </w:rPr>
        <w:t>Đề xuất: Giải pháp 2 – Async Webhook/Queue.</w:t>
      </w:r>
    </w:p>
    <w:p>
      <w:pPr>
        <w:pStyle w:val="ListBullet"/>
      </w:pPr>
      <w:r>
        <w:t>Phù hợp với quy mô trên 200.000 giao dịch/ngày.</w:t>
      </w:r>
    </w:p>
    <w:p>
      <w:pPr>
        <w:pStyle w:val="ListBullet"/>
      </w:pPr>
      <w:r>
        <w:t>Không phụ thuộc vào một kết nối HTTP kéo dài.</w:t>
      </w:r>
    </w:p>
    <w:p>
      <w:pPr>
        <w:pStyle w:val="ListBullet"/>
      </w:pPr>
      <w:r>
        <w:t>Hỗ trợ retry và xử lý webhook gửi lại.</w:t>
      </w:r>
    </w:p>
    <w:p>
      <w:pPr>
        <w:pStyle w:val="ListBullet"/>
      </w:pPr>
      <w:r>
        <w:t>HMAC-SHA256 ngăn kết quả giả mạo đi vào nghiệp vụ tài chính.</w:t>
      </w:r>
    </w:p>
    <w:p>
      <w:pPr>
        <w:pStyle w:val="ListBullet"/>
      </w:pPr>
      <w:r>
        <w:t>Idempotency giúp tránh xử lý tài chính lặp.</w:t>
      </w:r>
    </w:p>
    <w:p>
      <w:pPr>
        <w:pStyle w:val="ListBullet"/>
      </w:pPr>
      <w:r>
        <w:t>ACID và AuditLog hỗ trợ tính nhất quán và truy vết.</w:t>
      </w:r>
    </w:p>
    <w:p>
      <w:pPr>
        <w:pStyle w:val="ListBullet"/>
      </w:pPr>
      <w:r>
        <w:t>Có thể scale Consumer khi tải tăng.</w:t>
      </w:r>
    </w:p>
    <w:p>
      <w:pPr>
        <w:pStyle w:val="Heading1"/>
      </w:pPr>
      <w:r>
        <w:t>5. Sequence Diagram – Luồng hoàn chỉnh</w:t>
      </w:r>
    </w:p>
    <w:p>
      <w:pPr>
        <w:jc w:val="center"/>
      </w:pPr>
      <w:r>
        <w:drawing>
          <wp:inline xmlns:a="http://schemas.openxmlformats.org/drawingml/2006/main" xmlns:pic="http://schemas.openxmlformats.org/drawingml/2006/picture">
            <wp:extent cx="5940000" cy="3234000"/>
            <wp:docPr id="2" name="Picture 2"/>
            <wp:cNvGraphicFramePr>
              <a:graphicFrameLocks noChangeAspect="1"/>
            </wp:cNvGraphicFramePr>
            <a:graphic>
              <a:graphicData uri="http://schemas.openxmlformats.org/drawingml/2006/picture">
                <pic:pic>
                  <pic:nvPicPr>
                    <pic:cNvPr id="0" name="RikkeiLogistics_Sequence_Thanh_toan_COD.png"/>
                    <pic:cNvPicPr/>
                  </pic:nvPicPr>
                  <pic:blipFill>
                    <a:blip r:embed="rId9"/>
                    <a:stretch>
                      <a:fillRect/>
                    </a:stretch>
                  </pic:blipFill>
                  <pic:spPr>
                    <a:xfrm>
                      <a:off x="0" y="0"/>
                      <a:ext cx="5940000" cy="3234000"/>
                    </a:xfrm>
                    <a:prstGeom prst="rect"/>
                  </pic:spPr>
                </pic:pic>
              </a:graphicData>
            </a:graphic>
          </wp:inline>
        </w:drawing>
      </w:r>
    </w:p>
    <w:p>
      <w:r>
        <w:t>Hai bước bắt buộc được bổ sung: (1) xác thực HMAC-SHA256 trước khi gạch nợ; (2) cập nhật trạng thái đơn hàng = PAID sau khi transaction tài chính commit thành công.</w:t>
      </w:r>
    </w:p>
    <w:p>
      <w:pPr>
        <w:pStyle w:val="Heading1"/>
      </w:pPr>
      <w:r>
        <w:t>6. SRS – Mục 3.1: Yêu cầu chức năng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Arial" w:hAnsi="Arial"/>
                <w:b/>
                <w:sz w:val="18"/>
              </w:rPr>
              <w:t>ID</w:t>
            </w:r>
          </w:p>
        </w:tc>
        <w:tc>
          <w:tcPr>
            <w:tcW w:type="dxa" w:w="3324"/>
            <w:vAlign w:val="center"/>
            <w:shd w:fill="D9EAF7"/>
          </w:tcPr>
          <w:p>
            <w:r/>
            <w:r>
              <w:rPr>
                <w:rFonts w:ascii="Arial" w:hAnsi="Arial"/>
                <w:b/>
                <w:sz w:val="18"/>
              </w:rPr>
              <w:t>Yêu cầu</w:t>
            </w:r>
          </w:p>
        </w:tc>
        <w:tc>
          <w:tcPr>
            <w:tcW w:type="dxa" w:w="3324"/>
            <w:vAlign w:val="center"/>
            <w:shd w:fill="D9EAF7"/>
          </w:tcPr>
          <w:p>
            <w:r/>
            <w:r>
              <w:rPr>
                <w:rFonts w:ascii="Arial" w:hAnsi="Arial"/>
                <w:b/>
                <w:sz w:val="18"/>
              </w:rPr>
              <w:t>Mô tả</w:t>
            </w:r>
          </w:p>
        </w:tc>
      </w:tr>
      <w:tr>
        <w:tc>
          <w:tcPr>
            <w:tcW w:type="dxa" w:w="3324"/>
            <w:vAlign w:val="center"/>
          </w:tcPr>
          <w:p>
            <w:r/>
            <w:r>
              <w:rPr>
                <w:rFonts w:ascii="Arial" w:hAnsi="Arial"/>
                <w:b w:val="0"/>
                <w:sz w:val="18"/>
              </w:rPr>
              <w:t>FR-01</w:t>
            </w:r>
          </w:p>
        </w:tc>
        <w:tc>
          <w:tcPr>
            <w:tcW w:type="dxa" w:w="3324"/>
            <w:vAlign w:val="center"/>
          </w:tcPr>
          <w:p>
            <w:r/>
            <w:r>
              <w:rPr>
                <w:rFonts w:ascii="Arial" w:hAnsi="Arial"/>
                <w:b w:val="0"/>
                <w:sz w:val="18"/>
              </w:rPr>
              <w:t>Tạo thanh toán</w:t>
            </w:r>
          </w:p>
        </w:tc>
        <w:tc>
          <w:tcPr>
            <w:tcW w:type="dxa" w:w="3324"/>
            <w:vAlign w:val="center"/>
          </w:tcPr>
          <w:p>
            <w:r/>
            <w:r>
              <w:rPr>
                <w:rFonts w:ascii="Arial" w:hAnsi="Arial"/>
                <w:b w:val="0"/>
                <w:sz w:val="18"/>
              </w:rPr>
              <w:t>Tạo PaymentTransaction cho vận đơn đã tính cước.</w:t>
            </w:r>
          </w:p>
        </w:tc>
      </w:tr>
      <w:tr>
        <w:tc>
          <w:tcPr>
            <w:tcW w:type="dxa" w:w="3324"/>
            <w:vAlign w:val="center"/>
          </w:tcPr>
          <w:p>
            <w:r/>
            <w:r>
              <w:rPr>
                <w:rFonts w:ascii="Arial" w:hAnsi="Arial"/>
                <w:b w:val="0"/>
                <w:sz w:val="18"/>
              </w:rPr>
              <w:t>FR-02</w:t>
            </w:r>
          </w:p>
        </w:tc>
        <w:tc>
          <w:tcPr>
            <w:tcW w:type="dxa" w:w="3324"/>
            <w:vAlign w:val="center"/>
          </w:tcPr>
          <w:p>
            <w:r/>
            <w:r>
              <w:rPr>
                <w:rFonts w:ascii="Arial" w:hAnsi="Arial"/>
                <w:b w:val="0"/>
                <w:sz w:val="18"/>
              </w:rPr>
              <w:t>VietQR</w:t>
            </w:r>
          </w:p>
        </w:tc>
        <w:tc>
          <w:tcPr>
            <w:tcW w:type="dxa" w:w="3324"/>
            <w:vAlign w:val="center"/>
          </w:tcPr>
          <w:p>
            <w:r/>
            <w:r>
              <w:rPr>
                <w:rFonts w:ascii="Arial" w:hAnsi="Arial"/>
                <w:b w:val="0"/>
                <w:sz w:val="18"/>
              </w:rPr>
              <w:t>Cung cấp thông tin để khách hàng chuyển khoản.</w:t>
            </w:r>
          </w:p>
        </w:tc>
      </w:tr>
      <w:tr>
        <w:tc>
          <w:tcPr>
            <w:tcW w:type="dxa" w:w="3324"/>
            <w:vAlign w:val="center"/>
          </w:tcPr>
          <w:p>
            <w:r/>
            <w:r>
              <w:rPr>
                <w:rFonts w:ascii="Arial" w:hAnsi="Arial"/>
                <w:b w:val="0"/>
                <w:sz w:val="18"/>
              </w:rPr>
              <w:t>FR-03</w:t>
            </w:r>
          </w:p>
        </w:tc>
        <w:tc>
          <w:tcPr>
            <w:tcW w:type="dxa" w:w="3324"/>
            <w:vAlign w:val="center"/>
          </w:tcPr>
          <w:p>
            <w:r/>
            <w:r>
              <w:rPr>
                <w:rFonts w:ascii="Arial" w:hAnsi="Arial"/>
                <w:b w:val="0"/>
                <w:sz w:val="18"/>
              </w:rPr>
              <w:t>Nhận webhook</w:t>
            </w:r>
          </w:p>
        </w:tc>
        <w:tc>
          <w:tcPr>
            <w:tcW w:type="dxa" w:w="3324"/>
            <w:vAlign w:val="center"/>
          </w:tcPr>
          <w:p>
            <w:r/>
            <w:r>
              <w:rPr>
                <w:rFonts w:ascii="Arial" w:hAnsi="Arial"/>
                <w:b w:val="0"/>
                <w:sz w:val="18"/>
              </w:rPr>
              <w:t>Tiếp nhận kết quả thanh toán bất đồng bộ.</w:t>
            </w:r>
          </w:p>
        </w:tc>
      </w:tr>
      <w:tr>
        <w:tc>
          <w:tcPr>
            <w:tcW w:type="dxa" w:w="3324"/>
            <w:vAlign w:val="center"/>
          </w:tcPr>
          <w:p>
            <w:r/>
            <w:r>
              <w:rPr>
                <w:rFonts w:ascii="Arial" w:hAnsi="Arial"/>
                <w:b w:val="0"/>
                <w:sz w:val="18"/>
              </w:rPr>
              <w:t>FR-04</w:t>
            </w:r>
          </w:p>
        </w:tc>
        <w:tc>
          <w:tcPr>
            <w:tcW w:type="dxa" w:w="3324"/>
            <w:vAlign w:val="center"/>
          </w:tcPr>
          <w:p>
            <w:r/>
            <w:r>
              <w:rPr>
                <w:rFonts w:ascii="Arial" w:hAnsi="Arial"/>
                <w:b w:val="0"/>
                <w:sz w:val="18"/>
              </w:rPr>
              <w:t>HMAC</w:t>
            </w:r>
          </w:p>
        </w:tc>
        <w:tc>
          <w:tcPr>
            <w:tcW w:type="dxa" w:w="3324"/>
            <w:vAlign w:val="center"/>
          </w:tcPr>
          <w:p>
            <w:r/>
            <w:r>
              <w:rPr>
                <w:rFonts w:ascii="Arial" w:hAnsi="Arial"/>
                <w:b w:val="0"/>
                <w:sz w:val="18"/>
              </w:rPr>
              <w:t>Xác thực HMAC-SHA256 trước thao tác tài chính.</w:t>
            </w:r>
          </w:p>
        </w:tc>
      </w:tr>
      <w:tr>
        <w:tc>
          <w:tcPr>
            <w:tcW w:type="dxa" w:w="3324"/>
            <w:vAlign w:val="center"/>
          </w:tcPr>
          <w:p>
            <w:r/>
            <w:r>
              <w:rPr>
                <w:rFonts w:ascii="Arial" w:hAnsi="Arial"/>
                <w:b w:val="0"/>
                <w:sz w:val="18"/>
              </w:rPr>
              <w:t>FR-05</w:t>
            </w:r>
          </w:p>
        </w:tc>
        <w:tc>
          <w:tcPr>
            <w:tcW w:type="dxa" w:w="3324"/>
            <w:vAlign w:val="center"/>
          </w:tcPr>
          <w:p>
            <w:r/>
            <w:r>
              <w:rPr>
                <w:rFonts w:ascii="Arial" w:hAnsi="Arial"/>
                <w:b w:val="0"/>
                <w:sz w:val="18"/>
              </w:rPr>
              <w:t>Idempotency</w:t>
            </w:r>
          </w:p>
        </w:tc>
        <w:tc>
          <w:tcPr>
            <w:tcW w:type="dxa" w:w="3324"/>
            <w:vAlign w:val="center"/>
          </w:tcPr>
          <w:p>
            <w:r/>
            <w:r>
              <w:rPr>
                <w:rFonts w:ascii="Arial" w:hAnsi="Arial"/>
                <w:b w:val="0"/>
                <w:sz w:val="18"/>
              </w:rPr>
              <w:t>Phát hiện webhook trùng bằng Idempotency Key/Transaction ID.</w:t>
            </w:r>
          </w:p>
        </w:tc>
      </w:tr>
      <w:tr>
        <w:tc>
          <w:tcPr>
            <w:tcW w:type="dxa" w:w="3324"/>
            <w:vAlign w:val="center"/>
          </w:tcPr>
          <w:p>
            <w:r/>
            <w:r>
              <w:rPr>
                <w:rFonts w:ascii="Arial" w:hAnsi="Arial"/>
                <w:b w:val="0"/>
                <w:sz w:val="18"/>
              </w:rPr>
              <w:t>FR-06</w:t>
            </w:r>
          </w:p>
        </w:tc>
        <w:tc>
          <w:tcPr>
            <w:tcW w:type="dxa" w:w="3324"/>
            <w:vAlign w:val="center"/>
          </w:tcPr>
          <w:p>
            <w:r/>
            <w:r>
              <w:rPr>
                <w:rFonts w:ascii="Arial" w:hAnsi="Arial"/>
                <w:b w:val="0"/>
                <w:sz w:val="18"/>
              </w:rPr>
              <w:t>Gạch nợ</w:t>
            </w:r>
          </w:p>
        </w:tc>
        <w:tc>
          <w:tcPr>
            <w:tcW w:type="dxa" w:w="3324"/>
            <w:vAlign w:val="center"/>
          </w:tcPr>
          <w:p>
            <w:r/>
            <w:r>
              <w:rPr>
                <w:rFonts w:ascii="Arial" w:hAnsi="Arial"/>
                <w:b w:val="0"/>
                <w:sz w:val="18"/>
              </w:rPr>
              <w:t>Giao dịch hợp lệ mới được gạch nợ trong transaction ACID.</w:t>
            </w:r>
          </w:p>
        </w:tc>
      </w:tr>
      <w:tr>
        <w:tc>
          <w:tcPr>
            <w:tcW w:type="dxa" w:w="3324"/>
            <w:vAlign w:val="center"/>
          </w:tcPr>
          <w:p>
            <w:r/>
            <w:r>
              <w:rPr>
                <w:rFonts w:ascii="Arial" w:hAnsi="Arial"/>
                <w:b w:val="0"/>
                <w:sz w:val="18"/>
              </w:rPr>
              <w:t>FR-07</w:t>
            </w:r>
          </w:p>
        </w:tc>
        <w:tc>
          <w:tcPr>
            <w:tcW w:type="dxa" w:w="3324"/>
            <w:vAlign w:val="center"/>
          </w:tcPr>
          <w:p>
            <w:r/>
            <w:r>
              <w:rPr>
                <w:rFonts w:ascii="Arial" w:hAnsi="Arial"/>
                <w:b w:val="0"/>
                <w:sz w:val="18"/>
              </w:rPr>
              <w:t>PAID</w:t>
            </w:r>
          </w:p>
        </w:tc>
        <w:tc>
          <w:tcPr>
            <w:tcW w:type="dxa" w:w="3324"/>
            <w:vAlign w:val="center"/>
          </w:tcPr>
          <w:p>
            <w:r/>
            <w:r>
              <w:rPr>
                <w:rFonts w:ascii="Arial" w:hAnsi="Arial"/>
                <w:b w:val="0"/>
                <w:sz w:val="18"/>
              </w:rPr>
              <w:t>Chỉ cập nhật PAID sau khi transaction commit.</w:t>
            </w:r>
          </w:p>
        </w:tc>
      </w:tr>
      <w:tr>
        <w:tc>
          <w:tcPr>
            <w:tcW w:type="dxa" w:w="3324"/>
            <w:vAlign w:val="center"/>
          </w:tcPr>
          <w:p>
            <w:r/>
            <w:r>
              <w:rPr>
                <w:rFonts w:ascii="Arial" w:hAnsi="Arial"/>
                <w:b w:val="0"/>
                <w:sz w:val="18"/>
              </w:rPr>
              <w:t>FR-08</w:t>
            </w:r>
          </w:p>
        </w:tc>
        <w:tc>
          <w:tcPr>
            <w:tcW w:type="dxa" w:w="3324"/>
            <w:vAlign w:val="center"/>
          </w:tcPr>
          <w:p>
            <w:r/>
            <w:r>
              <w:rPr>
                <w:rFonts w:ascii="Arial" w:hAnsi="Arial"/>
                <w:b w:val="0"/>
                <w:sz w:val="18"/>
              </w:rPr>
              <w:t>Audit</w:t>
            </w:r>
          </w:p>
        </w:tc>
        <w:tc>
          <w:tcPr>
            <w:tcW w:type="dxa" w:w="3324"/>
            <w:vAlign w:val="center"/>
          </w:tcPr>
          <w:p>
            <w:r/>
            <w:r>
              <w:rPr>
                <w:rFonts w:ascii="Arial" w:hAnsi="Arial"/>
                <w:b w:val="0"/>
                <w:sz w:val="18"/>
              </w:rPr>
              <w:t>Ghi AuditLog cho sự kiện tài chính/bảo mật quan trọng.</w:t>
            </w:r>
          </w:p>
        </w:tc>
      </w:tr>
      <w:tr>
        <w:tc>
          <w:tcPr>
            <w:tcW w:type="dxa" w:w="3324"/>
            <w:vAlign w:val="center"/>
          </w:tcPr>
          <w:p>
            <w:r/>
            <w:r>
              <w:rPr>
                <w:rFonts w:ascii="Arial" w:hAnsi="Arial"/>
                <w:b w:val="0"/>
                <w:sz w:val="18"/>
              </w:rPr>
              <w:t>FR-09</w:t>
            </w:r>
          </w:p>
        </w:tc>
        <w:tc>
          <w:tcPr>
            <w:tcW w:type="dxa" w:w="3324"/>
            <w:vAlign w:val="center"/>
          </w:tcPr>
          <w:p>
            <w:r/>
            <w:r>
              <w:rPr>
                <w:rFonts w:ascii="Arial" w:hAnsi="Arial"/>
                <w:b w:val="0"/>
                <w:sz w:val="18"/>
              </w:rPr>
              <w:t>Retry</w:t>
            </w:r>
          </w:p>
        </w:tc>
        <w:tc>
          <w:tcPr>
            <w:tcW w:type="dxa" w:w="3324"/>
            <w:vAlign w:val="center"/>
          </w:tcPr>
          <w:p>
            <w:r/>
            <w:r>
              <w:rPr>
                <w:rFonts w:ascii="Arial" w:hAnsi="Arial"/>
                <w:b w:val="0"/>
                <w:sz w:val="18"/>
              </w:rPr>
              <w:t>Retry lỗi tạm thời theo backoff và giới hạn.</w:t>
            </w:r>
          </w:p>
        </w:tc>
      </w:tr>
      <w:tr>
        <w:tc>
          <w:tcPr>
            <w:tcW w:type="dxa" w:w="3324"/>
            <w:vAlign w:val="center"/>
          </w:tcPr>
          <w:p>
            <w:r/>
            <w:r>
              <w:rPr>
                <w:rFonts w:ascii="Arial" w:hAnsi="Arial"/>
                <w:b w:val="0"/>
                <w:sz w:val="18"/>
              </w:rPr>
              <w:t>FR-10</w:t>
            </w:r>
          </w:p>
        </w:tc>
        <w:tc>
          <w:tcPr>
            <w:tcW w:type="dxa" w:w="3324"/>
            <w:vAlign w:val="center"/>
          </w:tcPr>
          <w:p>
            <w:r/>
            <w:r>
              <w:rPr>
                <w:rFonts w:ascii="Arial" w:hAnsi="Arial"/>
                <w:b w:val="0"/>
                <w:sz w:val="18"/>
              </w:rPr>
              <w:t>COD Settlement</w:t>
            </w:r>
          </w:p>
        </w:tc>
        <w:tc>
          <w:tcPr>
            <w:tcW w:type="dxa" w:w="3324"/>
            <w:vAlign w:val="center"/>
          </w:tcPr>
          <w:p>
            <w:r/>
            <w:r>
              <w:rPr>
                <w:rFonts w:ascii="Arial" w:hAnsi="Arial"/>
                <w:b w:val="0"/>
                <w:sz w:val="18"/>
              </w:rPr>
              <w:t>Đối soát COD và chuyển tiền trong tối đa 24 giờ khi hợp lệ.</w:t>
            </w:r>
          </w:p>
        </w:tc>
      </w:tr>
      <w:tr>
        <w:tc>
          <w:tcPr>
            <w:tcW w:type="dxa" w:w="3324"/>
            <w:vAlign w:val="center"/>
          </w:tcPr>
          <w:p>
            <w:r/>
            <w:r>
              <w:rPr>
                <w:rFonts w:ascii="Arial" w:hAnsi="Arial"/>
                <w:b w:val="0"/>
                <w:sz w:val="18"/>
              </w:rPr>
              <w:t>FR-11</w:t>
            </w:r>
          </w:p>
        </w:tc>
        <w:tc>
          <w:tcPr>
            <w:tcW w:type="dxa" w:w="3324"/>
            <w:vAlign w:val="center"/>
          </w:tcPr>
          <w:p>
            <w:r/>
            <w:r>
              <w:rPr>
                <w:rFonts w:ascii="Arial" w:hAnsi="Arial"/>
                <w:b w:val="0"/>
                <w:sz w:val="18"/>
              </w:rPr>
              <w:t>Ngoại lệ COD</w:t>
            </w:r>
          </w:p>
        </w:tc>
        <w:tc>
          <w:tcPr>
            <w:tcW w:type="dxa" w:w="3324"/>
            <w:vAlign w:val="center"/>
          </w:tcPr>
          <w:p>
            <w:r/>
            <w:r>
              <w:rPr>
                <w:rFonts w:ascii="Arial" w:hAnsi="Arial"/>
                <w:b w:val="0"/>
                <w:sz w:val="18"/>
              </w:rPr>
              <w:t>Ví bị khóa/sai thông tin → NEEDS_REVIEW.</w:t>
            </w:r>
          </w:p>
        </w:tc>
      </w:tr>
      <w:tr>
        <w:tc>
          <w:tcPr>
            <w:tcW w:type="dxa" w:w="3324"/>
            <w:vAlign w:val="center"/>
          </w:tcPr>
          <w:p>
            <w:r/>
            <w:r>
              <w:rPr>
                <w:rFonts w:ascii="Arial" w:hAnsi="Arial"/>
                <w:b w:val="0"/>
                <w:sz w:val="18"/>
              </w:rPr>
              <w:t>FR-12</w:t>
            </w:r>
          </w:p>
        </w:tc>
        <w:tc>
          <w:tcPr>
            <w:tcW w:type="dxa" w:w="3324"/>
            <w:vAlign w:val="center"/>
          </w:tcPr>
          <w:p>
            <w:r/>
            <w:r>
              <w:rPr>
                <w:rFonts w:ascii="Arial" w:hAnsi="Arial"/>
                <w:b w:val="0"/>
                <w:sz w:val="18"/>
              </w:rPr>
              <w:t>Reconciliation</w:t>
            </w:r>
          </w:p>
        </w:tc>
        <w:tc>
          <w:tcPr>
            <w:tcW w:type="dxa" w:w="3324"/>
            <w:vAlign w:val="center"/>
          </w:tcPr>
          <w:p>
            <w:r/>
            <w:r>
              <w:rPr>
                <w:rFonts w:ascii="Arial" w:hAnsi="Arial"/>
                <w:b w:val="0"/>
                <w:sz w:val="18"/>
              </w:rPr>
              <w:t>Hỗ trợ xử lý giao dịch không xác định/chênh lệch.</w:t>
            </w:r>
          </w:p>
        </w:tc>
      </w:tr>
    </w:tbl>
    <w:p/>
    <w:p>
      <w:pPr>
        <w:pStyle w:val="Heading1"/>
      </w:pPr>
      <w:r>
        <w:t>7. SRS – Mục 3.4: Yêu cầu phi chức năng và bảo mật</w:t>
      </w:r>
    </w:p>
    <w:p>
      <w:pPr>
        <w:pStyle w:val="Heading2"/>
      </w:pPr>
      <w:r>
        <w:t>7.1 Hiệu năng</w:t>
      </w:r>
    </w:p>
    <w:p>
      <w:r>
        <w:t>Hỗ trợ trên 200.000 giao dịch/ngày; webhook được tiếp nhận và đưa vào Queue; Consumer có thể scale ngang.</w:t>
      </w:r>
    </w:p>
    <w:p>
      <w:pPr>
        <w:pStyle w:val="Heading2"/>
      </w:pPr>
      <w:r>
        <w:t>7.2 Độ tin cậy</w:t>
      </w:r>
    </w:p>
    <w:p>
      <w:r>
        <w:t>Message không mất khi Consumer unavailable; retry có backoff; lỗi nhiều lần đưa vào DLQ/trạng thái chờ xử lý.</w:t>
      </w:r>
    </w:p>
    <w:p>
      <w:pPr>
        <w:pStyle w:val="Heading2"/>
      </w:pPr>
      <w:r>
        <w:t>7.3 Tính nhất quán tài chính</w:t>
      </w:r>
    </w:p>
    <w:p>
      <w:r>
        <w:t>Validate → Idempotency Check → Debit/Record → Commit → Update Order. Rollback thì không được coi là PAID.</w:t>
      </w:r>
    </w:p>
    <w:p>
      <w:pPr>
        <w:pStyle w:val="Heading2"/>
      </w:pPr>
      <w:r>
        <w:t>7.4 API Key</w:t>
      </w:r>
    </w:p>
    <w:p>
      <w:r>
        <w:t>Dùng cho server-to-server; không hard-code; lưu trong Secret Manager/biến môi trường; không log đầy đủ.</w:t>
      </w:r>
    </w:p>
    <w:p>
      <w:pPr>
        <w:pStyle w:val="Heading2"/>
      </w:pPr>
      <w:r>
        <w:t>7.5 HMAC-SHA256</w:t>
      </w:r>
    </w:p>
    <w:p>
      <w:r>
        <w:t>Tính lại HMAC từ canonical payload bằng secret. Khớp → tiếp tục; không khớp → reject, không gạch nợ, không PAID và ghi AuditLog.</w:t>
      </w:r>
    </w:p>
    <w:p>
      <w:pPr>
        <w:pStyle w:val="Heading2"/>
      </w:pPr>
      <w:r>
        <w:t>7.6 Audit Trail</w:t>
      </w:r>
    </w:p>
    <w:p>
      <w:r>
        <w:t>Lưu event_id, transaction_id, source, event_type, trạng thái cũ/mới, timestamp, result, request_id và error_code khi cần.</w:t>
      </w:r>
    </w:p>
    <w:p>
      <w:pPr>
        <w:pStyle w:val="Heading1"/>
      </w:pPr>
      <w:r>
        <w:t>8. Bốn bảng dữ liệu cần thiết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Arial" w:hAnsi="Arial"/>
                <w:b/>
                <w:sz w:val="18"/>
              </w:rPr>
              <w:t>Bảng</w:t>
            </w:r>
          </w:p>
        </w:tc>
        <w:tc>
          <w:tcPr>
            <w:tcW w:type="dxa" w:w="3324"/>
            <w:vAlign w:val="center"/>
            <w:shd w:fill="D9EAF7"/>
          </w:tcPr>
          <w:p>
            <w:r/>
            <w:r>
              <w:rPr>
                <w:rFonts w:ascii="Arial" w:hAnsi="Arial"/>
                <w:b/>
                <w:sz w:val="18"/>
              </w:rPr>
              <w:t>Mục đích</w:t>
            </w:r>
          </w:p>
        </w:tc>
        <w:tc>
          <w:tcPr>
            <w:tcW w:type="dxa" w:w="3324"/>
            <w:vAlign w:val="center"/>
            <w:shd w:fill="D9EAF7"/>
          </w:tcPr>
          <w:p>
            <w:r/>
            <w:r>
              <w:rPr>
                <w:rFonts w:ascii="Arial" w:hAnsi="Arial"/>
                <w:b/>
                <w:sz w:val="18"/>
              </w:rPr>
              <w:t>Thuộc tính gợi ý</w:t>
            </w:r>
          </w:p>
        </w:tc>
      </w:tr>
      <w:tr>
        <w:tc>
          <w:tcPr>
            <w:tcW w:type="dxa" w:w="3324"/>
            <w:vAlign w:val="center"/>
          </w:tcPr>
          <w:p>
            <w:r/>
            <w:r>
              <w:rPr>
                <w:rFonts w:ascii="Arial" w:hAnsi="Arial"/>
                <w:b w:val="0"/>
                <w:sz w:val="18"/>
              </w:rPr>
              <w:t>Shipment</w:t>
            </w:r>
          </w:p>
        </w:tc>
        <w:tc>
          <w:tcPr>
            <w:tcW w:type="dxa" w:w="3324"/>
            <w:vAlign w:val="center"/>
          </w:tcPr>
          <w:p>
            <w:r/>
            <w:r>
              <w:rPr>
                <w:rFonts w:ascii="Arial" w:hAnsi="Arial"/>
                <w:b w:val="0"/>
                <w:sz w:val="18"/>
              </w:rPr>
              <w:t>Vận đơn</w:t>
            </w:r>
          </w:p>
        </w:tc>
        <w:tc>
          <w:tcPr>
            <w:tcW w:type="dxa" w:w="3324"/>
            <w:vAlign w:val="center"/>
          </w:tcPr>
          <w:p>
            <w:r/>
            <w:r>
              <w:rPr>
                <w:rFonts w:ascii="Arial" w:hAnsi="Arial"/>
                <w:b w:val="0"/>
                <w:sz w:val="18"/>
              </w:rPr>
              <w:t>shipment_id, sender_id, receiver_id, shipping_fee, cod_amount, status</w:t>
            </w:r>
          </w:p>
        </w:tc>
      </w:tr>
      <w:tr>
        <w:tc>
          <w:tcPr>
            <w:tcW w:type="dxa" w:w="3324"/>
            <w:vAlign w:val="center"/>
          </w:tcPr>
          <w:p>
            <w:r/>
            <w:r>
              <w:rPr>
                <w:rFonts w:ascii="Arial" w:hAnsi="Arial"/>
                <w:b w:val="0"/>
                <w:sz w:val="18"/>
              </w:rPr>
              <w:t>PaymentTransaction</w:t>
            </w:r>
          </w:p>
        </w:tc>
        <w:tc>
          <w:tcPr>
            <w:tcW w:type="dxa" w:w="3324"/>
            <w:vAlign w:val="center"/>
          </w:tcPr>
          <w:p>
            <w:r/>
            <w:r>
              <w:rPr>
                <w:rFonts w:ascii="Arial" w:hAnsi="Arial"/>
                <w:b w:val="0"/>
                <w:sz w:val="18"/>
              </w:rPr>
              <w:t>Giao dịch thanh toán cước</w:t>
            </w:r>
          </w:p>
        </w:tc>
        <w:tc>
          <w:tcPr>
            <w:tcW w:type="dxa" w:w="3324"/>
            <w:vAlign w:val="center"/>
          </w:tcPr>
          <w:p>
            <w:r/>
            <w:r>
              <w:rPr>
                <w:rFonts w:ascii="Arial" w:hAnsi="Arial"/>
                <w:b w:val="0"/>
                <w:sz w:val="18"/>
              </w:rPr>
              <w:t>payment_transaction_id, shipment_id, gateway_transaction_id, idempotency_key, amount, status</w:t>
            </w:r>
          </w:p>
        </w:tc>
      </w:tr>
      <w:tr>
        <w:tc>
          <w:tcPr>
            <w:tcW w:type="dxa" w:w="3324"/>
            <w:vAlign w:val="center"/>
          </w:tcPr>
          <w:p>
            <w:r/>
            <w:r>
              <w:rPr>
                <w:rFonts w:ascii="Arial" w:hAnsi="Arial"/>
                <w:b w:val="0"/>
                <w:sz w:val="18"/>
              </w:rPr>
              <w:t>CODSettlement</w:t>
            </w:r>
          </w:p>
        </w:tc>
        <w:tc>
          <w:tcPr>
            <w:tcW w:type="dxa" w:w="3324"/>
            <w:vAlign w:val="center"/>
          </w:tcPr>
          <w:p>
            <w:r/>
            <w:r>
              <w:rPr>
                <w:rFonts w:ascii="Arial" w:hAnsi="Arial"/>
                <w:b w:val="0"/>
                <w:sz w:val="18"/>
              </w:rPr>
              <w:t>Đối soát/chuyển COD</w:t>
            </w:r>
          </w:p>
        </w:tc>
        <w:tc>
          <w:tcPr>
            <w:tcW w:type="dxa" w:w="3324"/>
            <w:vAlign w:val="center"/>
          </w:tcPr>
          <w:p>
            <w:r/>
            <w:r>
              <w:rPr>
                <w:rFonts w:ascii="Arial" w:hAnsi="Arial"/>
                <w:b w:val="0"/>
                <w:sz w:val="18"/>
              </w:rPr>
              <w:t>settlement_id, shipment_id, cod_amount, recipient_wallet_id, status, failure_reason</w:t>
            </w:r>
          </w:p>
        </w:tc>
      </w:tr>
      <w:tr>
        <w:tc>
          <w:tcPr>
            <w:tcW w:type="dxa" w:w="3324"/>
            <w:vAlign w:val="center"/>
          </w:tcPr>
          <w:p>
            <w:r/>
            <w:r>
              <w:rPr>
                <w:rFonts w:ascii="Arial" w:hAnsi="Arial"/>
                <w:b w:val="0"/>
                <w:sz w:val="18"/>
              </w:rPr>
              <w:t>AuditLog</w:t>
            </w:r>
          </w:p>
        </w:tc>
        <w:tc>
          <w:tcPr>
            <w:tcW w:type="dxa" w:w="3324"/>
            <w:vAlign w:val="center"/>
          </w:tcPr>
          <w:p>
            <w:r/>
            <w:r>
              <w:rPr>
                <w:rFonts w:ascii="Arial" w:hAnsi="Arial"/>
                <w:b w:val="0"/>
                <w:sz w:val="18"/>
              </w:rPr>
              <w:t>Dấu vết kiểm toán</w:t>
            </w:r>
          </w:p>
        </w:tc>
        <w:tc>
          <w:tcPr>
            <w:tcW w:type="dxa" w:w="3324"/>
            <w:vAlign w:val="center"/>
          </w:tcPr>
          <w:p>
            <w:r/>
            <w:r>
              <w:rPr>
                <w:rFonts w:ascii="Arial" w:hAnsi="Arial"/>
                <w:b w:val="0"/>
                <w:sz w:val="18"/>
              </w:rPr>
              <w:t>audit_id, transaction_id, event_type, actor/source, old_status, new_status, result, request_id</w:t>
            </w:r>
          </w:p>
        </w:tc>
      </w:tr>
    </w:tbl>
    <w:p/>
    <w:p>
      <w:pPr>
        <w:pStyle w:val="Heading1"/>
      </w:pPr>
      <w:r>
        <w:t>9. Quy tắc trạng thái</w:t>
      </w:r>
    </w:p>
    <w:p>
      <w:r>
        <w:t>PaymentTransaction: PENDING → VERIFIED → PAID; nhánh lỗi có thể là FAILED hoặc NEEDS_REVIEW. Không cho phép UNVERIFIED → PAID.</w:t>
      </w:r>
    </w:p>
    <w:p>
      <w:r>
        <w:t>CODSettlement: PENDING → RECONCILED → TRANSFERRED; tài khoản nhận bị khóa/sai thông tin → NEEDS_REVIEW.</w:t>
      </w:r>
    </w:p>
    <w:p>
      <w:pPr>
        <w:pStyle w:val="Heading1"/>
      </w:pPr>
      <w:r>
        <w:t>10. Tiêu chí nghiệm thu</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Arial" w:hAnsi="Arial"/>
                <w:b/>
                <w:sz w:val="18"/>
              </w:rPr>
              <w:t>ID</w:t>
            </w:r>
          </w:p>
        </w:tc>
        <w:tc>
          <w:tcPr>
            <w:tcW w:type="dxa" w:w="4986"/>
            <w:vAlign w:val="center"/>
            <w:shd w:fill="D9EAF7"/>
          </w:tcPr>
          <w:p>
            <w:r/>
            <w:r>
              <w:rPr>
                <w:rFonts w:ascii="Arial" w:hAnsi="Arial"/>
                <w:b/>
                <w:sz w:val="18"/>
              </w:rPr>
              <w:t>Tiêu chí nghiệm thu</w:t>
            </w:r>
          </w:p>
        </w:tc>
      </w:tr>
      <w:tr>
        <w:tc>
          <w:tcPr>
            <w:tcW w:type="dxa" w:w="4986"/>
            <w:vAlign w:val="center"/>
          </w:tcPr>
          <w:p>
            <w:r/>
            <w:r>
              <w:rPr>
                <w:rFonts w:ascii="Arial" w:hAnsi="Arial"/>
                <w:b w:val="0"/>
                <w:sz w:val="18"/>
              </w:rPr>
              <w:t>AC-01</w:t>
            </w:r>
          </w:p>
        </w:tc>
        <w:tc>
          <w:tcPr>
            <w:tcW w:type="dxa" w:w="4986"/>
            <w:vAlign w:val="center"/>
          </w:tcPr>
          <w:p>
            <w:r/>
            <w:r>
              <w:rPr>
                <w:rFonts w:ascii="Arial" w:hAnsi="Arial"/>
                <w:b w:val="0"/>
                <w:sz w:val="18"/>
              </w:rPr>
              <w:t>HMAC sai không thể chuyển giao dịch sang PAID.</w:t>
            </w:r>
          </w:p>
        </w:tc>
      </w:tr>
      <w:tr>
        <w:tc>
          <w:tcPr>
            <w:tcW w:type="dxa" w:w="4986"/>
            <w:vAlign w:val="center"/>
          </w:tcPr>
          <w:p>
            <w:r/>
            <w:r>
              <w:rPr>
                <w:rFonts w:ascii="Arial" w:hAnsi="Arial"/>
                <w:b w:val="0"/>
                <w:sz w:val="18"/>
              </w:rPr>
              <w:t>AC-02</w:t>
            </w:r>
          </w:p>
        </w:tc>
        <w:tc>
          <w:tcPr>
            <w:tcW w:type="dxa" w:w="4986"/>
            <w:vAlign w:val="center"/>
          </w:tcPr>
          <w:p>
            <w:r/>
            <w:r>
              <w:rPr>
                <w:rFonts w:ascii="Arial" w:hAnsi="Arial"/>
                <w:b w:val="0"/>
                <w:sz w:val="18"/>
              </w:rPr>
              <w:t>Webhook trùng không tạo thêm lần gạch nợ.</w:t>
            </w:r>
          </w:p>
        </w:tc>
      </w:tr>
      <w:tr>
        <w:tc>
          <w:tcPr>
            <w:tcW w:type="dxa" w:w="4986"/>
            <w:vAlign w:val="center"/>
          </w:tcPr>
          <w:p>
            <w:r/>
            <w:r>
              <w:rPr>
                <w:rFonts w:ascii="Arial" w:hAnsi="Arial"/>
                <w:b w:val="0"/>
                <w:sz w:val="18"/>
              </w:rPr>
              <w:t>AC-03</w:t>
            </w:r>
          </w:p>
        </w:tc>
        <w:tc>
          <w:tcPr>
            <w:tcW w:type="dxa" w:w="4986"/>
            <w:vAlign w:val="center"/>
          </w:tcPr>
          <w:p>
            <w:r/>
            <w:r>
              <w:rPr>
                <w:rFonts w:ascii="Arial" w:hAnsi="Arial"/>
                <w:b w:val="0"/>
                <w:sz w:val="18"/>
              </w:rPr>
              <w:t>Timeout không làm mất khả năng nhận và xử lý lại webhook.</w:t>
            </w:r>
          </w:p>
        </w:tc>
      </w:tr>
      <w:tr>
        <w:tc>
          <w:tcPr>
            <w:tcW w:type="dxa" w:w="4986"/>
            <w:vAlign w:val="center"/>
          </w:tcPr>
          <w:p>
            <w:r/>
            <w:r>
              <w:rPr>
                <w:rFonts w:ascii="Arial" w:hAnsi="Arial"/>
                <w:b w:val="0"/>
                <w:sz w:val="18"/>
              </w:rPr>
              <w:t>AC-04</w:t>
            </w:r>
          </w:p>
        </w:tc>
        <w:tc>
          <w:tcPr>
            <w:tcW w:type="dxa" w:w="4986"/>
            <w:vAlign w:val="center"/>
          </w:tcPr>
          <w:p>
            <w:r/>
            <w:r>
              <w:rPr>
                <w:rFonts w:ascii="Arial" w:hAnsi="Arial"/>
                <w:b w:val="0"/>
                <w:sz w:val="18"/>
              </w:rPr>
              <w:t>Rollback thì trạng thái tài chính không được ghi nhận thành công.</w:t>
            </w:r>
          </w:p>
        </w:tc>
      </w:tr>
      <w:tr>
        <w:tc>
          <w:tcPr>
            <w:tcW w:type="dxa" w:w="4986"/>
            <w:vAlign w:val="center"/>
          </w:tcPr>
          <w:p>
            <w:r/>
            <w:r>
              <w:rPr>
                <w:rFonts w:ascii="Arial" w:hAnsi="Arial"/>
                <w:b w:val="0"/>
                <w:sz w:val="18"/>
              </w:rPr>
              <w:t>AC-05</w:t>
            </w:r>
          </w:p>
        </w:tc>
        <w:tc>
          <w:tcPr>
            <w:tcW w:type="dxa" w:w="4986"/>
            <w:vAlign w:val="center"/>
          </w:tcPr>
          <w:p>
            <w:r/>
            <w:r>
              <w:rPr>
                <w:rFonts w:ascii="Arial" w:hAnsi="Arial"/>
                <w:b w:val="0"/>
                <w:sz w:val="18"/>
              </w:rPr>
              <w:t>Debit commit thành công thì Order/Shipment được cập nhật PAID.</w:t>
            </w:r>
          </w:p>
        </w:tc>
      </w:tr>
      <w:tr>
        <w:tc>
          <w:tcPr>
            <w:tcW w:type="dxa" w:w="4986"/>
            <w:vAlign w:val="center"/>
          </w:tcPr>
          <w:p>
            <w:r/>
            <w:r>
              <w:rPr>
                <w:rFonts w:ascii="Arial" w:hAnsi="Arial"/>
                <w:b w:val="0"/>
                <w:sz w:val="18"/>
              </w:rPr>
              <w:t>AC-06</w:t>
            </w:r>
          </w:p>
        </w:tc>
        <w:tc>
          <w:tcPr>
            <w:tcW w:type="dxa" w:w="4986"/>
            <w:vAlign w:val="center"/>
          </w:tcPr>
          <w:p>
            <w:r/>
            <w:r>
              <w:rPr>
                <w:rFonts w:ascii="Arial" w:hAnsi="Arial"/>
                <w:b w:val="0"/>
                <w:sz w:val="18"/>
              </w:rPr>
              <w:t>Ví COD bị khóa → NEEDS_REVIEW, không chuyển tiền tự động.</w:t>
            </w:r>
          </w:p>
        </w:tc>
      </w:tr>
      <w:tr>
        <w:tc>
          <w:tcPr>
            <w:tcW w:type="dxa" w:w="4986"/>
            <w:vAlign w:val="center"/>
          </w:tcPr>
          <w:p>
            <w:r/>
            <w:r>
              <w:rPr>
                <w:rFonts w:ascii="Arial" w:hAnsi="Arial"/>
                <w:b w:val="0"/>
                <w:sz w:val="18"/>
              </w:rPr>
              <w:t>AC-07</w:t>
            </w:r>
          </w:p>
        </w:tc>
        <w:tc>
          <w:tcPr>
            <w:tcW w:type="dxa" w:w="4986"/>
            <w:vAlign w:val="center"/>
          </w:tcPr>
          <w:p>
            <w:r/>
            <w:r>
              <w:rPr>
                <w:rFonts w:ascii="Arial" w:hAnsi="Arial"/>
                <w:b w:val="0"/>
                <w:sz w:val="18"/>
              </w:rPr>
              <w:t>Sự kiện tài chính quan trọng có AuditLog.</w:t>
            </w:r>
          </w:p>
        </w:tc>
      </w:tr>
      <w:tr>
        <w:tc>
          <w:tcPr>
            <w:tcW w:type="dxa" w:w="4986"/>
            <w:vAlign w:val="center"/>
          </w:tcPr>
          <w:p>
            <w:r/>
            <w:r>
              <w:rPr>
                <w:rFonts w:ascii="Arial" w:hAnsi="Arial"/>
                <w:b w:val="0"/>
                <w:sz w:val="18"/>
              </w:rPr>
              <w:t>AC-08</w:t>
            </w:r>
          </w:p>
        </w:tc>
        <w:tc>
          <w:tcPr>
            <w:tcW w:type="dxa" w:w="4986"/>
            <w:vAlign w:val="center"/>
          </w:tcPr>
          <w:p>
            <w:r/>
            <w:r>
              <w:rPr>
                <w:rFonts w:ascii="Arial" w:hAnsi="Arial"/>
                <w:b w:val="0"/>
                <w:sz w:val="18"/>
              </w:rPr>
              <w:t>Có thể truy vết bằng transaction_id/request_id.</w:t>
            </w:r>
          </w:p>
        </w:tc>
      </w:tr>
    </w:tbl>
    <w:p/>
    <w:p>
      <w:pPr>
        <w:pStyle w:val="Heading1"/>
      </w:pPr>
      <w:r>
        <w:t>11. Kết luận</w:t>
      </w:r>
    </w:p>
    <w:p>
      <w:r>
        <w:t>Async Webhook/Queue phù hợp với bài toán nhờ khả năng tách tiếp nhận sự kiện khỏi xử lý nghiệp vụ, hỗ trợ retry và scale consumer. Độ tin cậy tài chính phải được xây dựng bằng tổ hợp HMAC-SHA256 + Idempotency + ACID Transaction + Audit Trail + Retry/DLQ + Reconciliation, thay vì chỉ dựa vào Queue.</w:t>
      </w:r>
    </w:p>
    <w:p/>
    <w:p>
      <w:r>
        <w:rPr>
          <w:b/>
        </w:rPr>
        <w:t xml:space="preserve">Tệp kèm theo: </w:t>
      </w:r>
      <w:r>
        <w:t>RikkeiLogistics_Sequence_Thanh_toan_COD.drawio – mở trực tiếp bằng draw.io/diagrams.net để chỉnh sửa.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