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ind w:hanging="0"/>
        <w:jc w:val="center"/>
        <w:rPr/>
      </w:pPr>
      <w:r>
        <w:rPr>
          <w:rFonts w:eastAsia="Times New Roman" w:cs="Times New Roman"/>
          <w:b/>
          <w:sz w:val="30"/>
        </w:rPr>
        <w:t>ĐẠI HỌC QUỐC GIA TP. HỒ CHÍ MINH</w:t>
      </w:r>
    </w:p>
    <w:p>
      <w:pPr>
        <w:pStyle w:val="Normal"/>
        <w:spacing w:lineRule="auto" w:line="360" w:before="0" w:after="120"/>
        <w:ind w:hanging="0"/>
        <w:jc w:val="center"/>
        <w:rPr/>
      </w:pPr>
      <w:r>
        <w:rPr>
          <w:rFonts w:eastAsia="Times New Roman" w:cs="Times New Roman"/>
          <w:b/>
          <w:sz w:val="32"/>
        </w:rPr>
        <w:t>TRƯỜNG ĐẠI HỌC CÔNG NGHỆ THÔNG TIN</w:t>
      </w:r>
    </w:p>
    <w:p>
      <w:pPr>
        <w:pStyle w:val="Normal"/>
        <w:spacing w:lineRule="auto" w:line="360" w:before="0" w:after="120"/>
        <w:ind w:hanging="0"/>
        <w:jc w:val="center"/>
        <w:rPr/>
      </w:pPr>
      <w:r>
        <w:rPr>
          <w:rFonts w:eastAsia="Times New Roman" w:cs="Times New Roman"/>
          <w:b/>
          <w:sz w:val="32"/>
        </w:rPr>
        <w:t>KHOA KHOA HỌC MÁY TÍNH</w:t>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28"/>
        </w:rPr>
        <w:t>NGUYỄN PHƯỚC THỌ</w:t>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32"/>
        </w:rPr>
        <w:t>ĐỒ ÁN TỐT NGHIỆP</w:t>
      </w:r>
    </w:p>
    <w:p>
      <w:pPr>
        <w:pStyle w:val="Normal"/>
        <w:spacing w:lineRule="auto" w:line="360" w:before="0" w:after="120"/>
        <w:ind w:hanging="0"/>
        <w:jc w:val="center"/>
        <w:rPr/>
      </w:pPr>
      <w:r>
        <w:rPr>
          <w:rFonts w:eastAsia="Times New Roman" w:cs="Times New Roman"/>
          <w:b/>
          <w:sz w:val="36"/>
        </w:rPr>
        <w:t>Xây dựng hệ thống dự báo xu hướng biến động giá cổ phiếu dựa trên phân tích cảm xúc tin tức tài chính bằng mô hình Transformer và chuỗi thời gian</w:t>
      </w:r>
    </w:p>
    <w:p>
      <w:pPr>
        <w:pStyle w:val="Normal"/>
        <w:spacing w:lineRule="auto" w:line="360" w:before="0" w:after="120"/>
        <w:ind w:hanging="0"/>
        <w:jc w:val="center"/>
        <w:rPr/>
      </w:pPr>
      <w:r>
        <w:rPr>
          <w:rFonts w:eastAsia="Times New Roman" w:cs="Times New Roman"/>
          <w:b/>
          <w:sz w:val="32"/>
        </w:rPr>
        <w:t>Building a stock price movement forecasting system based on financial news sentiment analysis using Transformer and time-series models</w:t>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28"/>
        </w:rPr>
        <w:t>CỬ NHÂN NGÀNH TRÍ TUỆ NHÂN TẠO</w:t>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132" w:gutter="0" w:header="708" w:top="1135" w:footer="708" w:bottom="851"/>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100" w:charSpace="0"/>
        </w:sectPr>
      </w:pPr>
      <w:r>
        <w:rPr>
          <w:rFonts w:eastAsia="Times New Roman" w:cs="Times New Roman"/>
          <w:b/>
          <w:sz w:val="26"/>
        </w:rPr>
        <w:t>TP. HỒ CHÍ MINH, 2026</w:t>
      </w:r>
    </w:p>
    <w:p>
      <w:pPr>
        <w:pStyle w:val="Normal"/>
        <w:spacing w:lineRule="auto" w:line="360" w:before="0" w:after="120"/>
        <w:ind w:hanging="0"/>
        <w:jc w:val="center"/>
        <w:rPr/>
      </w:pPr>
      <w:r>
        <w:rPr>
          <w:rFonts w:eastAsia="Times New Roman" w:cs="Times New Roman"/>
          <w:b/>
          <w:sz w:val="28"/>
        </w:rPr>
        <w:t>ĐẠI HỌC QUỐC GIA TP. HỒ CHÍ MINH</w:t>
      </w:r>
    </w:p>
    <w:p>
      <w:pPr>
        <w:pStyle w:val="Normal"/>
        <w:spacing w:lineRule="auto" w:line="360" w:before="0" w:after="120"/>
        <w:ind w:hanging="0"/>
        <w:jc w:val="center"/>
        <w:rPr/>
      </w:pPr>
      <w:r>
        <w:rPr>
          <w:rFonts w:eastAsia="Times New Roman" w:cs="Times New Roman"/>
          <w:b/>
          <w:sz w:val="32"/>
        </w:rPr>
        <w:t>TRƯỜNG ĐẠI HỌC CÔNG NGHỆ THÔNG TIN</w:t>
      </w:r>
    </w:p>
    <w:p>
      <w:pPr>
        <w:pStyle w:val="Normal"/>
        <w:spacing w:lineRule="auto" w:line="360" w:before="0" w:after="120"/>
        <w:ind w:hanging="0"/>
        <w:jc w:val="center"/>
        <w:rPr/>
      </w:pPr>
      <w:r>
        <w:rPr>
          <w:rFonts w:eastAsia="Times New Roman" w:cs="Times New Roman"/>
          <w:b/>
          <w:sz w:val="32"/>
        </w:rPr>
        <w:t>KHOA KHOA HỌC MÁY TÍNH</w:t>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28"/>
        </w:rPr>
        <w:t>NGUYỄN PHƯỚC THỌ – 25410139</w:t>
      </w:r>
    </w:p>
    <w:p>
      <w:pPr>
        <w:pStyle w:val="Normal"/>
        <w:spacing w:lineRule="auto" w:line="360" w:before="0" w:after="120"/>
        <w:ind w:hanging="0"/>
        <w:jc w:val="center"/>
        <w:rPr/>
      </w:pPr>
      <w:r>
        <w:rPr/>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32"/>
        </w:rPr>
        <w:t>ĐỒ ÁN TỐT NGHIỆP</w:t>
      </w:r>
    </w:p>
    <w:p>
      <w:pPr>
        <w:pStyle w:val="Normal"/>
        <w:spacing w:lineRule="auto" w:line="360" w:before="0" w:after="120"/>
        <w:ind w:hanging="0"/>
        <w:jc w:val="center"/>
        <w:rPr/>
      </w:pPr>
      <w:r>
        <w:rPr>
          <w:rFonts w:eastAsia="Times New Roman" w:cs="Times New Roman"/>
          <w:b/>
          <w:sz w:val="36"/>
        </w:rPr>
        <w:t>Xây dựng hệ thống dự báo xu hướng biến động giá cổ phiếu dựa trên phân tích cảm xúc tin tức tài chính bằng mô hình Transformer và chuỗi thời gian</w:t>
      </w:r>
    </w:p>
    <w:p>
      <w:pPr>
        <w:pStyle w:val="Normal"/>
        <w:spacing w:lineRule="auto" w:line="360" w:before="0" w:after="120"/>
        <w:ind w:hanging="0"/>
        <w:jc w:val="center"/>
        <w:rPr/>
      </w:pPr>
      <w:r>
        <w:rPr>
          <w:rFonts w:eastAsia="Times New Roman" w:cs="Times New Roman"/>
          <w:b/>
          <w:sz w:val="32"/>
        </w:rPr>
        <w:t>Building a stock price movement forecasting system based on financial news sentiment analysis using Transformer and time-series models</w:t>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28"/>
        </w:rPr>
        <w:t>CỬ NHÂN NGÀNH TRÍ TUỆ NHÂN TẠO</w:t>
      </w:r>
    </w:p>
    <w:p>
      <w:pPr>
        <w:pStyle w:val="Normal"/>
        <w:spacing w:lineRule="auto" w:line="360" w:before="0" w:after="120"/>
        <w:ind w:hanging="0"/>
        <w:jc w:val="center"/>
        <w:rPr/>
      </w:pPr>
      <w:r>
        <w:rPr/>
      </w:r>
    </w:p>
    <w:p>
      <w:pPr>
        <w:pStyle w:val="Normal"/>
        <w:spacing w:lineRule="auto" w:line="360" w:before="0" w:after="120"/>
        <w:ind w:hanging="0"/>
        <w:jc w:val="center"/>
        <w:rPr/>
      </w:pPr>
      <w:r>
        <w:rPr>
          <w:rFonts w:eastAsia="Times New Roman" w:cs="Times New Roman"/>
          <w:b/>
          <w:sz w:val="28"/>
        </w:rPr>
        <w:t>GIẢNG VIÊN HƯỚNG DẪN</w:t>
      </w:r>
    </w:p>
    <w:p>
      <w:pPr>
        <w:pStyle w:val="Normal"/>
        <w:spacing w:lineRule="auto" w:line="360" w:before="0" w:after="120"/>
        <w:ind w:hanging="0"/>
        <w:jc w:val="center"/>
        <w:rPr/>
      </w:pPr>
      <w:r>
        <w:rPr>
          <w:rFonts w:eastAsia="Times New Roman" w:cs="Times New Roman"/>
          <w:b/>
          <w:sz w:val="28"/>
        </w:rPr>
        <w:t>TS. Đặng Văn Thìn</w:t>
      </w:r>
    </w:p>
    <w:p>
      <w:pPr>
        <w:pStyle w:val="Normal"/>
        <w:spacing w:lineRule="auto" w:line="360" w:before="0" w:after="120"/>
        <w:ind w:hanging="0"/>
        <w:jc w:val="center"/>
        <w:rPr/>
      </w:pPr>
      <w:r>
        <w:rPr/>
      </w:r>
    </w:p>
    <w:p>
      <w:pPr>
        <w:pStyle w:val="Normal"/>
        <w:spacing w:lineRule="auto" w:line="360" w:before="0" w:after="120"/>
        <w:ind w:hanging="0"/>
        <w:jc w:val="center"/>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132" w:gutter="0" w:header="708" w:top="1135" w:footer="708" w:bottom="851"/>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100" w:charSpace="0"/>
        </w:sectPr>
      </w:pPr>
      <w:r>
        <w:rPr>
          <w:rFonts w:eastAsia="Times New Roman" w:cs="Times New Roman"/>
          <w:b/>
          <w:sz w:val="26"/>
        </w:rPr>
        <w:t>TP. HỒ CHÍ MINH, 2026</w:t>
      </w:r>
    </w:p>
    <w:p>
      <w:pPr>
        <w:pStyle w:val="Heading1"/>
        <w:rPr/>
      </w:pPr>
      <w:bookmarkStart w:id="0" w:name="__RefHeading___Toc10894_2435329662"/>
      <w:bookmarkEnd w:id="0"/>
      <w:r>
        <w:rPr>
          <w:rFonts w:eastAsia="Times New Roman" w:cs="Times New Roman" w:ascii="Times New Roman" w:hAnsi="Times New Roman"/>
        </w:rPr>
        <w:t>THÔNG TIN HỘI ĐỒNG CHẤM ĐỒ ÁN TỐT NGHIỆP</w:t>
      </w:r>
    </w:p>
    <w:p>
      <w:pPr>
        <w:pStyle w:val="FirstParagraph"/>
        <w:rPr/>
      </w:pPr>
      <w:r>
        <w:rPr/>
        <w:t>Hội đồng chấm Đồ án tốt nghiệp, thành lập theo Quyết định số ……………………………… ngày ……………………………… của Hiệu trưởng Trường Đại học Công nghệ Thông tin.</w:t>
      </w:r>
    </w:p>
    <w:p>
      <w:pPr>
        <w:pStyle w:val="Normal"/>
        <w:numPr>
          <w:ilvl w:val="0"/>
          <w:numId w:val="12"/>
        </w:numPr>
        <w:rPr/>
      </w:pPr>
      <w:r>
        <w:rPr/>
        <w:t>………………………………</w:t>
      </w:r>
      <w:r>
        <w:rPr/>
        <w:t>, Chủ tịch.</w:t>
      </w:r>
    </w:p>
    <w:p>
      <w:pPr>
        <w:pStyle w:val="Normal"/>
        <w:numPr>
          <w:ilvl w:val="0"/>
          <w:numId w:val="3"/>
        </w:numPr>
        <w:rPr/>
      </w:pPr>
      <w:r>
        <w:rPr/>
        <w:t>………………………………</w:t>
      </w:r>
      <w:r>
        <w:rPr/>
        <w:t>, Thư ký.</w:t>
      </w:r>
    </w:p>
    <w:p>
      <w:pPr>
        <w:pStyle w:val="Normal"/>
        <w:numPr>
          <w:ilvl w:val="0"/>
          <w:numId w:val="3"/>
        </w:numPr>
        <w:rPr/>
      </w:pPr>
      <w:r>
        <w:rPr/>
        <w:t>………………………………</w:t>
      </w:r>
      <w:r>
        <w:rPr/>
        <w:t>, Ủy viên.</w:t>
      </w:r>
    </w:p>
    <w:p>
      <w:pPr>
        <w:pStyle w:val="Heading1"/>
        <w:rPr/>
      </w:pPr>
      <w:bookmarkStart w:id="1" w:name="__RefHeading___Toc10896_2435329662"/>
      <w:bookmarkStart w:id="2" w:name="Bookmark"/>
      <w:bookmarkStart w:id="3" w:name="lời-cảm-ơn"/>
      <w:bookmarkEnd w:id="1"/>
      <w:r>
        <w:rPr>
          <w:rFonts w:eastAsia="Times New Roman" w:cs="Times New Roman" w:ascii="Times New Roman" w:hAnsi="Times New Roman"/>
        </w:rPr>
        <w:t>LỜI CẢM ƠN</w:t>
      </w:r>
    </w:p>
    <w:p>
      <w:pPr>
        <w:pStyle w:val="FirstParagraph"/>
        <w:rPr/>
      </w:pPr>
      <w:r>
        <w:rPr/>
        <w:t>Trong quá trình học tập tại Trường Đại học Công nghệ Thông tin và thực hiện đồ án tốt nghiệp, em đã nhận được sự hướng dẫn và hỗ trợ từ Nhà trường cùng quý thầy cô.</w:t>
      </w:r>
    </w:p>
    <w:p>
      <w:pPr>
        <w:pStyle w:val="BodyText"/>
        <w:rPr/>
      </w:pPr>
      <w:r>
        <w:rPr/>
        <w:t>Em xin chân thành cảm ơn Trường Đại học Công nghệ Thông tin, Khoa Khoa học Máy tính và quý thầy cô đã tạo điều kiện học tập, truyền đạt kiến thức và giúp em xây dựng nền tảng chuyên môn để thực hiện đề tài này.</w:t>
      </w:r>
    </w:p>
    <w:p>
      <w:pPr>
        <w:pStyle w:val="BodyText"/>
        <w:rPr/>
      </w:pPr>
      <w:r>
        <w:rPr/>
        <w:t>Em xin bày tỏ lòng biết ơn đến Tiến sĩ Đặng Văn Thìn, giảng viên trực tiếp hướng dẫn đồ án. Trong suốt quá trình thực hiện, thầy đã dành thời gian trao đổi, định hướng và góp ý cụ thể cho từng phần của đề tài. Những nhận xét của thầy giúp em nhận ra các thiếu sót, điều chỉnh phương pháp thực hiện và hoàn thiện báo cáo.</w:t>
      </w:r>
    </w:p>
    <w:p>
      <w:pPr>
        <w:pStyle w:val="BodyText"/>
        <w:rPr/>
      </w:pPr>
      <w:r>
        <w:rPr/>
        <w:t>Do kiến thức và kinh nghiệm nghiên cứu còn hạn chế, báo cáo khó tránh khỏi những thiếu sót. Em mong nhận được góp ý từ Nhà trường và giảng viên hướng dẫn để tiếp tục hoàn thiện kiến thức và rút kinh nghiệm cho các công việc sau này.</w:t>
      </w:r>
    </w:p>
    <w:p>
      <w:pPr>
        <w:pStyle w:val="BodyText"/>
        <w:jc w:val="right"/>
        <w:rPr/>
      </w:pPr>
      <w:r>
        <w:rPr/>
        <w:t>TP. Hồ Chí Minh, 2026</w:t>
        <w:br/>
        <w:t>Sinh viên thực hiện</w:t>
        <w:br/>
        <w:t>Nguyễn Phước Thọ</w:t>
      </w:r>
      <w:bookmarkEnd w:id="3"/>
    </w:p>
    <w:p>
      <w:pPr>
        <w:pStyle w:val="Heading1"/>
        <w:rPr/>
      </w:pPr>
      <w:bookmarkStart w:id="4" w:name="__RefHeading___Toc10898_2435329662"/>
      <w:bookmarkEnd w:id="4"/>
      <w:r>
        <w:rPr>
          <w:rFonts w:eastAsia="Times New Roman" w:cs="Times New Roman" w:ascii="Times New Roman" w:hAnsi="Times New Roman"/>
        </w:rPr>
        <w:t>MỤC LỤC</w:t>
      </w:r>
    </w:p>
    <w:sdt>
      <w:sdtPr>
        <w:docPartObj>
          <w:docPartGallery w:val="Table of Contents"/>
          <w:docPartUnique w:val="true"/>
        </w:docPartObj>
      </w:sdtPr>
      <w:sdtContent>
        <w:p>
          <w:pPr>
            <w:pStyle w:val="TOC1"/>
            <w:tabs>
              <w:tab w:val="clear" w:pos="10946"/>
              <w:tab w:val="right" w:pos="8786" w:leader="dot"/>
            </w:tabs>
            <w:rPr/>
          </w:pPr>
          <w:r>
            <w:fldChar w:fldCharType="begin"/>
          </w:r>
          <w:r>
            <w:rPr>
              <w:rStyle w:val="IndexLink"/>
              <w:webHidden/>
            </w:rPr>
            <w:instrText xml:space="preserve"> TOC \z \o "1-3" \u \h</w:instrText>
          </w:r>
          <w:r>
            <w:rPr>
              <w:rStyle w:val="IndexLink"/>
              <w:webHidden/>
            </w:rPr>
            <w:fldChar w:fldCharType="separate"/>
          </w:r>
          <w:hyperlink w:anchor="__RefHeading___Toc10894_2435329662" w:tooltip="THÔNG TIN HỘI ĐỒNG CHẤM ĐỒ ÁN TỐT NGHIỆP">
            <w:r>
              <w:rPr>
                <w:rStyle w:val="IndexLink"/>
                <w:webHidden/>
              </w:rPr>
              <w:t>THÔNG TIN HỘI ĐỒNG CHẤM ĐỒ ÁN TỐT NGHIỆP</w:t>
              <w:tab/>
              <w:t>3</w:t>
            </w:r>
          </w:hyperlink>
        </w:p>
        <w:p>
          <w:pPr>
            <w:pStyle w:val="TOC1"/>
            <w:tabs>
              <w:tab w:val="clear" w:pos="10946"/>
              <w:tab w:val="right" w:pos="8786" w:leader="dot"/>
            </w:tabs>
            <w:rPr/>
          </w:pPr>
          <w:hyperlink w:anchor="__RefHeading___Toc10896_2435329662" w:tooltip="LỜI CẢM ƠN">
            <w:r>
              <w:rPr>
                <w:rStyle w:val="IndexLink"/>
                <w:webHidden/>
              </w:rPr>
              <w:t>LỜI CẢM ƠN</w:t>
              <w:tab/>
              <w:t>4</w:t>
            </w:r>
          </w:hyperlink>
        </w:p>
        <w:p>
          <w:pPr>
            <w:pStyle w:val="TOC1"/>
            <w:tabs>
              <w:tab w:val="clear" w:pos="10946"/>
              <w:tab w:val="right" w:pos="8786" w:leader="dot"/>
            </w:tabs>
            <w:rPr/>
          </w:pPr>
          <w:hyperlink w:anchor="__RefHeading___Toc10898_2435329662" w:tooltip="MỤC LỤC">
            <w:r>
              <w:rPr>
                <w:rStyle w:val="IndexLink"/>
                <w:webHidden/>
              </w:rPr>
              <w:t>MỤC LỤC</w:t>
              <w:tab/>
              <w:t>5</w:t>
            </w:r>
          </w:hyperlink>
        </w:p>
        <w:p>
          <w:pPr>
            <w:pStyle w:val="TOC1"/>
            <w:tabs>
              <w:tab w:val="clear" w:pos="10946"/>
              <w:tab w:val="right" w:pos="8786" w:leader="dot"/>
            </w:tabs>
            <w:rPr/>
          </w:pPr>
          <w:hyperlink w:anchor="__RefHeading___Toc10900_2435329662" w:tooltip="DANH MỤC HÌNH VẼ">
            <w:r>
              <w:rPr>
                <w:rStyle w:val="IndexLink"/>
                <w:webHidden/>
              </w:rPr>
              <w:t>DANH MỤC HÌNH VẼ</w:t>
              <w:tab/>
              <w:t>10</w:t>
            </w:r>
          </w:hyperlink>
        </w:p>
        <w:p>
          <w:pPr>
            <w:pStyle w:val="TOC1"/>
            <w:tabs>
              <w:tab w:val="clear" w:pos="10946"/>
              <w:tab w:val="right" w:pos="8786" w:leader="dot"/>
            </w:tabs>
            <w:rPr/>
          </w:pPr>
          <w:hyperlink w:anchor="__RefHeading___Toc10902_2435329662" w:tooltip="DANH MỤC BẢNG BIỂU">
            <w:r>
              <w:rPr>
                <w:rStyle w:val="IndexLink"/>
                <w:webHidden/>
              </w:rPr>
              <w:t>DANH MỤC BẢNG BIỂU</w:t>
              <w:tab/>
              <w:t>11</w:t>
            </w:r>
          </w:hyperlink>
        </w:p>
        <w:p>
          <w:pPr>
            <w:pStyle w:val="TOC1"/>
            <w:tabs>
              <w:tab w:val="clear" w:pos="10946"/>
              <w:tab w:val="right" w:pos="8786" w:leader="dot"/>
            </w:tabs>
            <w:rPr/>
          </w:pPr>
          <w:hyperlink w:anchor="__RefHeading___Toc10904_2435329662" w:tooltip="DANH MỤC TỪ VIẾT TẮT">
            <w:r>
              <w:rPr>
                <w:rStyle w:val="IndexLink"/>
                <w:webHidden/>
              </w:rPr>
              <w:t>DANH MỤC TỪ VIẾT TẮT</w:t>
              <w:tab/>
              <w:t>13</w:t>
            </w:r>
          </w:hyperlink>
        </w:p>
        <w:p>
          <w:pPr>
            <w:pStyle w:val="TOC1"/>
            <w:tabs>
              <w:tab w:val="clear" w:pos="10946"/>
              <w:tab w:val="right" w:pos="8786" w:leader="dot"/>
            </w:tabs>
            <w:rPr/>
          </w:pPr>
          <w:hyperlink w:anchor="__RefHeading___Toc10906_2435329662" w:tooltip="TÓM TẮT ĐỒ ÁN">
            <w:r>
              <w:rPr>
                <w:rStyle w:val="IndexLink"/>
                <w:webHidden/>
              </w:rPr>
              <w:t>TÓM TẮT ĐỒ ÁN</w:t>
              <w:tab/>
              <w:t>1</w:t>
            </w:r>
          </w:hyperlink>
        </w:p>
        <w:p>
          <w:pPr>
            <w:pStyle w:val="TOC1"/>
            <w:tabs>
              <w:tab w:val="clear" w:pos="10946"/>
              <w:tab w:val="right" w:pos="8786" w:leader="dot"/>
            </w:tabs>
            <w:rPr/>
          </w:pPr>
          <w:hyperlink w:anchor="__RefHeading___Toc10908_2435329662" w:tooltip="Chương 1. MỞ ĐẦU">
            <w:r>
              <w:rPr>
                <w:rStyle w:val="IndexLink"/>
                <w:webHidden/>
              </w:rPr>
              <w:t>Chương 1. MỞ ĐẦU</w:t>
              <w:tab/>
              <w:t>5</w:t>
            </w:r>
          </w:hyperlink>
        </w:p>
        <w:p>
          <w:pPr>
            <w:pStyle w:val="TOC2"/>
            <w:tabs>
              <w:tab w:val="clear" w:pos="10663"/>
              <w:tab w:val="right" w:pos="8786" w:leader="dot"/>
            </w:tabs>
            <w:rPr/>
          </w:pPr>
          <w:hyperlink w:anchor="__RefHeading___Toc10910_2435329662" w:tooltip="1.1. Tính cấp thiết của đề tài">
            <w:r>
              <w:rPr>
                <w:rStyle w:val="IndexLink"/>
                <w:webHidden/>
              </w:rPr>
              <w:t>1.1. Tính cấp thiết của đề tài</w:t>
              <w:tab/>
              <w:t>5</w:t>
            </w:r>
          </w:hyperlink>
        </w:p>
        <w:p>
          <w:pPr>
            <w:pStyle w:val="TOC3"/>
            <w:tabs>
              <w:tab w:val="clear" w:pos="10379"/>
              <w:tab w:val="right" w:pos="8786" w:leader="dot"/>
            </w:tabs>
            <w:rPr/>
          </w:pPr>
          <w:hyperlink w:anchor="__RefHeading___Toc10912_2435329662" w:tooltip="1.1.1. Tính cấp thiết về mặt thực tiễn">
            <w:r>
              <w:rPr>
                <w:rStyle w:val="IndexLink"/>
                <w:webHidden/>
              </w:rPr>
              <w:t>1.1.1. Tính cấp thiết về mặt thực tiễn</w:t>
              <w:tab/>
              <w:t>5</w:t>
            </w:r>
          </w:hyperlink>
        </w:p>
        <w:p>
          <w:pPr>
            <w:pStyle w:val="TOC3"/>
            <w:tabs>
              <w:tab w:val="clear" w:pos="10379"/>
              <w:tab w:val="right" w:pos="8786" w:leader="dot"/>
            </w:tabs>
            <w:rPr/>
          </w:pPr>
          <w:hyperlink w:anchor="__RefHeading___Toc10914_2435329662" w:tooltip="1.1.2. Tính cấp thiết về mặt lý luận">
            <w:r>
              <w:rPr>
                <w:rStyle w:val="IndexLink"/>
                <w:webHidden/>
              </w:rPr>
              <w:t>1.1.2. Tính cấp thiết về mặt lý luận</w:t>
              <w:tab/>
              <w:t>9</w:t>
            </w:r>
          </w:hyperlink>
        </w:p>
        <w:p>
          <w:pPr>
            <w:pStyle w:val="TOC2"/>
            <w:tabs>
              <w:tab w:val="clear" w:pos="10663"/>
              <w:tab w:val="right" w:pos="8786" w:leader="dot"/>
            </w:tabs>
            <w:rPr/>
          </w:pPr>
          <w:hyperlink w:anchor="__RefHeading___Toc10916_2435329662" w:tooltip="1.2. Mục tiêu nghiên cứu">
            <w:r>
              <w:rPr>
                <w:rStyle w:val="IndexLink"/>
                <w:webHidden/>
              </w:rPr>
              <w:t>1.2. Mục tiêu nghiên cứu</w:t>
              <w:tab/>
              <w:t>10</w:t>
            </w:r>
          </w:hyperlink>
        </w:p>
        <w:p>
          <w:pPr>
            <w:pStyle w:val="TOC3"/>
            <w:tabs>
              <w:tab w:val="clear" w:pos="10379"/>
              <w:tab w:val="right" w:pos="8786" w:leader="dot"/>
            </w:tabs>
            <w:rPr/>
          </w:pPr>
          <w:hyperlink w:anchor="__RefHeading___Toc10918_2435329662" w:tooltip="1.2.1. Mục tiêu tổng quát">
            <w:r>
              <w:rPr>
                <w:rStyle w:val="IndexLink"/>
                <w:webHidden/>
              </w:rPr>
              <w:t>1.2.1. Mục tiêu tổng quát</w:t>
              <w:tab/>
              <w:t>10</w:t>
            </w:r>
          </w:hyperlink>
        </w:p>
        <w:p>
          <w:pPr>
            <w:pStyle w:val="TOC3"/>
            <w:tabs>
              <w:tab w:val="clear" w:pos="10379"/>
              <w:tab w:val="right" w:pos="8786" w:leader="dot"/>
            </w:tabs>
            <w:rPr/>
          </w:pPr>
          <w:hyperlink w:anchor="__RefHeading___Toc10920_2435329662" w:tooltip="1.2.2. Mục tiêu cụ thể">
            <w:r>
              <w:rPr>
                <w:rStyle w:val="IndexLink"/>
                <w:webHidden/>
              </w:rPr>
              <w:t>1.2.2. Mục tiêu cụ thể</w:t>
              <w:tab/>
              <w:t>10</w:t>
            </w:r>
          </w:hyperlink>
        </w:p>
        <w:p>
          <w:pPr>
            <w:pStyle w:val="TOC2"/>
            <w:tabs>
              <w:tab w:val="clear" w:pos="10663"/>
              <w:tab w:val="right" w:pos="8786" w:leader="dot"/>
            </w:tabs>
            <w:rPr/>
          </w:pPr>
          <w:hyperlink w:anchor="__RefHeading___Toc10922_2435329662" w:tooltip="1.3. Câu hỏi nghiên cứu">
            <w:r>
              <w:rPr>
                <w:rStyle w:val="IndexLink"/>
                <w:webHidden/>
              </w:rPr>
              <w:t>1.3. Câu hỏi nghiên cứu</w:t>
              <w:tab/>
              <w:t>11</w:t>
            </w:r>
          </w:hyperlink>
        </w:p>
        <w:p>
          <w:pPr>
            <w:pStyle w:val="TOC2"/>
            <w:tabs>
              <w:tab w:val="clear" w:pos="10663"/>
              <w:tab w:val="right" w:pos="8786" w:leader="dot"/>
            </w:tabs>
            <w:rPr/>
          </w:pPr>
          <w:hyperlink w:anchor="__RefHeading___Toc10924_2435329662" w:tooltip="1.4. Đối tượng và phạm vi nghiên cứu">
            <w:r>
              <w:rPr>
                <w:rStyle w:val="IndexLink"/>
                <w:webHidden/>
              </w:rPr>
              <w:t>1.4. Đối tượng và phạm vi nghiên cứu</w:t>
              <w:tab/>
              <w:t>12</w:t>
            </w:r>
          </w:hyperlink>
        </w:p>
        <w:p>
          <w:pPr>
            <w:pStyle w:val="TOC3"/>
            <w:tabs>
              <w:tab w:val="clear" w:pos="10379"/>
              <w:tab w:val="right" w:pos="8786" w:leader="dot"/>
            </w:tabs>
            <w:rPr/>
          </w:pPr>
          <w:hyperlink w:anchor="__RefHeading___Toc10926_2435329662" w:tooltip="1.4.1. Đối tượng nghiên cứu">
            <w:r>
              <w:rPr>
                <w:rStyle w:val="IndexLink"/>
                <w:webHidden/>
              </w:rPr>
              <w:t>1.4.1. Đối tượng nghiên cứu</w:t>
              <w:tab/>
              <w:t>12</w:t>
            </w:r>
          </w:hyperlink>
        </w:p>
        <w:p>
          <w:pPr>
            <w:pStyle w:val="TOC3"/>
            <w:tabs>
              <w:tab w:val="clear" w:pos="10379"/>
              <w:tab w:val="right" w:pos="8786" w:leader="dot"/>
            </w:tabs>
            <w:rPr/>
          </w:pPr>
          <w:hyperlink w:anchor="__RefHeading___Toc10928_2435329662" w:tooltip="1.4.2. Phạm vi nghiên cứu">
            <w:r>
              <w:rPr>
                <w:rStyle w:val="IndexLink"/>
                <w:webHidden/>
              </w:rPr>
              <w:t>1.4.2. Phạm vi nghiên cứu</w:t>
              <w:tab/>
              <w:t>13</w:t>
            </w:r>
          </w:hyperlink>
        </w:p>
        <w:p>
          <w:pPr>
            <w:pStyle w:val="TOC2"/>
            <w:tabs>
              <w:tab w:val="clear" w:pos="10663"/>
              <w:tab w:val="right" w:pos="8786" w:leader="dot"/>
            </w:tabs>
            <w:rPr/>
          </w:pPr>
          <w:hyperlink w:anchor="__RefHeading___Toc10930_2435329662" w:tooltip="1.5. Phương pháp nghiên cứu">
            <w:r>
              <w:rPr>
                <w:rStyle w:val="IndexLink"/>
                <w:webHidden/>
              </w:rPr>
              <w:t>1.5. Phương pháp nghiên cứu</w:t>
              <w:tab/>
              <w:t>14</w:t>
            </w:r>
          </w:hyperlink>
        </w:p>
        <w:p>
          <w:pPr>
            <w:pStyle w:val="TOC2"/>
            <w:tabs>
              <w:tab w:val="clear" w:pos="10663"/>
              <w:tab w:val="right" w:pos="8786" w:leader="dot"/>
            </w:tabs>
            <w:rPr/>
          </w:pPr>
          <w:hyperlink w:anchor="__RefHeading___Toc10932_2435329662" w:tooltip="1.6. Đóng góp của nghiên cứu">
            <w:r>
              <w:rPr>
                <w:rStyle w:val="IndexLink"/>
                <w:webHidden/>
              </w:rPr>
              <w:t>1.6. Đóng góp của nghiên cứu</w:t>
              <w:tab/>
              <w:t>15</w:t>
            </w:r>
          </w:hyperlink>
        </w:p>
        <w:p>
          <w:pPr>
            <w:pStyle w:val="TOC3"/>
            <w:tabs>
              <w:tab w:val="clear" w:pos="10379"/>
              <w:tab w:val="right" w:pos="8786" w:leader="dot"/>
            </w:tabs>
            <w:rPr/>
          </w:pPr>
          <w:hyperlink w:anchor="__RefHeading___Toc10934_2435329662" w:tooltip="1.6.1. Ý nghĩa khoa học">
            <w:r>
              <w:rPr>
                <w:rStyle w:val="IndexLink"/>
                <w:webHidden/>
              </w:rPr>
              <w:t>1.6.1. Ý nghĩa khoa học</w:t>
              <w:tab/>
              <w:t>15</w:t>
            </w:r>
          </w:hyperlink>
        </w:p>
        <w:p>
          <w:pPr>
            <w:pStyle w:val="TOC3"/>
            <w:tabs>
              <w:tab w:val="clear" w:pos="10379"/>
              <w:tab w:val="right" w:pos="8786" w:leader="dot"/>
            </w:tabs>
            <w:rPr/>
          </w:pPr>
          <w:hyperlink w:anchor="__RefHeading___Toc10936_2435329662" w:tooltip="1.6.2. Ý nghĩa thực tiễn">
            <w:r>
              <w:rPr>
                <w:rStyle w:val="IndexLink"/>
                <w:webHidden/>
              </w:rPr>
              <w:t>1.6.2. Ý nghĩa thực tiễn</w:t>
              <w:tab/>
              <w:t>16</w:t>
            </w:r>
          </w:hyperlink>
        </w:p>
        <w:p>
          <w:pPr>
            <w:pStyle w:val="TOC1"/>
            <w:tabs>
              <w:tab w:val="clear" w:pos="10946"/>
              <w:tab w:val="right" w:pos="8786" w:leader="dot"/>
            </w:tabs>
            <w:rPr/>
          </w:pPr>
          <w:hyperlink w:anchor="__RefHeading___Toc10938_2435329662" w:tooltip="Chương 2. TỔNG QUAN">
            <w:r>
              <w:rPr>
                <w:rStyle w:val="IndexLink"/>
                <w:webHidden/>
              </w:rPr>
              <w:t>Chương 2. TỔNG QUAN</w:t>
              <w:tab/>
              <w:t>18</w:t>
            </w:r>
          </w:hyperlink>
        </w:p>
        <w:p>
          <w:pPr>
            <w:pStyle w:val="TOC2"/>
            <w:tabs>
              <w:tab w:val="clear" w:pos="10663"/>
              <w:tab w:val="right" w:pos="8786" w:leader="dot"/>
            </w:tabs>
            <w:rPr/>
          </w:pPr>
          <w:hyperlink w:anchor="__RefHeading___Toc10940_2435329662" w:tooltip="2.1. Phân tích cảm xúc tin tức tài chính">
            <w:r>
              <w:rPr>
                <w:rStyle w:val="IndexLink"/>
                <w:webHidden/>
              </w:rPr>
              <w:t>2.1. Phân tích cảm xúc tin tức tài chính</w:t>
              <w:tab/>
              <w:t>18</w:t>
            </w:r>
          </w:hyperlink>
        </w:p>
        <w:p>
          <w:pPr>
            <w:pStyle w:val="TOC3"/>
            <w:tabs>
              <w:tab w:val="clear" w:pos="10379"/>
              <w:tab w:val="right" w:pos="8786" w:leader="dot"/>
            </w:tabs>
            <w:rPr/>
          </w:pPr>
          <w:hyperlink w:anchor="__RefHeading___Toc10942_2435329662" w:tooltip="2.1.1. Từ mô hình ngôn ngữ tổng quát đến mô hình miền tài chính">
            <w:r>
              <w:rPr>
                <w:rStyle w:val="IndexLink"/>
                <w:webHidden/>
              </w:rPr>
              <w:t>2.1.1. Từ mô hình ngôn ngữ tổng quát đến mô hình miền tài chính</w:t>
              <w:tab/>
              <w:t>19</w:t>
            </w:r>
          </w:hyperlink>
        </w:p>
        <w:p>
          <w:pPr>
            <w:pStyle w:val="TOC3"/>
            <w:tabs>
              <w:tab w:val="clear" w:pos="10379"/>
              <w:tab w:val="right" w:pos="8786" w:leader="dot"/>
            </w:tabs>
            <w:rPr/>
          </w:pPr>
          <w:hyperlink w:anchor="__RefHeading___Toc10944_2435329662" w:tooltip="2.1.2. Các công trình cảm xúc và chuyển động cổ phiếu quốc tế">
            <w:r>
              <w:rPr>
                <w:rStyle w:val="IndexLink"/>
                <w:webHidden/>
              </w:rPr>
              <w:t>2.1.2. Các công trình cảm xúc và chuyển động cổ phiếu quốc tế</w:t>
              <w:tab/>
              <w:t>20</w:t>
            </w:r>
          </w:hyperlink>
        </w:p>
        <w:p>
          <w:pPr>
            <w:pStyle w:val="TOC3"/>
            <w:tabs>
              <w:tab w:val="clear" w:pos="10379"/>
              <w:tab w:val="right" w:pos="8786" w:leader="dot"/>
            </w:tabs>
            <w:rPr/>
          </w:pPr>
          <w:hyperlink w:anchor="__RefHeading___Toc10946_2435329662" w:tooltip="2.1.3. Khả năng áp dụng cho dữ liệu tiếng Việt">
            <w:r>
              <w:rPr>
                <w:rStyle w:val="IndexLink"/>
                <w:webHidden/>
              </w:rPr>
              <w:t>2.1.3. Khả năng áp dụng cho dữ liệu tiếng Việt</w:t>
              <w:tab/>
              <w:t>24</w:t>
            </w:r>
          </w:hyperlink>
        </w:p>
        <w:p>
          <w:pPr>
            <w:pStyle w:val="TOC3"/>
            <w:tabs>
              <w:tab w:val="clear" w:pos="10379"/>
              <w:tab w:val="right" w:pos="8786" w:leader="dot"/>
            </w:tabs>
            <w:rPr/>
          </w:pPr>
          <w:hyperlink w:anchor="__RefHeading___Toc10948_2435329662" w:tooltip="2.1.4. Đánh giá chất lượng nhãn và đầu ra cảm xúc">
            <w:r>
              <w:rPr>
                <w:rStyle w:val="IndexLink"/>
                <w:webHidden/>
              </w:rPr>
              <w:t>2.1.4. Đánh giá chất lượng nhãn và đầu ra cảm xúc</w:t>
              <w:tab/>
              <w:t>25</w:t>
            </w:r>
          </w:hyperlink>
        </w:p>
        <w:p>
          <w:pPr>
            <w:pStyle w:val="TOC2"/>
            <w:tabs>
              <w:tab w:val="clear" w:pos="10663"/>
              <w:tab w:val="right" w:pos="8786" w:leader="dot"/>
            </w:tabs>
            <w:rPr/>
          </w:pPr>
          <w:hyperlink w:anchor="__RefHeading___Toc10950_2435329662" w:tooltip="2.2. Dự báo xu hướng giá bằng mô hình chuỗi thời gian">
            <w:r>
              <w:rPr>
                <w:rStyle w:val="IndexLink"/>
                <w:webHidden/>
              </w:rPr>
              <w:t>2.2. Dự báo xu hướng giá bằng mô hình chuỗi thời gian</w:t>
              <w:tab/>
              <w:t>26</w:t>
            </w:r>
          </w:hyperlink>
        </w:p>
        <w:p>
          <w:pPr>
            <w:pStyle w:val="TOC3"/>
            <w:tabs>
              <w:tab w:val="clear" w:pos="10379"/>
              <w:tab w:val="right" w:pos="8786" w:leader="dot"/>
            </w:tabs>
            <w:rPr/>
          </w:pPr>
          <w:hyperlink w:anchor="__RefHeading___Toc10952_2435329662" w:tooltip="2.2.1. Đối chứng cơ sở chỉ giá và các mô hình cổ điển">
            <w:r>
              <w:rPr>
                <w:rStyle w:val="IndexLink"/>
                <w:webHidden/>
              </w:rPr>
              <w:t>2.2.1. Đối chứng cơ sở chỉ giá và các mô hình cổ điển</w:t>
              <w:tab/>
              <w:t>26</w:t>
            </w:r>
          </w:hyperlink>
        </w:p>
        <w:p>
          <w:pPr>
            <w:pStyle w:val="TOC3"/>
            <w:tabs>
              <w:tab w:val="clear" w:pos="10379"/>
              <w:tab w:val="right" w:pos="8786" w:leader="dot"/>
            </w:tabs>
            <w:rPr/>
          </w:pPr>
          <w:hyperlink w:anchor="__RefHeading___Toc10954_2435329662" w:tooltip="2.2.2. LSTM cho phụ thuộc ngắn hạn và dài hạn">
            <w:r>
              <w:rPr>
                <w:rStyle w:val="IndexLink"/>
                <w:webHidden/>
              </w:rPr>
              <w:t>2.2.2. LSTM cho phụ thuộc ngắn hạn và dài hạn</w:t>
              <w:tab/>
              <w:t>27</w:t>
            </w:r>
          </w:hyperlink>
        </w:p>
        <w:p>
          <w:pPr>
            <w:pStyle w:val="TOC3"/>
            <w:tabs>
              <w:tab w:val="clear" w:pos="10379"/>
              <w:tab w:val="right" w:pos="8786" w:leader="dot"/>
            </w:tabs>
            <w:rPr/>
          </w:pPr>
          <w:hyperlink w:anchor="__RefHeading___Toc10956_2435329662" w:tooltip="2.2.3. Transformer cho chuỗi thời gian">
            <w:r>
              <w:rPr>
                <w:rStyle w:val="IndexLink"/>
                <w:webHidden/>
              </w:rPr>
              <w:t>2.2.3. Transformer cho chuỗi thời gian</w:t>
              <w:tab/>
              <w:t>28</w:t>
            </w:r>
          </w:hyperlink>
        </w:p>
        <w:p>
          <w:pPr>
            <w:pStyle w:val="TOC3"/>
            <w:tabs>
              <w:tab w:val="clear" w:pos="10379"/>
              <w:tab w:val="right" w:pos="8786" w:leader="dot"/>
            </w:tabs>
            <w:rPr/>
          </w:pPr>
          <w:hyperlink w:anchor="__RefHeading___Toc10958_2435329662" w:tooltip="2.2.4. Dịch chuyển phân phối và quan hệ giữa các mã">
            <w:r>
              <w:rPr>
                <w:rStyle w:val="IndexLink"/>
                <w:webHidden/>
              </w:rPr>
              <w:t>2.2.4. Dịch chuyển phân phối và quan hệ giữa các mã</w:t>
              <w:tab/>
              <w:t>29</w:t>
            </w:r>
          </w:hyperlink>
        </w:p>
        <w:p>
          <w:pPr>
            <w:pStyle w:val="TOC2"/>
            <w:tabs>
              <w:tab w:val="clear" w:pos="10663"/>
              <w:tab w:val="right" w:pos="8786" w:leader="dot"/>
            </w:tabs>
            <w:rPr/>
          </w:pPr>
          <w:hyperlink w:anchor="__RefHeading___Toc10960_2435329662" w:tooltip="2.3. Kết hợp tin tức và giá (đa phương thức)">
            <w:r>
              <w:rPr>
                <w:rStyle w:val="IndexLink"/>
                <w:webHidden/>
              </w:rPr>
              <w:t>2.3. Kết hợp tin tức và giá (đa phương thức)</w:t>
              <w:tab/>
              <w:t>31</w:t>
            </w:r>
          </w:hyperlink>
        </w:p>
        <w:p>
          <w:pPr>
            <w:pStyle w:val="TOC3"/>
            <w:tabs>
              <w:tab w:val="clear" w:pos="10379"/>
              <w:tab w:val="right" w:pos="8786" w:leader="dot"/>
            </w:tabs>
            <w:rPr/>
          </w:pPr>
          <w:hyperlink w:anchor="__RefHeading___Toc10962_2435329662" w:tooltip="2.3.1. Hợp nhất bằng điểm cảm xúc">
            <w:r>
              <w:rPr>
                <w:rStyle w:val="IndexLink"/>
                <w:webHidden/>
              </w:rPr>
              <w:t>2.3.1. Hợp nhất bằng điểm cảm xúc</w:t>
              <w:tab/>
              <w:t>32</w:t>
            </w:r>
          </w:hyperlink>
        </w:p>
        <w:p>
          <w:pPr>
            <w:pStyle w:val="TOC3"/>
            <w:tabs>
              <w:tab w:val="clear" w:pos="10379"/>
              <w:tab w:val="right" w:pos="8786" w:leader="dot"/>
            </w:tabs>
            <w:rPr/>
          </w:pPr>
          <w:hyperlink w:anchor="__RefHeading___Toc10964_2435329662" w:tooltip="2.3.2. Hợp nhất bằng biểu diễn ngữ cảnh và sự kiện">
            <w:r>
              <w:rPr>
                <w:rStyle w:val="IndexLink"/>
                <w:webHidden/>
              </w:rPr>
              <w:t>2.3.2. Hợp nhất bằng biểu diễn ngữ cảnh và sự kiện</w:t>
              <w:tab/>
              <w:t>32</w:t>
            </w:r>
          </w:hyperlink>
        </w:p>
        <w:p>
          <w:pPr>
            <w:pStyle w:val="TOC3"/>
            <w:tabs>
              <w:tab w:val="clear" w:pos="10379"/>
              <w:tab w:val="right" w:pos="8786" w:leader="dot"/>
            </w:tabs>
            <w:rPr/>
          </w:pPr>
          <w:hyperlink w:anchor="__RefHeading___Toc10966_2435329662" w:tooltip="2.3.3. Hợp nhất động và LLM">
            <w:r>
              <w:rPr>
                <w:rStyle w:val="IndexLink"/>
                <w:webHidden/>
              </w:rPr>
              <w:t>2.3.3. Hợp nhất động và LLM</w:t>
              <w:tab/>
              <w:t>33</w:t>
            </w:r>
          </w:hyperlink>
        </w:p>
        <w:p>
          <w:pPr>
            <w:pStyle w:val="TOC3"/>
            <w:tabs>
              <w:tab w:val="clear" w:pos="10379"/>
              <w:tab w:val="right" w:pos="8786" w:leader="dot"/>
            </w:tabs>
            <w:rPr/>
          </w:pPr>
          <w:hyperlink w:anchor="__RefHeading___Toc10968_2435329662" w:tooltip="2.3.4. Các cơ chế hợp nhất">
            <w:r>
              <w:rPr>
                <w:rStyle w:val="IndexLink"/>
                <w:webHidden/>
              </w:rPr>
              <w:t>2.3.4. Các cơ chế hợp nhất</w:t>
              <w:tab/>
              <w:t>34</w:t>
            </w:r>
          </w:hyperlink>
        </w:p>
        <w:p>
          <w:pPr>
            <w:pStyle w:val="TOC3"/>
            <w:tabs>
              <w:tab w:val="clear" w:pos="10379"/>
              <w:tab w:val="right" w:pos="8786" w:leader="dot"/>
            </w:tabs>
            <w:rPr/>
          </w:pPr>
          <w:hyperlink w:anchor="__RefHeading___Toc10970_2435329662" w:tooltip="2.3.5. Đánh giá đa phương thức và nguy cơ diễn giải quá mức">
            <w:r>
              <w:rPr>
                <w:rStyle w:val="IndexLink"/>
                <w:webHidden/>
              </w:rPr>
              <w:t>2.3.5. Đánh giá đa phương thức và nguy cơ diễn giải quá mức</w:t>
              <w:tab/>
              <w:t>35</w:t>
            </w:r>
          </w:hyperlink>
        </w:p>
        <w:p>
          <w:pPr>
            <w:pStyle w:val="TOC2"/>
            <w:tabs>
              <w:tab w:val="clear" w:pos="10663"/>
              <w:tab w:val="right" w:pos="8786" w:leader="dot"/>
            </w:tabs>
            <w:rPr/>
          </w:pPr>
          <w:hyperlink w:anchor="__RefHeading___Toc10972_2435329662" w:tooltip="2.4. Khoảng trống nghiên cứu và định vị đề tài">
            <w:r>
              <w:rPr>
                <w:rStyle w:val="IndexLink"/>
                <w:webHidden/>
              </w:rPr>
              <w:t>2.4. Khoảng trống nghiên cứu và định vị đề tài</w:t>
              <w:tab/>
              <w:t>35</w:t>
            </w:r>
          </w:hyperlink>
        </w:p>
        <w:p>
          <w:pPr>
            <w:pStyle w:val="TOC3"/>
            <w:tabs>
              <w:tab w:val="clear" w:pos="10379"/>
              <w:tab w:val="right" w:pos="8786" w:leader="dot"/>
            </w:tabs>
            <w:rPr/>
          </w:pPr>
          <w:hyperlink w:anchor="__RefHeading___Toc10974_2435329662" w:tooltip="2.4.1. Cơ sở xác định khoảng trống">
            <w:r>
              <w:rPr>
                <w:rStyle w:val="IndexLink"/>
                <w:webHidden/>
              </w:rPr>
              <w:t>2.4.1. Cơ sở xác định khoảng trống</w:t>
              <w:tab/>
              <w:t>35</w:t>
            </w:r>
          </w:hyperlink>
        </w:p>
        <w:p>
          <w:pPr>
            <w:pStyle w:val="TOC3"/>
            <w:tabs>
              <w:tab w:val="clear" w:pos="10379"/>
              <w:tab w:val="right" w:pos="8786" w:leader="dot"/>
            </w:tabs>
            <w:rPr/>
          </w:pPr>
          <w:hyperlink w:anchor="__RefHeading___Toc10976_2435329662" w:tooltip="2.4.2. Các khoảng trống nghiên cứu">
            <w:r>
              <w:rPr>
                <w:rStyle w:val="IndexLink"/>
                <w:webHidden/>
              </w:rPr>
              <w:t>2.4.2. Các khoảng trống nghiên cứu</w:t>
              <w:tab/>
              <w:t>36</w:t>
            </w:r>
          </w:hyperlink>
        </w:p>
        <w:p>
          <w:pPr>
            <w:pStyle w:val="TOC3"/>
            <w:tabs>
              <w:tab w:val="clear" w:pos="10379"/>
              <w:tab w:val="right" w:pos="8786" w:leader="dot"/>
            </w:tabs>
            <w:rPr/>
          </w:pPr>
          <w:hyperlink w:anchor="__RefHeading___Toc10978_2435329662" w:tooltip="2.4.3. So sánh các hướng nghiên cứu">
            <w:r>
              <w:rPr>
                <w:rStyle w:val="IndexLink"/>
                <w:webHidden/>
              </w:rPr>
              <w:t>2.4.3. So sánh các hướng nghiên cứu</w:t>
              <w:tab/>
              <w:t>38</w:t>
            </w:r>
          </w:hyperlink>
        </w:p>
        <w:p>
          <w:pPr>
            <w:pStyle w:val="TOC3"/>
            <w:tabs>
              <w:tab w:val="clear" w:pos="10379"/>
              <w:tab w:val="right" w:pos="8786" w:leader="dot"/>
            </w:tabs>
            <w:rPr/>
          </w:pPr>
          <w:hyperlink w:anchor="__RefHeading___Toc10980_2435329662" w:tooltip="2.4.4. Định vị và giả thuyết kiểm chứng">
            <w:r>
              <w:rPr>
                <w:rStyle w:val="IndexLink"/>
                <w:webHidden/>
              </w:rPr>
              <w:t>2.4.4. Định vị và giả thuyết kiểm chứng</w:t>
              <w:tab/>
              <w:t>39</w:t>
            </w:r>
          </w:hyperlink>
        </w:p>
        <w:p>
          <w:pPr>
            <w:pStyle w:val="TOC3"/>
            <w:tabs>
              <w:tab w:val="clear" w:pos="10379"/>
              <w:tab w:val="right" w:pos="8786" w:leader="dot"/>
            </w:tabs>
            <w:rPr/>
          </w:pPr>
          <w:hyperlink w:anchor="__RefHeading___Toc10982_2435329662" w:tooltip="2.4.5. Tiêu chí để tuyên bố đóng góp">
            <w:r>
              <w:rPr>
                <w:rStyle w:val="IndexLink"/>
                <w:webHidden/>
              </w:rPr>
              <w:t>2.4.5. Tiêu chí để tuyên bố đóng góp</w:t>
              <w:tab/>
              <w:t>40</w:t>
            </w:r>
          </w:hyperlink>
        </w:p>
        <w:p>
          <w:pPr>
            <w:pStyle w:val="TOC1"/>
            <w:tabs>
              <w:tab w:val="clear" w:pos="10946"/>
              <w:tab w:val="right" w:pos="8786" w:leader="dot"/>
            </w:tabs>
            <w:rPr/>
          </w:pPr>
          <w:hyperlink w:anchor="__RefHeading___Toc10984_2435329662" w:tooltip="Chương 3. CƠ SỞ LÝ THUYẾT VÀ PHƯƠNG PHÁP NGHIÊN CỨU">
            <w:r>
              <w:rPr>
                <w:rStyle w:val="IndexLink"/>
                <w:webHidden/>
              </w:rPr>
              <w:t>Chương 3. CƠ SỞ LÝ THUYẾT VÀ PHƯƠNG PHÁP NGHIÊN CỨU</w:t>
              <w:tab/>
              <w:t>42</w:t>
            </w:r>
          </w:hyperlink>
        </w:p>
        <w:p>
          <w:pPr>
            <w:pStyle w:val="TOC2"/>
            <w:tabs>
              <w:tab w:val="clear" w:pos="10663"/>
              <w:tab w:val="right" w:pos="8786" w:leader="dot"/>
            </w:tabs>
            <w:rPr/>
          </w:pPr>
          <w:hyperlink w:anchor="__RefHeading___Toc10986_2435329662" w:tooltip="3.1. Tổng quan kiến trúc hệ thống">
            <w:r>
              <w:rPr>
                <w:rStyle w:val="IndexLink"/>
                <w:webHidden/>
              </w:rPr>
              <w:t>3.1. Tổng quan kiến trúc hệ thống</w:t>
              <w:tab/>
              <w:t>42</w:t>
            </w:r>
          </w:hyperlink>
        </w:p>
        <w:p>
          <w:pPr>
            <w:pStyle w:val="TOC3"/>
            <w:tabs>
              <w:tab w:val="clear" w:pos="10379"/>
              <w:tab w:val="right" w:pos="8786" w:leader="dot"/>
            </w:tabs>
            <w:rPr/>
          </w:pPr>
          <w:hyperlink w:anchor="__RefHeading___Toc10988_2435329662" w:tooltip="3.1.1. Nguyên tắc thiết kế">
            <w:r>
              <w:rPr>
                <w:rStyle w:val="IndexLink"/>
                <w:webHidden/>
              </w:rPr>
              <w:t>3.1.1. Nguyên tắc thiết kế</w:t>
              <w:tab/>
              <w:t>43</w:t>
            </w:r>
          </w:hyperlink>
        </w:p>
        <w:p>
          <w:pPr>
            <w:pStyle w:val="TOC3"/>
            <w:tabs>
              <w:tab w:val="clear" w:pos="10379"/>
              <w:tab w:val="right" w:pos="8786" w:leader="dot"/>
            </w:tabs>
            <w:rPr/>
          </w:pPr>
          <w:hyperlink w:anchor="__RefHeading___Toc10990_2435329662" w:tooltip="3.1.2. Cơ sở lý thuyết của Transformer và cơ chế chú ý">
            <w:r>
              <w:rPr>
                <w:rStyle w:val="IndexLink"/>
                <w:webHidden/>
              </w:rPr>
              <w:t>3.1.2. Cơ sở lý thuyết của Transformer và cơ chế chú ý</w:t>
              <w:tab/>
              <w:t>43</w:t>
            </w:r>
          </w:hyperlink>
        </w:p>
        <w:p>
          <w:pPr>
            <w:pStyle w:val="TOC3"/>
            <w:tabs>
              <w:tab w:val="clear" w:pos="10379"/>
              <w:tab w:val="right" w:pos="8786" w:leader="dot"/>
            </w:tabs>
            <w:rPr/>
          </w:pPr>
          <w:hyperlink w:anchor="__RefHeading___Toc10992_2435329662" w:tooltip="3.1.3. Cơ sở lý thuyết của PhoBERT">
            <w:r>
              <w:rPr>
                <w:rStyle w:val="IndexLink"/>
                <w:webHidden/>
              </w:rPr>
              <w:t>3.1.3. Cơ sở lý thuyết của PhoBERT</w:t>
              <w:tab/>
              <w:t>44</w:t>
            </w:r>
          </w:hyperlink>
        </w:p>
        <w:p>
          <w:pPr>
            <w:pStyle w:val="TOC3"/>
            <w:tabs>
              <w:tab w:val="clear" w:pos="10379"/>
              <w:tab w:val="right" w:pos="8786" w:leader="dot"/>
            </w:tabs>
            <w:rPr/>
          </w:pPr>
          <w:hyperlink w:anchor="__RefHeading___Toc10994_2435329662" w:tooltip="3.1.4. Cơ sở lý thuyết của LSTM">
            <w:r>
              <w:rPr>
                <w:rStyle w:val="IndexLink"/>
                <w:webHidden/>
              </w:rPr>
              <w:t>3.1.4. Cơ sở lý thuyết của LSTM</w:t>
              <w:tab/>
              <w:t>45</w:t>
            </w:r>
          </w:hyperlink>
        </w:p>
        <w:p>
          <w:pPr>
            <w:pStyle w:val="TOC3"/>
            <w:tabs>
              <w:tab w:val="clear" w:pos="10379"/>
              <w:tab w:val="right" w:pos="8786" w:leader="dot"/>
            </w:tabs>
            <w:rPr/>
          </w:pPr>
          <w:hyperlink w:anchor="__RefHeading___Toc10996_2435329662" w:tooltip="3.1.5. Cơ sở lý thuyết của Bộ biến đổi hợp nhất theo thời gian">
            <w:r>
              <w:rPr>
                <w:rStyle w:val="IndexLink"/>
                <w:webHidden/>
              </w:rPr>
              <w:t>3.1.5. Cơ sở lý thuyết của Bộ biến đổi hợp nhất theo thời gian</w:t>
              <w:tab/>
              <w:t>45</w:t>
            </w:r>
          </w:hyperlink>
        </w:p>
        <w:p>
          <w:pPr>
            <w:pStyle w:val="TOC3"/>
            <w:tabs>
              <w:tab w:val="clear" w:pos="10379"/>
              <w:tab w:val="right" w:pos="8786" w:leader="dot"/>
            </w:tabs>
            <w:rPr/>
          </w:pPr>
          <w:hyperlink w:anchor="__RefHeading___Toc10998_2435329662" w:tooltip="3.1.6. Luồng xử lý tổng thể">
            <w:r>
              <w:rPr>
                <w:rStyle w:val="IndexLink"/>
                <w:webHidden/>
              </w:rPr>
              <w:t>3.1.6. Luồng xử lý tổng thể</w:t>
              <w:tab/>
              <w:t>46</w:t>
            </w:r>
          </w:hyperlink>
        </w:p>
        <w:p>
          <w:pPr>
            <w:pStyle w:val="TOC2"/>
            <w:tabs>
              <w:tab w:val="clear" w:pos="10663"/>
              <w:tab w:val="right" w:pos="8786" w:leader="dot"/>
            </w:tabs>
            <w:rPr/>
          </w:pPr>
          <w:hyperlink w:anchor="__RefHeading___Toc11000_2435329662" w:tooltip="3.2. Thu thập và tiền xử lý dữ liệu">
            <w:r>
              <w:rPr>
                <w:rStyle w:val="IndexLink"/>
                <w:webHidden/>
              </w:rPr>
              <w:t>3.2. Thu thập và tiền xử lý dữ liệu</w:t>
              <w:tab/>
              <w:t>47</w:t>
            </w:r>
          </w:hyperlink>
        </w:p>
        <w:p>
          <w:pPr>
            <w:pStyle w:val="TOC3"/>
            <w:tabs>
              <w:tab w:val="clear" w:pos="10379"/>
              <w:tab w:val="right" w:pos="8786" w:leader="dot"/>
            </w:tabs>
            <w:rPr/>
          </w:pPr>
          <w:hyperlink w:anchor="__RefHeading___Toc11002_2435329662" w:tooltip="3.2.1. Phạm vi dữ liệu và nguồn thu thập">
            <w:r>
              <w:rPr>
                <w:rStyle w:val="IndexLink"/>
                <w:webHidden/>
              </w:rPr>
              <w:t>3.2.1. Phạm vi dữ liệu và nguồn thu thập</w:t>
              <w:tab/>
              <w:t>47</w:t>
            </w:r>
          </w:hyperlink>
        </w:p>
        <w:p>
          <w:pPr>
            <w:pStyle w:val="TOC3"/>
            <w:tabs>
              <w:tab w:val="clear" w:pos="10379"/>
              <w:tab w:val="right" w:pos="8786" w:leader="dot"/>
            </w:tabs>
            <w:rPr/>
          </w:pPr>
          <w:hyperlink w:anchor="__RefHeading___Toc11004_2435329662" w:tooltip="3.2.2. Kiểm tra chất lượng, nguồn gốc và khả năng truy xuất">
            <w:r>
              <w:rPr>
                <w:rStyle w:val="IndexLink"/>
                <w:webHidden/>
              </w:rPr>
              <w:t>3.2.2. Kiểm tra chất lượng, nguồn gốc và khả năng truy xuất</w:t>
              <w:tab/>
              <w:t>48</w:t>
            </w:r>
          </w:hyperlink>
        </w:p>
        <w:p>
          <w:pPr>
            <w:pStyle w:val="TOC3"/>
            <w:tabs>
              <w:tab w:val="clear" w:pos="10379"/>
              <w:tab w:val="right" w:pos="8786" w:leader="dot"/>
            </w:tabs>
            <w:rPr/>
          </w:pPr>
          <w:hyperlink w:anchor="__RefHeading___Toc11006_2435329662" w:tooltip="3.2.3. Dữ liệu giá">
            <w:r>
              <w:rPr>
                <w:rStyle w:val="IndexLink"/>
                <w:webHidden/>
              </w:rPr>
              <w:t>3.2.3. Dữ liệu giá</w:t>
              <w:tab/>
              <w:t>49</w:t>
            </w:r>
          </w:hyperlink>
        </w:p>
        <w:p>
          <w:pPr>
            <w:pStyle w:val="TOC3"/>
            <w:tabs>
              <w:tab w:val="clear" w:pos="10379"/>
              <w:tab w:val="right" w:pos="8786" w:leader="dot"/>
            </w:tabs>
            <w:rPr/>
          </w:pPr>
          <w:hyperlink w:anchor="__RefHeading___Toc11008_2435329662" w:tooltip="3.2.4. Dữ liệu tin tức và ánh xạ theo phiên">
            <w:r>
              <w:rPr>
                <w:rStyle w:val="IndexLink"/>
                <w:webHidden/>
              </w:rPr>
              <w:t>3.2.4. Dữ liệu tin tức và ánh xạ theo phiên</w:t>
              <w:tab/>
              <w:t>49</w:t>
            </w:r>
          </w:hyperlink>
        </w:p>
        <w:p>
          <w:pPr>
            <w:pStyle w:val="TOC3"/>
            <w:tabs>
              <w:tab w:val="clear" w:pos="10379"/>
              <w:tab w:val="right" w:pos="8786" w:leader="dot"/>
            </w:tabs>
            <w:rPr/>
          </w:pPr>
          <w:hyperlink w:anchor="__RefHeading___Toc11010_2435329662" w:tooltip="3.2.5. Tiền xử lý văn bản tiếng Việt">
            <w:r>
              <w:rPr>
                <w:rStyle w:val="IndexLink"/>
                <w:webHidden/>
              </w:rPr>
              <w:t>3.2.5. Tiền xử lý văn bản tiếng Việt</w:t>
              <w:tab/>
              <w:t>50</w:t>
            </w:r>
          </w:hyperlink>
        </w:p>
        <w:p>
          <w:pPr>
            <w:pStyle w:val="TOC3"/>
            <w:tabs>
              <w:tab w:val="clear" w:pos="10379"/>
              <w:tab w:val="right" w:pos="8786" w:leader="dot"/>
            </w:tabs>
            <w:rPr/>
          </w:pPr>
          <w:hyperlink w:anchor="__RefHeading___Toc11012_2435329662" w:tooltip="3.2.6. Tạo tập cảm xúc và gán nhãn">
            <w:r>
              <w:rPr>
                <w:rStyle w:val="IndexLink"/>
                <w:webHidden/>
              </w:rPr>
              <w:t>3.2.6. Tạo tập cảm xúc và gán nhãn</w:t>
              <w:tab/>
              <w:t>51</w:t>
            </w:r>
          </w:hyperlink>
        </w:p>
        <w:p>
          <w:pPr>
            <w:pStyle w:val="TOC2"/>
            <w:tabs>
              <w:tab w:val="clear" w:pos="10663"/>
              <w:tab w:val="right" w:pos="8786" w:leader="dot"/>
            </w:tabs>
            <w:rPr/>
          </w:pPr>
          <w:hyperlink w:anchor="__RefHeading___Toc11014_2435329662" w:tooltip="3.3. Nhánh cảm xúc: tinh chỉnh PhoBERT">
            <w:r>
              <w:rPr>
                <w:rStyle w:val="IndexLink"/>
                <w:webHidden/>
              </w:rPr>
              <w:t>3.3. Nhánh cảm xúc: tinh chỉnh PhoBERT</w:t>
              <w:tab/>
              <w:t>52</w:t>
            </w:r>
          </w:hyperlink>
        </w:p>
        <w:p>
          <w:pPr>
            <w:pStyle w:val="TOC3"/>
            <w:tabs>
              <w:tab w:val="clear" w:pos="10379"/>
              <w:tab w:val="right" w:pos="8786" w:leader="dot"/>
            </w:tabs>
            <w:rPr/>
          </w:pPr>
          <w:hyperlink w:anchor="__RefHeading___Toc11016_2435329662" w:tooltip="3.3.1. Thiết lập bài toán phân loại">
            <w:r>
              <w:rPr>
                <w:rStyle w:val="IndexLink"/>
                <w:webHidden/>
              </w:rPr>
              <w:t>3.3.1. Thiết lập bài toán phân loại</w:t>
              <w:tab/>
              <w:t>52</w:t>
            </w:r>
          </w:hyperlink>
        </w:p>
        <w:p>
          <w:pPr>
            <w:pStyle w:val="TOC3"/>
            <w:tabs>
              <w:tab w:val="clear" w:pos="10379"/>
              <w:tab w:val="right" w:pos="8786" w:leader="dot"/>
            </w:tabs>
            <w:rPr/>
          </w:pPr>
          <w:hyperlink w:anchor="__RefHeading___Toc11018_2435329662" w:tooltip="3.3.2. Chia dữ liệu và huấn luyện">
            <w:r>
              <w:rPr>
                <w:rStyle w:val="IndexLink"/>
                <w:webHidden/>
              </w:rPr>
              <w:t>3.3.2. Chia dữ liệu và huấn luyện</w:t>
              <w:tab/>
              <w:t>52</w:t>
            </w:r>
          </w:hyperlink>
        </w:p>
        <w:p>
          <w:pPr>
            <w:pStyle w:val="TOC3"/>
            <w:tabs>
              <w:tab w:val="clear" w:pos="10379"/>
              <w:tab w:val="right" w:pos="8786" w:leader="dot"/>
            </w:tabs>
            <w:rPr/>
          </w:pPr>
          <w:hyperlink w:anchor="__RefHeading___Toc11020_2435329662" w:tooltip="3.3.3. Đầu ra xác suất và tổng hợp theo mã, ngày">
            <w:r>
              <w:rPr>
                <w:rStyle w:val="IndexLink"/>
                <w:webHidden/>
              </w:rPr>
              <w:t>3.3.3. Đầu ra xác suất và tổng hợp theo mã, ngày</w:t>
              <w:tab/>
              <w:t>53</w:t>
            </w:r>
          </w:hyperlink>
        </w:p>
        <w:p>
          <w:pPr>
            <w:pStyle w:val="TOC2"/>
            <w:tabs>
              <w:tab w:val="clear" w:pos="10663"/>
              <w:tab w:val="right" w:pos="8786" w:leader="dot"/>
            </w:tabs>
            <w:rPr/>
          </w:pPr>
          <w:hyperlink w:anchor="__RefHeading___Toc11022_2435329662" w:tooltip="3.4. Nhánh giá và ghép đặc trưng">
            <w:r>
              <w:rPr>
                <w:rStyle w:val="IndexLink"/>
                <w:webHidden/>
              </w:rPr>
              <w:t>3.4. Nhánh giá và ghép đặc trưng</w:t>
              <w:tab/>
              <w:t>54</w:t>
            </w:r>
          </w:hyperlink>
        </w:p>
        <w:p>
          <w:pPr>
            <w:pStyle w:val="TOC3"/>
            <w:tabs>
              <w:tab w:val="clear" w:pos="10379"/>
              <w:tab w:val="right" w:pos="8786" w:leader="dot"/>
            </w:tabs>
            <w:rPr/>
          </w:pPr>
          <w:hyperlink w:anchor="__RefHeading___Toc11024_2435329662" w:tooltip="3.4.1. Đặc trưng kỹ thuật">
            <w:r>
              <w:rPr>
                <w:rStyle w:val="IndexLink"/>
                <w:webHidden/>
              </w:rPr>
              <w:t>3.4.1. Đặc trưng kỹ thuật</w:t>
              <w:tab/>
              <w:t>54</w:t>
            </w:r>
          </w:hyperlink>
        </w:p>
        <w:p>
          <w:pPr>
            <w:pStyle w:val="TOC3"/>
            <w:tabs>
              <w:tab w:val="clear" w:pos="10379"/>
              <w:tab w:val="right" w:pos="8786" w:leader="dot"/>
            </w:tabs>
            <w:rPr/>
          </w:pPr>
          <w:hyperlink w:anchor="__RefHeading___Toc11026_2435329662" w:tooltip="3.4.2. Căn chỉnh hai nguồn dữ liệu">
            <w:r>
              <w:rPr>
                <w:rStyle w:val="IndexLink"/>
                <w:webHidden/>
              </w:rPr>
              <w:t>3.4.2. Căn chỉnh hai nguồn dữ liệu</w:t>
              <w:tab/>
              <w:t>55</w:t>
            </w:r>
          </w:hyperlink>
        </w:p>
        <w:p>
          <w:pPr>
            <w:pStyle w:val="TOC3"/>
            <w:tabs>
              <w:tab w:val="clear" w:pos="10379"/>
              <w:tab w:val="right" w:pos="8786" w:leader="dot"/>
            </w:tabs>
            <w:rPr/>
          </w:pPr>
          <w:hyperlink w:anchor="__RefHeading___Toc11028_2435329662" w:tooltip="3.4.3. Gán nhãn xu hướng phiên kế tiếp">
            <w:r>
              <w:rPr>
                <w:rStyle w:val="IndexLink"/>
                <w:webHidden/>
              </w:rPr>
              <w:t>3.4.3. Gán nhãn xu hướng phiên kế tiếp</w:t>
              <w:tab/>
              <w:t>55</w:t>
            </w:r>
          </w:hyperlink>
        </w:p>
        <w:p>
          <w:pPr>
            <w:pStyle w:val="TOC3"/>
            <w:tabs>
              <w:tab w:val="clear" w:pos="10379"/>
              <w:tab w:val="right" w:pos="8786" w:leader="dot"/>
            </w:tabs>
            <w:rPr/>
          </w:pPr>
          <w:hyperlink w:anchor="__RefHeading___Toc11030_2435329662" w:tooltip="3.4.4. Hợp nhất bằng LSTM hai nhánh">
            <w:r>
              <w:rPr>
                <w:rStyle w:val="IndexLink"/>
                <w:webHidden/>
              </w:rPr>
              <w:t>3.4.4. Hợp nhất bằng LSTM hai nhánh</w:t>
              <w:tab/>
              <w:t>56</w:t>
            </w:r>
          </w:hyperlink>
        </w:p>
        <w:p>
          <w:pPr>
            <w:pStyle w:val="TOC2"/>
            <w:tabs>
              <w:tab w:val="clear" w:pos="10663"/>
              <w:tab w:val="right" w:pos="8786" w:leader="dot"/>
            </w:tabs>
            <w:rPr/>
          </w:pPr>
          <w:hyperlink w:anchor="__RefHeading___Toc11032_2435329662" w:tooltip="3.5. Thang mô hình dự báo">
            <w:r>
              <w:rPr>
                <w:rStyle w:val="IndexLink"/>
                <w:webHidden/>
              </w:rPr>
              <w:t>3.5. Thang mô hình dự báo</w:t>
              <w:tab/>
              <w:t>56</w:t>
            </w:r>
          </w:hyperlink>
        </w:p>
        <w:p>
          <w:pPr>
            <w:pStyle w:val="TOC3"/>
            <w:tabs>
              <w:tab w:val="clear" w:pos="10379"/>
              <w:tab w:val="right" w:pos="8786" w:leader="dot"/>
            </w:tabs>
            <w:rPr/>
          </w:pPr>
          <w:hyperlink w:anchor="__RefHeading___Toc11034_2435329662" w:tooltip="3.5.1. Tầng đối chứng cơ sở">
            <w:r>
              <w:rPr>
                <w:rStyle w:val="IndexLink"/>
                <w:webHidden/>
              </w:rPr>
              <w:t>3.5.1. Tầng đối chứng cơ sở</w:t>
              <w:tab/>
              <w:t>56</w:t>
            </w:r>
          </w:hyperlink>
        </w:p>
        <w:p>
          <w:pPr>
            <w:pStyle w:val="TOC3"/>
            <w:tabs>
              <w:tab w:val="clear" w:pos="10379"/>
              <w:tab w:val="right" w:pos="8786" w:leader="dot"/>
            </w:tabs>
            <w:rPr/>
          </w:pPr>
          <w:hyperlink w:anchor="__RefHeading___Toc11036_2435329662" w:tooltip="3.5.2. Tầng mô hình cổ điển chỉ giá">
            <w:r>
              <w:rPr>
                <w:rStyle w:val="IndexLink"/>
                <w:webHidden/>
              </w:rPr>
              <w:t>3.5.2. Tầng mô hình cổ điển chỉ giá</w:t>
              <w:tab/>
              <w:t>57</w:t>
            </w:r>
          </w:hyperlink>
        </w:p>
        <w:p>
          <w:pPr>
            <w:pStyle w:val="TOC3"/>
            <w:tabs>
              <w:tab w:val="clear" w:pos="10379"/>
              <w:tab w:val="right" w:pos="8786" w:leader="dot"/>
            </w:tabs>
            <w:rPr/>
          </w:pPr>
          <w:hyperlink w:anchor="__RefHeading___Toc11038_2435329662" w:tooltip="3.5.3. Tầng LSTM chỉ giá">
            <w:r>
              <w:rPr>
                <w:rStyle w:val="IndexLink"/>
                <w:webHidden/>
              </w:rPr>
              <w:t>3.5.3. Tầng LSTM chỉ giá</w:t>
              <w:tab/>
              <w:t>57</w:t>
            </w:r>
          </w:hyperlink>
        </w:p>
        <w:p>
          <w:pPr>
            <w:pStyle w:val="TOC3"/>
            <w:tabs>
              <w:tab w:val="clear" w:pos="10379"/>
              <w:tab w:val="right" w:pos="8786" w:leader="dot"/>
            </w:tabs>
            <w:rPr/>
          </w:pPr>
          <w:hyperlink w:anchor="__RefHeading___Toc11040_2435329662" w:tooltip="3.5.4. Tầng LSTM hai nhánh có cảm xúc">
            <w:r>
              <w:rPr>
                <w:rStyle w:val="IndexLink"/>
                <w:webHidden/>
              </w:rPr>
              <w:t>3.5.4. Tầng LSTM hai nhánh có cảm xúc</w:t>
              <w:tab/>
              <w:t>57</w:t>
            </w:r>
          </w:hyperlink>
        </w:p>
        <w:p>
          <w:pPr>
            <w:pStyle w:val="TOC3"/>
            <w:tabs>
              <w:tab w:val="clear" w:pos="10379"/>
              <w:tab w:val="right" w:pos="8786" w:leader="dot"/>
            </w:tabs>
            <w:rPr/>
          </w:pPr>
          <w:hyperlink w:anchor="__RefHeading___Toc11042_2435329662" w:tooltip="3.5.5. Tầng TFT mở rộng">
            <w:r>
              <w:rPr>
                <w:rStyle w:val="IndexLink"/>
                <w:webHidden/>
              </w:rPr>
              <w:t>3.5.5. Tầng TFT mở rộng</w:t>
              <w:tab/>
              <w:t>58</w:t>
            </w:r>
          </w:hyperlink>
        </w:p>
        <w:p>
          <w:pPr>
            <w:pStyle w:val="TOC3"/>
            <w:tabs>
              <w:tab w:val="clear" w:pos="10379"/>
              <w:tab w:val="right" w:pos="8786" w:leader="dot"/>
            </w:tabs>
            <w:rPr/>
          </w:pPr>
          <w:hyperlink w:anchor="__RefHeading___Toc11044_2435329662" w:tooltip="3.5.6. Huấn luyện và kiểm soát độ phức tạp">
            <w:r>
              <w:rPr>
                <w:rStyle w:val="IndexLink"/>
                <w:webHidden/>
              </w:rPr>
              <w:t>3.5.6. Huấn luyện và kiểm soát độ phức tạp</w:t>
              <w:tab/>
              <w:t>58</w:t>
            </w:r>
          </w:hyperlink>
        </w:p>
        <w:p>
          <w:pPr>
            <w:pStyle w:val="TOC2"/>
            <w:tabs>
              <w:tab w:val="clear" w:pos="10663"/>
              <w:tab w:val="right" w:pos="8786" w:leader="dot"/>
            </w:tabs>
            <w:rPr/>
          </w:pPr>
          <w:hyperlink w:anchor="__RefHeading___Toc11046_2435329662" w:tooltip="3.6. Giao thức đánh giá chống rò rỉ">
            <w:r>
              <w:rPr>
                <w:rStyle w:val="IndexLink"/>
                <w:webHidden/>
              </w:rPr>
              <w:t>3.6. Giao thức đánh giá chống rò rỉ</w:t>
              <w:tab/>
              <w:t>59</w:t>
            </w:r>
          </w:hyperlink>
        </w:p>
        <w:p>
          <w:pPr>
            <w:pStyle w:val="TOC3"/>
            <w:tabs>
              <w:tab w:val="clear" w:pos="10379"/>
              <w:tab w:val="right" w:pos="8786" w:leader="dot"/>
            </w:tabs>
            <w:rPr/>
          </w:pPr>
          <w:hyperlink w:anchor="__RefHeading___Toc11048_2435329662" w:tooltip="3.6.1. Cuốn chiếu theo thời gian">
            <w:r>
              <w:rPr>
                <w:rStyle w:val="IndexLink"/>
                <w:webHidden/>
              </w:rPr>
              <w:t>3.6.1. Cuốn chiếu theo thời gian</w:t>
              <w:tab/>
              <w:t>59</w:t>
            </w:r>
          </w:hyperlink>
        </w:p>
        <w:p>
          <w:pPr>
            <w:pStyle w:val="TOC3"/>
            <w:tabs>
              <w:tab w:val="clear" w:pos="10379"/>
              <w:tab w:val="right" w:pos="8786" w:leader="dot"/>
            </w:tabs>
            <w:rPr/>
          </w:pPr>
          <w:hyperlink w:anchor="__RefHeading___Toc11050_2435329662" w:tooltip="3.6.2. Kiểm soát thông tin tại điểm dự báo và các phép biến đổi">
            <w:r>
              <w:rPr>
                <w:rStyle w:val="IndexLink"/>
                <w:webHidden/>
              </w:rPr>
              <w:t>3.6.2. Kiểm soát thông tin tại điểm dự báo và các phép biến đổi</w:t>
              <w:tab/>
              <w:t>60</w:t>
            </w:r>
          </w:hyperlink>
        </w:p>
        <w:p>
          <w:pPr>
            <w:pStyle w:val="TOC3"/>
            <w:tabs>
              <w:tab w:val="clear" w:pos="10379"/>
              <w:tab w:val="right" w:pos="8786" w:leader="dot"/>
            </w:tabs>
            <w:rPr/>
          </w:pPr>
          <w:hyperlink w:anchor="__RefHeading___Toc11052_2435329662" w:tooltip="3.6.3. Các chỉ số đánh giá">
            <w:r>
              <w:rPr>
                <w:rStyle w:val="IndexLink"/>
                <w:webHidden/>
              </w:rPr>
              <w:t>3.6.3. Các chỉ số đánh giá</w:t>
              <w:tab/>
              <w:t>61</w:t>
            </w:r>
          </w:hyperlink>
        </w:p>
        <w:p>
          <w:pPr>
            <w:pStyle w:val="TOC3"/>
            <w:tabs>
              <w:tab w:val="clear" w:pos="10379"/>
              <w:tab w:val="right" w:pos="8786" w:leader="dot"/>
            </w:tabs>
            <w:rPr/>
          </w:pPr>
          <w:hyperlink w:anchor="__RefHeading___Toc11054_2435329662" w:tooltip="3.6.4. Loại bỏ đặc trưng và khoảng tin cậy">
            <w:r>
              <w:rPr>
                <w:rStyle w:val="IndexLink"/>
                <w:webHidden/>
              </w:rPr>
              <w:t>3.6.4. Loại bỏ đặc trưng và khoảng tin cậy</w:t>
              <w:tab/>
              <w:t>61</w:t>
            </w:r>
          </w:hyperlink>
        </w:p>
        <w:p>
          <w:pPr>
            <w:pStyle w:val="TOC3"/>
            <w:tabs>
              <w:tab w:val="clear" w:pos="10379"/>
              <w:tab w:val="right" w:pos="8786" w:leader="dot"/>
            </w:tabs>
            <w:rPr/>
          </w:pPr>
          <w:hyperlink w:anchor="__RefHeading___Toc11058_2435329662" w:tooltip="3.6.5. Giải thích mô hình">
            <w:r>
              <w:rPr>
                <w:rStyle w:val="IndexLink"/>
                <w:webHidden/>
              </w:rPr>
              <w:t>3.6.5. Giải thích mô hình</w:t>
              <w:tab/>
              <w:t>62</w:t>
            </w:r>
          </w:hyperlink>
        </w:p>
        <w:p>
          <w:pPr>
            <w:pStyle w:val="TOC3"/>
            <w:tabs>
              <w:tab w:val="clear" w:pos="10379"/>
              <w:tab w:val="right" w:pos="8786" w:leader="dot"/>
            </w:tabs>
            <w:rPr/>
          </w:pPr>
          <w:hyperlink w:anchor="__RefHeading___Toc11060_2435329662" w:tooltip="3.6.6. Tái lập và báo cáo">
            <w:r>
              <w:rPr>
                <w:rStyle w:val="IndexLink"/>
                <w:webHidden/>
              </w:rPr>
              <w:t>3.6.6. Tái lập và báo cáo</w:t>
              <w:tab/>
              <w:t>62</w:t>
            </w:r>
          </w:hyperlink>
        </w:p>
        <w:p>
          <w:pPr>
            <w:pStyle w:val="TOC1"/>
            <w:tabs>
              <w:tab w:val="clear" w:pos="10946"/>
              <w:tab w:val="right" w:pos="8786" w:leader="dot"/>
            </w:tabs>
            <w:rPr/>
          </w:pPr>
          <w:hyperlink w:anchor="__RefHeading___Toc11062_2435329662" w:tooltip="Chương 4. TRÌNH BÀY, ĐÁNH GIÁ VÀ BÀN LUẬN KẾT QUẢ">
            <w:r>
              <w:rPr>
                <w:rStyle w:val="IndexLink"/>
                <w:webHidden/>
              </w:rPr>
              <w:t>Chương 4. TRÌNH BÀY, ĐÁNH GIÁ VÀ BÀN LUẬN KẾT QUẢ</w:t>
              <w:tab/>
              <w:t>64</w:t>
            </w:r>
          </w:hyperlink>
        </w:p>
        <w:p>
          <w:pPr>
            <w:pStyle w:val="TOC2"/>
            <w:tabs>
              <w:tab w:val="clear" w:pos="10663"/>
              <w:tab w:val="right" w:pos="8786" w:leader="dot"/>
            </w:tabs>
            <w:rPr/>
          </w:pPr>
          <w:hyperlink w:anchor="__RefHeading___Toc11064_2435329662" w:tooltip="4.1. Kiểm kê dữ liệu đầu vào">
            <w:r>
              <w:rPr>
                <w:rStyle w:val="IndexLink"/>
                <w:webHidden/>
              </w:rPr>
              <w:t>4.1. Kiểm kê dữ liệu đầu vào</w:t>
              <w:tab/>
              <w:t>64</w:t>
            </w:r>
          </w:hyperlink>
        </w:p>
        <w:p>
          <w:pPr>
            <w:pStyle w:val="TOC2"/>
            <w:tabs>
              <w:tab w:val="clear" w:pos="10663"/>
              <w:tab w:val="right" w:pos="8786" w:leader="dot"/>
            </w:tabs>
            <w:rPr/>
          </w:pPr>
          <w:hyperlink w:anchor="__RefHeading___Toc11066_2435329662" w:tooltip="4.2. Thiết lập thực nghiệm">
            <w:r>
              <w:rPr>
                <w:rStyle w:val="IndexLink"/>
                <w:webHidden/>
              </w:rPr>
              <w:t>4.2. Thiết lập thực nghiệm</w:t>
              <w:tab/>
              <w:t>65</w:t>
            </w:r>
          </w:hyperlink>
        </w:p>
        <w:p>
          <w:pPr>
            <w:pStyle w:val="TOC3"/>
            <w:tabs>
              <w:tab w:val="clear" w:pos="10379"/>
              <w:tab w:val="right" w:pos="8786" w:leader="dot"/>
            </w:tabs>
            <w:rPr/>
          </w:pPr>
          <w:hyperlink w:anchor="__RefHeading___Toc11068_2435329662" w:tooltip="4.2.1. Môi trường và cấu hình phần mềm">
            <w:r>
              <w:rPr>
                <w:rStyle w:val="IndexLink"/>
                <w:webHidden/>
              </w:rPr>
              <w:t>4.2.1. Môi trường và cấu hình phần mềm</w:t>
              <w:tab/>
              <w:t>65</w:t>
            </w:r>
          </w:hyperlink>
        </w:p>
        <w:p>
          <w:pPr>
            <w:pStyle w:val="TOC3"/>
            <w:tabs>
              <w:tab w:val="clear" w:pos="10379"/>
              <w:tab w:val="right" w:pos="8786" w:leader="dot"/>
            </w:tabs>
            <w:rPr/>
          </w:pPr>
          <w:hyperlink w:anchor="__RefHeading___Toc11070_2435329662" w:tooltip="4.2.2. Thiết kế chia dữ liệu">
            <w:r>
              <w:rPr>
                <w:rStyle w:val="IndexLink"/>
                <w:webHidden/>
              </w:rPr>
              <w:t>4.2.2. Thiết kế chia dữ liệu</w:t>
              <w:tab/>
              <w:t>67</w:t>
            </w:r>
          </w:hyperlink>
        </w:p>
        <w:p>
          <w:pPr>
            <w:pStyle w:val="TOC3"/>
            <w:tabs>
              <w:tab w:val="clear" w:pos="10379"/>
              <w:tab w:val="right" w:pos="8786" w:leader="dot"/>
            </w:tabs>
            <w:rPr/>
          </w:pPr>
          <w:hyperlink w:anchor="__RefHeading___Toc11072_2435329662" w:tooltip="4.2.3. Cấu hình huấn luyện và tiêu chí chọn mô hình">
            <w:r>
              <w:rPr>
                <w:rStyle w:val="IndexLink"/>
                <w:webHidden/>
              </w:rPr>
              <w:t>4.2.3. Cấu hình huấn luyện và tiêu chí chọn mô hình</w:t>
              <w:tab/>
              <w:t>69</w:t>
            </w:r>
          </w:hyperlink>
        </w:p>
        <w:p>
          <w:pPr>
            <w:pStyle w:val="TOC2"/>
            <w:tabs>
              <w:tab w:val="clear" w:pos="10663"/>
              <w:tab w:val="right" w:pos="8786" w:leader="dot"/>
            </w:tabs>
            <w:rPr/>
          </w:pPr>
          <w:hyperlink w:anchor="__RefHeading___Toc11074_2435329662" w:tooltip="4.3. Thống kê dữ liệu">
            <w:r>
              <w:rPr>
                <w:rStyle w:val="IndexLink"/>
                <w:webHidden/>
              </w:rPr>
              <w:t>4.3. Thống kê dữ liệu</w:t>
              <w:tab/>
              <w:t>69</w:t>
            </w:r>
          </w:hyperlink>
        </w:p>
        <w:p>
          <w:pPr>
            <w:pStyle w:val="TOC3"/>
            <w:tabs>
              <w:tab w:val="clear" w:pos="10379"/>
              <w:tab w:val="right" w:pos="8786" w:leader="dot"/>
            </w:tabs>
            <w:rPr/>
          </w:pPr>
          <w:hyperlink w:anchor="__RefHeading___Toc11076_2435329662" w:tooltip="4.3.1. Quy mô kho ngữ liệu tin">
            <w:r>
              <w:rPr>
                <w:rStyle w:val="IndexLink"/>
                <w:webHidden/>
              </w:rPr>
              <w:t>4.3.1. Quy mô kho ngữ liệu tin</w:t>
              <w:tab/>
              <w:t>69</w:t>
            </w:r>
          </w:hyperlink>
        </w:p>
        <w:p>
          <w:pPr>
            <w:pStyle w:val="TOC3"/>
            <w:tabs>
              <w:tab w:val="clear" w:pos="10379"/>
              <w:tab w:val="right" w:pos="8786" w:leader="dot"/>
            </w:tabs>
            <w:rPr/>
          </w:pPr>
          <w:hyperlink w:anchor="__RefHeading___Toc11078_2435329662" w:tooltip="4.3.2. Quy mô dữ liệu giá và phân bố nhãn">
            <w:r>
              <w:rPr>
                <w:rStyle w:val="IndexLink"/>
                <w:webHidden/>
              </w:rPr>
              <w:t>4.3.2. Quy mô dữ liệu giá và phân bố nhãn</w:t>
              <w:tab/>
              <w:t>71</w:t>
            </w:r>
          </w:hyperlink>
        </w:p>
        <w:p>
          <w:pPr>
            <w:pStyle w:val="TOC2"/>
            <w:tabs>
              <w:tab w:val="clear" w:pos="10663"/>
              <w:tab w:val="right" w:pos="8786" w:leader="dot"/>
            </w:tabs>
            <w:rPr/>
          </w:pPr>
          <w:hyperlink w:anchor="__RefHeading___Toc11080_2435329662" w:tooltip="4.4. Kết quả phân loại cảm xúc">
            <w:r>
              <w:rPr>
                <w:rStyle w:val="IndexLink"/>
                <w:webHidden/>
              </w:rPr>
              <w:t>4.4. Kết quả phân loại cảm xúc</w:t>
              <w:tab/>
              <w:t>72</w:t>
            </w:r>
          </w:hyperlink>
        </w:p>
        <w:p>
          <w:pPr>
            <w:pStyle w:val="TOC3"/>
            <w:tabs>
              <w:tab w:val="clear" w:pos="10379"/>
              <w:tab w:val="right" w:pos="8786" w:leader="dot"/>
            </w:tabs>
            <w:rPr/>
          </w:pPr>
          <w:hyperlink w:anchor="__RefHeading___Toc11082_2435329662" w:tooltip="4.4.1. Chất lượng nhãn trong miền dữ liệu">
            <w:r>
              <w:rPr>
                <w:rStyle w:val="IndexLink"/>
                <w:webHidden/>
              </w:rPr>
              <w:t>4.4.1. Chất lượng nhãn trong miền dữ liệu</w:t>
              <w:tab/>
              <w:t>72</w:t>
            </w:r>
          </w:hyperlink>
        </w:p>
        <w:p>
          <w:pPr>
            <w:pStyle w:val="TOC3"/>
            <w:tabs>
              <w:tab w:val="clear" w:pos="10379"/>
              <w:tab w:val="right" w:pos="8786" w:leader="dot"/>
            </w:tabs>
            <w:rPr/>
          </w:pPr>
          <w:hyperlink w:anchor="__RefHeading___Toc11084_2435329662" w:tooltip="4.4.2. Chỉ số mô hình cảm xúc">
            <w:r>
              <w:rPr>
                <w:rStyle w:val="IndexLink"/>
                <w:webHidden/>
              </w:rPr>
              <w:t>4.4.2. Chỉ số mô hình cảm xúc</w:t>
              <w:tab/>
              <w:t>73</w:t>
            </w:r>
          </w:hyperlink>
        </w:p>
        <w:p>
          <w:pPr>
            <w:pStyle w:val="TOC2"/>
            <w:tabs>
              <w:tab w:val="clear" w:pos="10663"/>
              <w:tab w:val="right" w:pos="8786" w:leader="dot"/>
            </w:tabs>
            <w:rPr/>
          </w:pPr>
          <w:hyperlink w:anchor="__RefHeading___Toc11086_2435329662" w:tooltip="4.5. Kết quả dự báo xu hướng và loại bỏ đặc trưng">
            <w:r>
              <w:rPr>
                <w:rStyle w:val="IndexLink"/>
                <w:webHidden/>
              </w:rPr>
              <w:t>4.5. Kết quả dự báo xu hướng và loại bỏ đặc trưng</w:t>
              <w:tab/>
              <w:t>76</w:t>
            </w:r>
          </w:hyperlink>
        </w:p>
        <w:p>
          <w:pPr>
            <w:pStyle w:val="TOC3"/>
            <w:tabs>
              <w:tab w:val="clear" w:pos="10379"/>
              <w:tab w:val="right" w:pos="8786" w:leader="dot"/>
            </w:tabs>
            <w:rPr/>
          </w:pPr>
          <w:hyperlink w:anchor="__RefHeading___Toc11088_2435329662" w:tooltip="4.5.1. Báo cáo chỉ số theo lớp">
            <w:r>
              <w:rPr>
                <w:rStyle w:val="IndexLink"/>
                <w:webHidden/>
              </w:rPr>
              <w:t>4.5.1. Báo cáo chỉ số theo lớp</w:t>
              <w:tab/>
              <w:t>78</w:t>
            </w:r>
          </w:hyperlink>
        </w:p>
        <w:p>
          <w:pPr>
            <w:pStyle w:val="TOC3"/>
            <w:tabs>
              <w:tab w:val="clear" w:pos="10379"/>
              <w:tab w:val="right" w:pos="8786" w:leader="dot"/>
            </w:tabs>
            <w:rPr/>
          </w:pPr>
          <w:hyperlink w:anchor="__RefHeading___Toc11090_2435329662" w:tooltip="4.5.2. Đo phần đóng góp của cảm xúc">
            <w:r>
              <w:rPr>
                <w:rStyle w:val="IndexLink"/>
                <w:webHidden/>
              </w:rPr>
              <w:t>4.5.2. Đo phần đóng góp của cảm xúc</w:t>
              <w:tab/>
              <w:t>79</w:t>
            </w:r>
          </w:hyperlink>
        </w:p>
        <w:p>
          <w:pPr>
            <w:pStyle w:val="TOC3"/>
            <w:tabs>
              <w:tab w:val="clear" w:pos="10379"/>
              <w:tab w:val="right" w:pos="8786" w:leader="dot"/>
            </w:tabs>
            <w:rPr/>
          </w:pPr>
          <w:hyperlink w:anchor="__RefHeading___Toc11092_2435329662" w:tooltip="4.5.3. Đánh giá ngoài mẫu với điểm kiểm đóng băng">
            <w:r>
              <w:rPr>
                <w:rStyle w:val="IndexLink"/>
                <w:webHidden/>
              </w:rPr>
              <w:t>4.5.3. Đánh giá ngoài mẫu với điểm kiểm đóng băng</w:t>
              <w:tab/>
              <w:t>81</w:t>
            </w:r>
          </w:hyperlink>
        </w:p>
        <w:p>
          <w:pPr>
            <w:pStyle w:val="TOC3"/>
            <w:tabs>
              <w:tab w:val="clear" w:pos="10379"/>
              <w:tab w:val="right" w:pos="8786" w:leader="dot"/>
            </w:tabs>
            <w:rPr/>
          </w:pPr>
          <w:hyperlink w:anchor="__RefHeading___Toc11094_2435329662" w:tooltip="4.5.4. Tương quan hạng của tín hiệu, không qua mô hình">
            <w:r>
              <w:rPr>
                <w:rStyle w:val="IndexLink"/>
                <w:webHidden/>
              </w:rPr>
              <w:t>4.5.4. Tương quan hạng của tín hiệu, không qua mô hình</w:t>
              <w:tab/>
              <w:t>84</w:t>
            </w:r>
          </w:hyperlink>
        </w:p>
        <w:p>
          <w:pPr>
            <w:pStyle w:val="TOC3"/>
            <w:tabs>
              <w:tab w:val="clear" w:pos="10379"/>
              <w:tab w:val="right" w:pos="8786" w:leader="dot"/>
            </w:tabs>
            <w:rPr/>
          </w:pPr>
          <w:hyperlink w:anchor="__RefHeading___Toc11096_2435329662" w:tooltip="4.5.5. Nhãn lợi suất vượt trội">
            <w:r>
              <w:rPr>
                <w:rStyle w:val="IndexLink"/>
                <w:webHidden/>
              </w:rPr>
              <w:t>4.5.5. Nhãn lợi suất vượt trội</w:t>
              <w:tab/>
              <w:t>86</w:t>
            </w:r>
          </w:hyperlink>
        </w:p>
        <w:p>
          <w:pPr>
            <w:pStyle w:val="TOC3"/>
            <w:tabs>
              <w:tab w:val="clear" w:pos="10379"/>
              <w:tab w:val="right" w:pos="8786" w:leader="dot"/>
            </w:tabs>
            <w:rPr/>
          </w:pPr>
          <w:hyperlink w:anchor="__RefHeading___Toc11098_2435329662" w:tooltip="4.5.6. Ablation chân trời dự báo">
            <w:r>
              <w:rPr>
                <w:rStyle w:val="IndexLink"/>
                <w:webHidden/>
              </w:rPr>
              <w:t>4.5.6. Ablation chân trời dự báo</w:t>
              <w:tab/>
              <w:t>88</w:t>
            </w:r>
          </w:hyperlink>
        </w:p>
        <w:p>
          <w:pPr>
            <w:pStyle w:val="TOC3"/>
            <w:tabs>
              <w:tab w:val="clear" w:pos="10379"/>
              <w:tab w:val="right" w:pos="8786" w:leader="dot"/>
            </w:tabs>
            <w:rPr/>
          </w:pPr>
          <w:hyperlink w:anchor="__RefHeading___Toc11100_2435329662" w:tooltip="4.5.7. Chẩn đoán kinh tế">
            <w:r>
              <w:rPr>
                <w:rStyle w:val="IndexLink"/>
                <w:webHidden/>
              </w:rPr>
              <w:t>4.5.7. Chẩn đoán kinh tế</w:t>
              <w:tab/>
              <w:t>89</w:t>
            </w:r>
          </w:hyperlink>
        </w:p>
        <w:p>
          <w:pPr>
            <w:pStyle w:val="TOC2"/>
            <w:tabs>
              <w:tab w:val="clear" w:pos="10663"/>
              <w:tab w:val="right" w:pos="8786" w:leader="dot"/>
            </w:tabs>
            <w:rPr/>
          </w:pPr>
          <w:hyperlink w:anchor="__RefHeading___Toc11106_2435329662" w:tooltip="4.6. Bàn luận">
            <w:r>
              <w:rPr>
                <w:rStyle w:val="IndexLink"/>
                <w:webHidden/>
              </w:rPr>
              <w:t>4.6. Bàn luận</w:t>
              <w:tab/>
              <w:t>91</w:t>
            </w:r>
          </w:hyperlink>
        </w:p>
        <w:p>
          <w:pPr>
            <w:pStyle w:val="TOC3"/>
            <w:tabs>
              <w:tab w:val="clear" w:pos="10379"/>
              <w:tab w:val="right" w:pos="8786" w:leader="dot"/>
            </w:tabs>
            <w:rPr/>
          </w:pPr>
          <w:hyperlink w:anchor="__RefHeading___Toc11108_2435329662" w:tooltip="4.6.1. Bàn luận theo câu hỏi nghiên cứu">
            <w:r>
              <w:rPr>
                <w:rStyle w:val="IndexLink"/>
                <w:webHidden/>
              </w:rPr>
              <w:t>4.6.1. Bàn luận theo câu hỏi nghiên cứu</w:t>
              <w:tab/>
              <w:t>91</w:t>
            </w:r>
          </w:hyperlink>
        </w:p>
        <w:p>
          <w:pPr>
            <w:pStyle w:val="TOC3"/>
            <w:tabs>
              <w:tab w:val="clear" w:pos="10379"/>
              <w:tab w:val="right" w:pos="8786" w:leader="dot"/>
            </w:tabs>
            <w:rPr/>
          </w:pPr>
          <w:hyperlink w:anchor="__RefHeading___Toc11110_2435329662" w:tooltip="4.6.2. Kiểm tra tính hợp lệ và độ ổn định">
            <w:r>
              <w:rPr>
                <w:rStyle w:val="IndexLink"/>
                <w:webHidden/>
              </w:rPr>
              <w:t>4.6.2. Kiểm tra tính hợp lệ và độ ổn định</w:t>
              <w:tab/>
              <w:t>92</w:t>
            </w:r>
          </w:hyperlink>
        </w:p>
        <w:p>
          <w:pPr>
            <w:pStyle w:val="TOC3"/>
            <w:tabs>
              <w:tab w:val="clear" w:pos="10379"/>
              <w:tab w:val="right" w:pos="8786" w:leader="dot"/>
            </w:tabs>
            <w:rPr/>
          </w:pPr>
          <w:hyperlink w:anchor="__RefHeading___Toc11112_2435329662" w:tooltip="4.6.3. Giới hạn của thực nghiệm">
            <w:r>
              <w:rPr>
                <w:rStyle w:val="IndexLink"/>
                <w:webHidden/>
              </w:rPr>
              <w:t>4.6.3. Giới hạn của thực nghiệm</w:t>
              <w:tab/>
              <w:t>94</w:t>
            </w:r>
          </w:hyperlink>
        </w:p>
        <w:p>
          <w:pPr>
            <w:pStyle w:val="TOC2"/>
            <w:tabs>
              <w:tab w:val="clear" w:pos="10663"/>
              <w:tab w:val="right" w:pos="8786" w:leader="dot"/>
            </w:tabs>
            <w:rPr/>
          </w:pPr>
          <w:hyperlink w:anchor="__RefHeading___Toc11114_2435329662" w:tooltip="4.7. Tập nhãn mở rộng và giao thức đánh giá">
            <w:r>
              <w:rPr>
                <w:rStyle w:val="IndexLink"/>
                <w:webHidden/>
              </w:rPr>
              <w:t>4.7. Tập nhãn mở rộng và giao thức đánh giá</w:t>
              <w:tab/>
              <w:t>95</w:t>
            </w:r>
          </w:hyperlink>
        </w:p>
        <w:p>
          <w:pPr>
            <w:pStyle w:val="TOC2"/>
            <w:tabs>
              <w:tab w:val="clear" w:pos="10663"/>
              <w:tab w:val="right" w:pos="8786" w:leader="dot"/>
            </w:tabs>
            <w:rPr/>
          </w:pPr>
          <w:hyperlink w:anchor="__RefHeading___Toc11116_2435329662" w:tooltip="4.8. Tái lập kết quả">
            <w:r>
              <w:rPr>
                <w:rStyle w:val="IndexLink"/>
                <w:webHidden/>
              </w:rPr>
              <w:t>4.8. Tái lập kết quả</w:t>
              <w:tab/>
              <w:t>97</w:t>
            </w:r>
          </w:hyperlink>
        </w:p>
        <w:p>
          <w:pPr>
            <w:pStyle w:val="TOC1"/>
            <w:tabs>
              <w:tab w:val="clear" w:pos="10946"/>
              <w:tab w:val="right" w:pos="8786" w:leader="dot"/>
            </w:tabs>
            <w:rPr/>
          </w:pPr>
          <w:hyperlink w:anchor="__RefHeading___Toc11118_2435329662" w:tooltip="Chương 5. KẾT LUẬN">
            <w:r>
              <w:rPr>
                <w:rStyle w:val="IndexLink"/>
                <w:webHidden/>
              </w:rPr>
              <w:t>Chương 5. KẾT LUẬN</w:t>
              <w:tab/>
              <w:t>99</w:t>
            </w:r>
          </w:hyperlink>
        </w:p>
        <w:p>
          <w:pPr>
            <w:pStyle w:val="TOC2"/>
            <w:tabs>
              <w:tab w:val="clear" w:pos="10663"/>
              <w:tab w:val="right" w:pos="8786" w:leader="dot"/>
            </w:tabs>
            <w:rPr/>
          </w:pPr>
          <w:hyperlink w:anchor="__RefHeading___Toc11120_2435329662" w:tooltip="5.1. Tóm tắt nội dung thực hiện">
            <w:r>
              <w:rPr>
                <w:rStyle w:val="IndexLink"/>
                <w:webHidden/>
              </w:rPr>
              <w:t>5.1. Tóm tắt nội dung thực hiện</w:t>
              <w:tab/>
              <w:t>99</w:t>
            </w:r>
          </w:hyperlink>
        </w:p>
        <w:p>
          <w:pPr>
            <w:pStyle w:val="TOC2"/>
            <w:tabs>
              <w:tab w:val="clear" w:pos="10663"/>
              <w:tab w:val="right" w:pos="8786" w:leader="dot"/>
            </w:tabs>
            <w:rPr/>
          </w:pPr>
          <w:hyperlink w:anchor="__RefHeading___Toc11122_2435329662" w:tooltip="5.2. Đối chiếu với mục tiêu và câu hỏi nghiên cứu">
            <w:r>
              <w:rPr>
                <w:rStyle w:val="IndexLink"/>
                <w:webHidden/>
              </w:rPr>
              <w:t>5.2. Đối chiếu với mục tiêu và câu hỏi nghiên cứu</w:t>
              <w:tab/>
              <w:t>100</w:t>
            </w:r>
          </w:hyperlink>
        </w:p>
        <w:p>
          <w:pPr>
            <w:pStyle w:val="TOC3"/>
            <w:tabs>
              <w:tab w:val="clear" w:pos="10379"/>
              <w:tab w:val="right" w:pos="8786" w:leader="dot"/>
            </w:tabs>
            <w:rPr/>
          </w:pPr>
          <w:hyperlink w:anchor="__RefHeading___Toc11124_2435329662" w:tooltip="5.2.1. Mức độ hoàn thành các mục tiêu">
            <w:r>
              <w:rPr>
                <w:rStyle w:val="IndexLink"/>
                <w:webHidden/>
              </w:rPr>
              <w:t>5.2.1. Mức độ hoàn thành các mục tiêu</w:t>
              <w:tab/>
              <w:t>100</w:t>
            </w:r>
          </w:hyperlink>
        </w:p>
        <w:p>
          <w:pPr>
            <w:pStyle w:val="TOC3"/>
            <w:tabs>
              <w:tab w:val="clear" w:pos="10379"/>
              <w:tab w:val="right" w:pos="8786" w:leader="dot"/>
            </w:tabs>
            <w:rPr/>
          </w:pPr>
          <w:hyperlink w:anchor="__RefHeading___Toc11126_2435329662" w:tooltip="5.2.2. Trả lời các câu hỏi nghiên cứu">
            <w:r>
              <w:rPr>
                <w:rStyle w:val="IndexLink"/>
                <w:webHidden/>
              </w:rPr>
              <w:t>5.2.2. Trả lời các câu hỏi nghiên cứu</w:t>
              <w:tab/>
              <w:t>100</w:t>
            </w:r>
          </w:hyperlink>
        </w:p>
        <w:p>
          <w:pPr>
            <w:pStyle w:val="TOC2"/>
            <w:tabs>
              <w:tab w:val="clear" w:pos="10663"/>
              <w:tab w:val="right" w:pos="8786" w:leader="dot"/>
            </w:tabs>
            <w:rPr/>
          </w:pPr>
          <w:hyperlink w:anchor="__RefHeading___Toc11128_2435329662" w:tooltip="5.3. Đóng góp và ý nghĩa của đồ án">
            <w:r>
              <w:rPr>
                <w:rStyle w:val="IndexLink"/>
                <w:webHidden/>
              </w:rPr>
              <w:t>5.3. Đóng góp và ý nghĩa của đồ án</w:t>
              <w:tab/>
              <w:t>102</w:t>
            </w:r>
          </w:hyperlink>
        </w:p>
        <w:p>
          <w:pPr>
            <w:pStyle w:val="TOC2"/>
            <w:tabs>
              <w:tab w:val="clear" w:pos="10663"/>
              <w:tab w:val="right" w:pos="8786" w:leader="dot"/>
            </w:tabs>
            <w:rPr/>
          </w:pPr>
          <w:hyperlink w:anchor="__RefHeading___Toc11130_2435329662" w:tooltip="5.4. Giới hạn của đồ án">
            <w:r>
              <w:rPr>
                <w:rStyle w:val="IndexLink"/>
                <w:webHidden/>
              </w:rPr>
              <w:t>5.4. Giới hạn của đồ án</w:t>
              <w:tab/>
              <w:t>103</w:t>
            </w:r>
          </w:hyperlink>
        </w:p>
        <w:p>
          <w:pPr>
            <w:pStyle w:val="TOC2"/>
            <w:tabs>
              <w:tab w:val="clear" w:pos="10663"/>
              <w:tab w:val="right" w:pos="8786" w:leader="dot"/>
            </w:tabs>
            <w:rPr/>
          </w:pPr>
          <w:hyperlink w:anchor="__RefHeading___Toc11132_2435329662" w:tooltip="5.5. Kết luận cuối cùng">
            <w:r>
              <w:rPr>
                <w:rStyle w:val="IndexLink"/>
                <w:webHidden/>
              </w:rPr>
              <w:t>5.5. Kết luận cuối cùng</w:t>
              <w:tab/>
              <w:t>104</w:t>
            </w:r>
          </w:hyperlink>
        </w:p>
        <w:p>
          <w:pPr>
            <w:pStyle w:val="TOC1"/>
            <w:tabs>
              <w:tab w:val="clear" w:pos="10946"/>
              <w:tab w:val="right" w:pos="8786" w:leader="dot"/>
            </w:tabs>
            <w:rPr/>
          </w:pPr>
          <w:hyperlink w:anchor="__RefHeading___Toc11134_2435329662" w:tooltip="Chương 6. HƯỚNG PHÁT TRIỂN">
            <w:r>
              <w:rPr>
                <w:rStyle w:val="IndexLink"/>
                <w:webHidden/>
              </w:rPr>
              <w:t>Chương 6. HƯỚNG PHÁT TRIỂN</w:t>
              <w:tab/>
              <w:t>106</w:t>
            </w:r>
          </w:hyperlink>
        </w:p>
        <w:p>
          <w:pPr>
            <w:pStyle w:val="TOC2"/>
            <w:tabs>
              <w:tab w:val="clear" w:pos="10663"/>
              <w:tab w:val="right" w:pos="8786" w:leader="dot"/>
            </w:tabs>
            <w:rPr/>
          </w:pPr>
          <w:hyperlink w:anchor="__RefHeading___Toc11136_2435329662" w:tooltip="6.1. Mở rộng so sánh mô hình và điều kiện đánh giá">
            <w:r>
              <w:rPr>
                <w:rStyle w:val="IndexLink"/>
                <w:webHidden/>
              </w:rPr>
              <w:t>6.1. Mở rộng so sánh mô hình và điều kiện đánh giá</w:t>
              <w:tab/>
              <w:t>106</w:t>
            </w:r>
          </w:hyperlink>
        </w:p>
        <w:p>
          <w:pPr>
            <w:pStyle w:val="TOC2"/>
            <w:tabs>
              <w:tab w:val="clear" w:pos="10663"/>
              <w:tab w:val="right" w:pos="8786" w:leader="dot"/>
            </w:tabs>
            <w:rPr/>
          </w:pPr>
          <w:hyperlink w:anchor="__RefHeading___Toc11138_2435329662" w:tooltip="6.2. Củng cố đánh giá point-in-time">
            <w:r>
              <w:rPr>
                <w:rStyle w:val="IndexLink"/>
                <w:webHidden/>
              </w:rPr>
              <w:t>6.2. Củng cố đánh giá point-in-time</w:t>
              <w:tab/>
              <w:t>106</w:t>
            </w:r>
          </w:hyperlink>
        </w:p>
        <w:p>
          <w:pPr>
            <w:pStyle w:val="TOC2"/>
            <w:tabs>
              <w:tab w:val="clear" w:pos="10663"/>
              <w:tab w:val="right" w:pos="8786" w:leader="dot"/>
            </w:tabs>
            <w:rPr/>
          </w:pPr>
          <w:hyperlink w:anchor="__RefHeading___Toc11140_2435329662" w:tooltip="6.3. Mở rộng dữ liệu và chất lượng nhãn">
            <w:r>
              <w:rPr>
                <w:rStyle w:val="IndexLink"/>
                <w:webHidden/>
              </w:rPr>
              <w:t>6.3. Mở rộng dữ liệu và chất lượng nhãn</w:t>
              <w:tab/>
              <w:t>107</w:t>
            </w:r>
          </w:hyperlink>
        </w:p>
        <w:p>
          <w:pPr>
            <w:pStyle w:val="TOC2"/>
            <w:tabs>
              <w:tab w:val="clear" w:pos="10663"/>
              <w:tab w:val="right" w:pos="8786" w:leader="dot"/>
            </w:tabs>
            <w:rPr/>
          </w:pPr>
          <w:hyperlink w:anchor="__RefHeading___Toc11142_2435329662" w:tooltip="6.4. Mở rộng biểu diễn và cơ chế hợp nhất">
            <w:r>
              <w:rPr>
                <w:rStyle w:val="IndexLink"/>
                <w:webHidden/>
              </w:rPr>
              <w:t>6.4. Mở rộng biểu diễn và cơ chế hợp nhất</w:t>
              <w:tab/>
              <w:t>108</w:t>
            </w:r>
          </w:hyperlink>
        </w:p>
        <w:p>
          <w:pPr>
            <w:pStyle w:val="TOC2"/>
            <w:tabs>
              <w:tab w:val="clear" w:pos="10663"/>
              <w:tab w:val="right" w:pos="8786" w:leader="dot"/>
            </w:tabs>
            <w:rPr/>
          </w:pPr>
          <w:hyperlink w:anchor="__RefHeading___Toc11144_2435329662" w:tooltip="6.5. Mở rộng phạm vi và xử lý trôi dạt khái niệm">
            <w:r>
              <w:rPr>
                <w:rStyle w:val="IndexLink"/>
                <w:webHidden/>
              </w:rPr>
              <w:t>6.5. Mở rộng phạm vi và xử lý trôi dạt khái niệm</w:t>
              <w:tab/>
              <w:t>109</w:t>
            </w:r>
          </w:hyperlink>
        </w:p>
        <w:p>
          <w:pPr>
            <w:pStyle w:val="TOC2"/>
            <w:tabs>
              <w:tab w:val="clear" w:pos="10663"/>
              <w:tab w:val="right" w:pos="8786" w:leader="dot"/>
            </w:tabs>
            <w:rPr/>
          </w:pPr>
          <w:hyperlink w:anchor="__RefHeading___Toc11146_2435329662" w:tooltip="6.6. Đánh giá giá trị kinh tế có khả năng giao dịch">
            <w:r>
              <w:rPr>
                <w:rStyle w:val="IndexLink"/>
                <w:webHidden/>
              </w:rPr>
              <w:t>6.6. Đánh giá giá trị kinh tế có khả năng giao dịch</w:t>
              <w:tab/>
              <w:t>109</w:t>
            </w:r>
          </w:hyperlink>
        </w:p>
        <w:p>
          <w:pPr>
            <w:pStyle w:val="TOC2"/>
            <w:tabs>
              <w:tab w:val="clear" w:pos="10663"/>
              <w:tab w:val="right" w:pos="8786" w:leader="dot"/>
            </w:tabs>
            <w:rPr/>
          </w:pPr>
          <w:hyperlink w:anchor="__RefHeading___Toc11148_2435329662" w:tooltip="6.7. Hoàn thiện vận hành và khả năng tái lập">
            <w:r>
              <w:rPr>
                <w:rStyle w:val="IndexLink"/>
                <w:webHidden/>
              </w:rPr>
              <w:t>6.7. Hoàn thiện vận hành và khả năng tái lập</w:t>
              <w:tab/>
              <w:t>110</w:t>
            </w:r>
          </w:hyperlink>
        </w:p>
        <w:p>
          <w:pPr>
            <w:pStyle w:val="TOC2"/>
            <w:tabs>
              <w:tab w:val="clear" w:pos="10663"/>
              <w:tab w:val="right" w:pos="8786" w:leader="dot"/>
            </w:tabs>
            <w:rPr/>
          </w:pPr>
          <w:hyperlink w:anchor="__RefHeading___Toc11150_2435329662" w:tooltip="6.8. Lộ trình ưu tiên">
            <w:r>
              <w:rPr>
                <w:rStyle w:val="IndexLink"/>
                <w:webHidden/>
              </w:rPr>
              <w:t>6.8. Lộ trình ưu tiên</w:t>
              <w:tab/>
              <w:t>110</w:t>
            </w:r>
          </w:hyperlink>
        </w:p>
        <w:p>
          <w:pPr>
            <w:pStyle w:val="TOC1"/>
            <w:tabs>
              <w:tab w:val="clear" w:pos="10946"/>
              <w:tab w:val="right" w:pos="8786" w:leader="dot"/>
            </w:tabs>
            <w:rPr/>
          </w:pPr>
          <w:hyperlink w:anchor="__RefHeading___Toc11152_2435329662" w:tooltip="TÀI LIỆU THAM KHẢO">
            <w:r>
              <w:rPr>
                <w:rStyle w:val="IndexLink"/>
                <w:webHidden/>
              </w:rPr>
              <w:t>TÀI LIỆU THAM KHẢO</w:t>
              <w:tab/>
              <w:t>113</w:t>
            </w:r>
          </w:hyperlink>
        </w:p>
        <w:p>
          <w:pPr>
            <w:pStyle w:val="TOC1"/>
            <w:tabs>
              <w:tab w:val="clear" w:pos="10946"/>
              <w:tab w:val="right" w:pos="8786" w:leader="dot"/>
            </w:tabs>
            <w:rPr/>
          </w:pPr>
          <w:hyperlink w:anchor="__RefHeading___Toc11154_2435329662" w:tooltip="PHỤ LỤC A">
            <w:r>
              <w:rPr>
                <w:rStyle w:val="IndexLink"/>
                <w:webHidden/>
              </w:rPr>
              <w:t>PHỤ LỤC A</w:t>
              <w:tab/>
              <w:t>116</w:t>
            </w:r>
          </w:hyperlink>
        </w:p>
        <w:p>
          <w:pPr>
            <w:pStyle w:val="TOC2"/>
            <w:tabs>
              <w:tab w:val="clear" w:pos="10663"/>
              <w:tab w:val="right" w:pos="8786" w:leader="dot"/>
            </w:tabs>
            <w:rPr/>
          </w:pPr>
          <w:hyperlink w:anchor="__RefHeading___Toc11156_2435329662" w:tooltip="A.1. Hướng dẫn gán nhãn cảm xúc trong miền dữ liệu">
            <w:r>
              <w:rPr>
                <w:rStyle w:val="IndexLink"/>
                <w:webHidden/>
              </w:rPr>
              <w:t>A.1. Hướng dẫn gán nhãn cảm xúc trong miền dữ liệu</w:t>
              <w:tab/>
              <w:t>116</w:t>
            </w:r>
          </w:hyperlink>
        </w:p>
        <w:p>
          <w:pPr>
            <w:pStyle w:val="TOC2"/>
            <w:tabs>
              <w:tab w:val="clear" w:pos="10663"/>
              <w:tab w:val="right" w:pos="8786" w:leader="dot"/>
            </w:tabs>
            <w:rPr/>
          </w:pPr>
          <w:hyperlink w:anchor="__RefHeading___Toc11158_2435329662" w:tooltip="A.2. Hồ sơ thiết kế hệ thống">
            <w:r>
              <w:rPr>
                <w:rStyle w:val="IndexLink"/>
                <w:webHidden/>
              </w:rPr>
              <w:t>A.2. Hồ sơ thiết kế hệ thống</w:t>
              <w:tab/>
              <w:t>116</w:t>
            </w:r>
          </w:hyperlink>
        </w:p>
        <w:p>
          <w:pPr>
            <w:pStyle w:val="TOC3"/>
            <w:tabs>
              <w:tab w:val="clear" w:pos="10379"/>
              <w:tab w:val="right" w:pos="8786" w:leader="dot"/>
            </w:tabs>
            <w:rPr/>
          </w:pPr>
          <w:hyperlink w:anchor="__RefHeading___Toc11160_2435329662" w:tooltip="A.2.1. Tác nhân và chức năng">
            <w:r>
              <w:rPr>
                <w:rStyle w:val="IndexLink"/>
                <w:webHidden/>
              </w:rPr>
              <w:t>A.2.1. Tác nhân và chức năng</w:t>
              <w:tab/>
              <w:t>116</w:t>
            </w:r>
          </w:hyperlink>
        </w:p>
        <w:p>
          <w:pPr>
            <w:pStyle w:val="TOC3"/>
            <w:tabs>
              <w:tab w:val="clear" w:pos="10379"/>
              <w:tab w:val="right" w:pos="8786" w:leader="dot"/>
            </w:tabs>
            <w:rPr/>
          </w:pPr>
          <w:hyperlink w:anchor="__RefHeading___Toc11162_2435329662" w:tooltip="A.2.2. Sơ đồ luồng xử lý">
            <w:r>
              <w:rPr>
                <w:rStyle w:val="IndexLink"/>
                <w:webHidden/>
              </w:rPr>
              <w:t>A.2.2. Sơ đồ luồng xử lý</w:t>
              <w:tab/>
              <w:t>117</w:t>
            </w:r>
          </w:hyperlink>
        </w:p>
        <w:p>
          <w:pPr>
            <w:pStyle w:val="TOC3"/>
            <w:tabs>
              <w:tab w:val="clear" w:pos="10379"/>
              <w:tab w:val="right" w:pos="8786" w:leader="dot"/>
            </w:tabs>
            <w:rPr/>
          </w:pPr>
          <w:hyperlink w:anchor="__RefHeading___Toc11164_2435329662" w:tooltip="A.2.3. Các mô-đun chính">
            <w:r>
              <w:rPr>
                <w:rStyle w:val="IndexLink"/>
                <w:webHidden/>
              </w:rPr>
              <w:t>A.2.3. Các mô-đun chính</w:t>
              <w:tab/>
              <w:t>117</w:t>
            </w:r>
          </w:hyperlink>
        </w:p>
        <w:p>
          <w:pPr>
            <w:pStyle w:val="TOC2"/>
            <w:tabs>
              <w:tab w:val="clear" w:pos="10663"/>
              <w:tab w:val="right" w:pos="8786" w:leader="dot"/>
            </w:tabs>
            <w:rPr/>
          </w:pPr>
          <w:hyperlink w:anchor="__RefHeading___Toc11166_2435329662" w:tooltip="A.3. Cấu hình tái lập">
            <w:r>
              <w:rPr>
                <w:rStyle w:val="IndexLink"/>
                <w:webHidden/>
              </w:rPr>
              <w:t>A.3. Cấu hình tái lập</w:t>
              <w:tab/>
              <w:t>118</w:t>
            </w:r>
          </w:hyperlink>
        </w:p>
        <w:p>
          <w:pPr>
            <w:pStyle w:val="TOC2"/>
            <w:tabs>
              <w:tab w:val="clear" w:pos="10663"/>
              <w:tab w:val="right" w:pos="8786" w:leader="dot"/>
            </w:tabs>
            <w:rPr/>
          </w:pPr>
          <w:hyperlink w:anchor="__RefHeading___Toc11168_2435329662" w:tooltip="A.4. Cài đặt và chạy hệ thống">
            <w:r>
              <w:rPr>
                <w:rStyle w:val="IndexLink"/>
                <w:webHidden/>
              </w:rPr>
              <w:t>A.4. Cài đặt và chạy hệ thống</w:t>
              <w:tab/>
              <w:t>118</w:t>
            </w:r>
          </w:hyperlink>
        </w:p>
        <w:p>
          <w:pPr>
            <w:pStyle w:val="TOC2"/>
            <w:tabs>
              <w:tab w:val="clear" w:pos="10663"/>
              <w:tab w:val="right" w:pos="8786" w:leader="dot"/>
            </w:tabs>
            <w:rPr/>
          </w:pPr>
          <w:hyperlink w:anchor="__RefHeading___Toc11170_2435329662" w:tooltip="A.5. Mã nguồn">
            <w:r>
              <w:rPr>
                <w:rStyle w:val="IndexLink"/>
                <w:webHidden/>
              </w:rPr>
              <w:t>A.5. Mã nguồn</w:t>
              <w:tab/>
              <w:t>119</w:t>
            </w:r>
          </w:hyperlink>
          <w:r>
            <w:rPr>
              <w:rStyle w:val="IndexLink"/>
            </w:rPr>
            <w:fldChar w:fldCharType="end"/>
          </w:r>
        </w:p>
      </w:sdtContent>
    </w:sdt>
    <w:p>
      <w:pPr>
        <w:pStyle w:val="Heading1"/>
        <w:rPr/>
      </w:pPr>
      <w:bookmarkStart w:id="5" w:name="__RefHeading___Toc10900_2435329662"/>
      <w:bookmarkEnd w:id="5"/>
      <w:r>
        <w:rPr>
          <w:rFonts w:eastAsia="Times New Roman" w:cs="Times New Roman" w:ascii="Times New Roman" w:hAnsi="Times New Roman"/>
        </w:rPr>
        <w:t>DANH MỤC HÌNH VẼ</w:t>
      </w:r>
    </w:p>
    <w:p>
      <w:pPr>
        <w:pStyle w:val="Normal"/>
        <w:tabs>
          <w:tab w:val="clear" w:pos="720"/>
          <w:tab w:val="right" w:pos="9126" w:leader="dot"/>
        </w:tabs>
        <w:spacing w:lineRule="auto" w:line="360" w:before="0" w:after="60"/>
        <w:rPr/>
      </w:pPr>
      <w:r>
        <w:rPr>
          <w:b/>
        </w:rPr>
        <w:t xml:space="preserve">Hình 3.1: </w:t>
      </w:r>
      <w:r>
        <w:rPr/>
        <w:t>Kiến trúc tổng thể của quy trình dự báo xu hướng giá. Khối xanh dương thể hiện mô hình cảm xúc PhoBERT, khối xanh lá là mức sàn tốt nghiệp, khối nét đứt là phần mở rộng.</w:t>
        <w:tab/>
      </w:r>
      <w:r>
        <w:rPr/>
        <w:fldChar w:fldCharType="begin"/>
      </w:r>
      <w:r>
        <w:rPr/>
        <w:instrText xml:space="preserve"> PAGEREF fig%2525253Akien-truc \h </w:instrText>
      </w:r>
      <w:r>
        <w:rPr/>
        <w:fldChar w:fldCharType="separate"/>
      </w:r>
      <w:r>
        <w:rPr/>
        <w:t>47</w:t>
      </w:r>
      <w:r>
        <w:rPr/>
        <w:fldChar w:fldCharType="end"/>
      </w:r>
    </w:p>
    <w:p>
      <w:pPr>
        <w:pStyle w:val="Normal"/>
        <w:tabs>
          <w:tab w:val="clear" w:pos="720"/>
          <w:tab w:val="right" w:pos="9126" w:leader="dot"/>
        </w:tabs>
        <w:spacing w:lineRule="auto" w:line="360" w:before="0" w:after="60"/>
        <w:rPr/>
      </w:pPr>
      <w:r>
        <w:rPr>
          <w:b/>
        </w:rPr>
        <w:t xml:space="preserve">Hình A.1: </w:t>
      </w:r>
      <w:r>
        <w:rPr/>
        <w:t>Sơ đồ luồng xử lý và báo cáo kết quả của hệ thống.</w:t>
        <w:tab/>
      </w:r>
      <w:r>
        <w:rPr/>
        <w:fldChar w:fldCharType="begin"/>
      </w:r>
      <w:r>
        <w:rPr/>
        <w:instrText xml:space="preserve"> PAGEREF fig%2525253Aphu-luc-luong-xu-ly \h </w:instrText>
      </w:r>
      <w:r>
        <w:rPr/>
        <w:fldChar w:fldCharType="separate"/>
      </w:r>
      <w:r>
        <w:rPr/>
        <w:t>117</w:t>
      </w:r>
      <w:r>
        <w:rPr/>
        <w:fldChar w:fldCharType="end"/>
      </w:r>
    </w:p>
    <w:p>
      <w:pPr>
        <w:pStyle w:val="Heading1"/>
        <w:rPr/>
      </w:pPr>
      <w:bookmarkStart w:id="6" w:name="__RefHeading___Toc10902_2435329662"/>
      <w:bookmarkEnd w:id="6"/>
      <w:r>
        <w:rPr>
          <w:rFonts w:eastAsia="Times New Roman" w:cs="Times New Roman" w:ascii="Times New Roman" w:hAnsi="Times New Roman"/>
        </w:rPr>
        <w:t>DANH MỤC BẢNG BIỂU</w:t>
      </w:r>
    </w:p>
    <w:p>
      <w:pPr>
        <w:pStyle w:val="Normal"/>
        <w:tabs>
          <w:tab w:val="clear" w:pos="720"/>
          <w:tab w:val="right" w:pos="9126" w:leader="dot"/>
        </w:tabs>
        <w:spacing w:lineRule="auto" w:line="360" w:before="0" w:after="60"/>
        <w:rPr/>
      </w:pPr>
      <w:r>
        <w:rPr>
          <w:b/>
        </w:rPr>
        <w:t xml:space="preserve">Bảng 2.1: </w:t>
      </w:r>
      <w:r>
        <w:rPr/>
        <w:t>So sánh các nhóm nghiên cứu liên quan với phạm vi đề tài.</w:t>
        <w:tab/>
      </w:r>
      <w:r>
        <w:rPr/>
        <w:fldChar w:fldCharType="begin"/>
      </w:r>
      <w:r>
        <w:rPr/>
        <w:instrText xml:space="preserve"> PAGEREF tab%2525253Atq-so-sanh \h </w:instrText>
      </w:r>
      <w:r>
        <w:rPr/>
        <w:fldChar w:fldCharType="separate"/>
      </w:r>
      <w:r>
        <w:rPr/>
        <w:t>39</w:t>
      </w:r>
      <w:r>
        <w:rPr/>
        <w:fldChar w:fldCharType="end"/>
      </w:r>
    </w:p>
    <w:p>
      <w:pPr>
        <w:pStyle w:val="Normal"/>
        <w:tabs>
          <w:tab w:val="clear" w:pos="720"/>
          <w:tab w:val="right" w:pos="9126" w:leader="dot"/>
        </w:tabs>
        <w:spacing w:lineRule="auto" w:line="360" w:before="0" w:after="60"/>
        <w:rPr/>
      </w:pPr>
      <w:r>
        <w:rPr>
          <w:b/>
        </w:rPr>
        <w:t xml:space="preserve">Bảng 3.1: </w:t>
      </w:r>
      <w:r>
        <w:rPr/>
        <w:t>Tóm tắt các quyết định thiết kế chính.</w:t>
        <w:tab/>
      </w:r>
      <w:r>
        <w:rPr/>
        <w:fldChar w:fldCharType="begin"/>
      </w:r>
      <w:r>
        <w:rPr/>
        <w:instrText xml:space="preserve"> PAGEREF tab%2525253Acau-hinh \h </w:instrText>
      </w:r>
      <w:r>
        <w:rPr/>
        <w:fldChar w:fldCharType="separate"/>
      </w:r>
      <w:r>
        <w:rPr/>
        <w:t>63</w:t>
      </w:r>
      <w:r>
        <w:rPr/>
        <w:fldChar w:fldCharType="end"/>
      </w:r>
    </w:p>
    <w:p>
      <w:pPr>
        <w:pStyle w:val="Normal"/>
        <w:tabs>
          <w:tab w:val="clear" w:pos="720"/>
          <w:tab w:val="right" w:pos="9126" w:leader="dot"/>
        </w:tabs>
        <w:spacing w:lineRule="auto" w:line="360" w:before="0" w:after="60"/>
        <w:rPr/>
      </w:pPr>
      <w:r>
        <w:rPr>
          <w:b/>
        </w:rPr>
        <w:t xml:space="preserve">Bảng 4.1: </w:t>
      </w:r>
      <w:r>
        <w:rPr/>
        <w:t>Tổng hợp số liệu đầu vào đã kiểm kê (kho tin là toàn bộ lần thu thập, gồm cả năm 2026; số dòng giá là của cửa sổ 2020–2025).</w:t>
        <w:tab/>
      </w:r>
      <w:r>
        <w:rPr/>
        <w:fldChar w:fldCharType="begin"/>
      </w:r>
      <w:r>
        <w:rPr/>
        <w:instrText xml:space="preserve"> PAGEREF tab%2525253Akq-snapshot \h </w:instrText>
      </w:r>
      <w:r>
        <w:rPr/>
        <w:fldChar w:fldCharType="separate"/>
      </w:r>
      <w:r>
        <w:rPr/>
        <w:t>65</w:t>
      </w:r>
      <w:r>
        <w:rPr/>
        <w:fldChar w:fldCharType="end"/>
      </w:r>
    </w:p>
    <w:p>
      <w:pPr>
        <w:pStyle w:val="Normal"/>
        <w:tabs>
          <w:tab w:val="clear" w:pos="720"/>
          <w:tab w:val="right" w:pos="9126" w:leader="dot"/>
        </w:tabs>
        <w:spacing w:lineRule="auto" w:line="360" w:before="0" w:after="60"/>
        <w:rPr/>
      </w:pPr>
      <w:r>
        <w:rPr>
          <w:b/>
        </w:rPr>
        <w:t xml:space="preserve">Bảng 4.2: </w:t>
      </w:r>
      <w:r>
        <w:rPr/>
        <w:t>Thiết lập thực nghiệm đã ghi nhận của hai nhánh.</w:t>
        <w:tab/>
      </w:r>
      <w:r>
        <w:rPr/>
        <w:fldChar w:fldCharType="begin"/>
      </w:r>
      <w:r>
        <w:rPr/>
        <w:instrText xml:space="preserve"> PAGEREF tab%2525253Akq-setup \h </w:instrText>
      </w:r>
      <w:r>
        <w:rPr/>
        <w:fldChar w:fldCharType="separate"/>
      </w:r>
      <w:r>
        <w:rPr/>
        <w:t>67</w:t>
      </w:r>
      <w:r>
        <w:rPr/>
        <w:fldChar w:fldCharType="end"/>
      </w:r>
    </w:p>
    <w:p>
      <w:pPr>
        <w:pStyle w:val="Normal"/>
        <w:tabs>
          <w:tab w:val="clear" w:pos="720"/>
          <w:tab w:val="right" w:pos="9126" w:leader="dot"/>
        </w:tabs>
        <w:spacing w:lineRule="auto" w:line="360" w:before="0" w:after="60"/>
        <w:rPr/>
      </w:pPr>
      <w:r>
        <w:rPr>
          <w:b/>
        </w:rPr>
        <w:t xml:space="preserve">Bảng 4.3: </w:t>
      </w:r>
      <w:r>
        <w:rPr/>
        <w:t>Năm cửa sổ cuốn chiếu và ngưỡng nhãn học từ phần huấn luyện.</w:t>
        <w:tab/>
      </w:r>
      <w:r>
        <w:rPr/>
        <w:fldChar w:fldCharType="begin"/>
      </w:r>
      <w:r>
        <w:rPr/>
        <w:instrText xml:space="preserve"> PAGEREF tab%2525253Akq-windows \h </w:instrText>
      </w:r>
      <w:r>
        <w:rPr/>
        <w:fldChar w:fldCharType="separate"/>
      </w:r>
      <w:r>
        <w:rPr/>
        <w:t>68</w:t>
      </w:r>
      <w:r>
        <w:rPr/>
        <w:fldChar w:fldCharType="end"/>
      </w:r>
    </w:p>
    <w:p>
      <w:pPr>
        <w:pStyle w:val="Normal"/>
        <w:tabs>
          <w:tab w:val="clear" w:pos="720"/>
          <w:tab w:val="right" w:pos="9126" w:leader="dot"/>
        </w:tabs>
        <w:spacing w:lineRule="auto" w:line="360" w:before="0" w:after="60"/>
        <w:rPr/>
      </w:pPr>
      <w:r>
        <w:rPr>
          <w:b/>
        </w:rPr>
        <w:t xml:space="preserve">Bảng 4.4: </w:t>
      </w:r>
      <w:r>
        <w:rPr/>
        <w:t>Thống kê kho ngữ liệu tin tức và độ phủ theo phiên.</w:t>
        <w:tab/>
      </w:r>
      <w:r>
        <w:rPr/>
        <w:fldChar w:fldCharType="begin"/>
      </w:r>
      <w:r>
        <w:rPr/>
        <w:instrText xml:space="preserve"> PAGEREF tab%2525253Akq-news-stats \h </w:instrText>
      </w:r>
      <w:r>
        <w:rPr/>
        <w:fldChar w:fldCharType="separate"/>
      </w:r>
      <w:r>
        <w:rPr/>
        <w:t>70</w:t>
      </w:r>
      <w:r>
        <w:rPr/>
        <w:fldChar w:fldCharType="end"/>
      </w:r>
    </w:p>
    <w:p>
      <w:pPr>
        <w:pStyle w:val="Normal"/>
        <w:tabs>
          <w:tab w:val="clear" w:pos="720"/>
          <w:tab w:val="right" w:pos="9126" w:leader="dot"/>
        </w:tabs>
        <w:spacing w:lineRule="auto" w:line="360" w:before="0" w:after="60"/>
        <w:rPr/>
      </w:pPr>
      <w:r>
        <w:rPr>
          <w:b/>
        </w:rPr>
        <w:t xml:space="preserve">Bảng 4.5: </w:t>
      </w:r>
      <w:r>
        <w:rPr/>
        <w:t>Phân bố nhãn ba lớp trên tập kiểm thử của năm cửa sổ.</w:t>
        <w:tab/>
      </w:r>
      <w:r>
        <w:rPr/>
        <w:fldChar w:fldCharType="begin"/>
      </w:r>
      <w:r>
        <w:rPr/>
        <w:instrText xml:space="preserve"> PAGEREF tab%2525253Akq-price-stats \h </w:instrText>
      </w:r>
      <w:r>
        <w:rPr/>
        <w:fldChar w:fldCharType="separate"/>
      </w:r>
      <w:r>
        <w:rPr/>
        <w:t>72</w:t>
      </w:r>
      <w:r>
        <w:rPr/>
        <w:fldChar w:fldCharType="end"/>
      </w:r>
    </w:p>
    <w:p>
      <w:pPr>
        <w:pStyle w:val="Normal"/>
        <w:tabs>
          <w:tab w:val="clear" w:pos="720"/>
          <w:tab w:val="right" w:pos="9126" w:leader="dot"/>
        </w:tabs>
        <w:spacing w:lineRule="auto" w:line="360" w:before="0" w:after="60"/>
        <w:rPr/>
      </w:pPr>
      <w:r>
        <w:rPr>
          <w:b/>
        </w:rPr>
        <w:t xml:space="preserve">Bảng 4.6: </w:t>
      </w:r>
      <w:r>
        <w:rPr/>
        <w:t>Thông tin gán nhãn tập cảm xúc trong miền dữ liệu.</w:t>
        <w:tab/>
      </w:r>
      <w:r>
        <w:rPr/>
        <w:fldChar w:fldCharType="begin"/>
      </w:r>
      <w:r>
        <w:rPr/>
        <w:instrText xml:space="preserve"> PAGEREF tab%2525253Akq-annotation \h </w:instrText>
      </w:r>
      <w:r>
        <w:rPr/>
        <w:fldChar w:fldCharType="separate"/>
      </w:r>
      <w:r>
        <w:rPr/>
        <w:t>73</w:t>
      </w:r>
      <w:r>
        <w:rPr/>
        <w:fldChar w:fldCharType="end"/>
      </w:r>
    </w:p>
    <w:p>
      <w:pPr>
        <w:pStyle w:val="Normal"/>
        <w:tabs>
          <w:tab w:val="clear" w:pos="720"/>
          <w:tab w:val="right" w:pos="9126" w:leader="dot"/>
        </w:tabs>
        <w:spacing w:lineRule="auto" w:line="360" w:before="0" w:after="60"/>
        <w:rPr/>
      </w:pPr>
      <w:r>
        <w:rPr>
          <w:b/>
        </w:rPr>
        <w:t xml:space="preserve">Bảng 4.7: </w:t>
      </w:r>
      <w:r>
        <w:rPr/>
        <w:t>Kết quả phân loại cảm xúc, trung bình trên 5 lượt.</w:t>
        <w:tab/>
      </w:r>
      <w:r>
        <w:rPr/>
        <w:fldChar w:fldCharType="begin"/>
      </w:r>
      <w:r>
        <w:rPr/>
        <w:instrText xml:space="preserve"> PAGEREF tab%2525253Akq-sentiment \h </w:instrText>
      </w:r>
      <w:r>
        <w:rPr/>
        <w:fldChar w:fldCharType="separate"/>
      </w:r>
      <w:r>
        <w:rPr/>
        <w:t>74</w:t>
      </w:r>
      <w:r>
        <w:rPr/>
        <w:fldChar w:fldCharType="end"/>
      </w:r>
    </w:p>
    <w:p>
      <w:pPr>
        <w:pStyle w:val="Normal"/>
        <w:tabs>
          <w:tab w:val="clear" w:pos="720"/>
          <w:tab w:val="right" w:pos="9126" w:leader="dot"/>
        </w:tabs>
        <w:spacing w:lineRule="auto" w:line="360" w:before="0" w:after="60"/>
        <w:rPr/>
      </w:pPr>
      <w:r>
        <w:rPr>
          <w:b/>
        </w:rPr>
        <w:t xml:space="preserve">Bảng 4.8: </w:t>
      </w:r>
      <w:r>
        <w:rPr/>
        <w:t>F1 và độ bao phủ theo lớp, cấu hình 1.306 mẫu có trọng số, trung bình 5 lượt.</w:t>
        <w:tab/>
      </w:r>
      <w:r>
        <w:rPr/>
        <w:fldChar w:fldCharType="begin"/>
      </w:r>
      <w:r>
        <w:rPr/>
        <w:instrText xml:space="preserve"> PAGEREF tab%2525253Akq-sentiment-class \h </w:instrText>
      </w:r>
      <w:r>
        <w:rPr/>
        <w:fldChar w:fldCharType="separate"/>
      </w:r>
      <w:r>
        <w:rPr/>
        <w:t>75</w:t>
      </w:r>
      <w:r>
        <w:rPr/>
        <w:fldChar w:fldCharType="end"/>
      </w:r>
    </w:p>
    <w:p>
      <w:pPr>
        <w:pStyle w:val="Normal"/>
        <w:tabs>
          <w:tab w:val="clear" w:pos="720"/>
          <w:tab w:val="right" w:pos="9126" w:leader="dot"/>
        </w:tabs>
        <w:spacing w:lineRule="auto" w:line="360" w:before="0" w:after="60"/>
        <w:rPr/>
      </w:pPr>
      <w:r>
        <w:rPr>
          <w:b/>
        </w:rPr>
        <w:t xml:space="preserve">Bảng 4.9: </w:t>
      </w:r>
      <w:r>
        <w:rPr/>
        <w:t>So sánh thang mô hình dự báo xu hướng phiên kế tiếp.</w:t>
        <w:tab/>
      </w:r>
      <w:r>
        <w:rPr/>
        <w:fldChar w:fldCharType="begin"/>
      </w:r>
      <w:r>
        <w:rPr/>
        <w:instrText xml:space="preserve"> PAGEREF tab%2525253Aket-qua \h </w:instrText>
      </w:r>
      <w:r>
        <w:rPr/>
        <w:fldChar w:fldCharType="separate"/>
      </w:r>
      <w:r>
        <w:rPr/>
        <w:t>77</w:t>
      </w:r>
      <w:r>
        <w:rPr/>
        <w:fldChar w:fldCharType="end"/>
      </w:r>
    </w:p>
    <w:p>
      <w:pPr>
        <w:pStyle w:val="Normal"/>
        <w:tabs>
          <w:tab w:val="clear" w:pos="720"/>
          <w:tab w:val="right" w:pos="9126" w:leader="dot"/>
        </w:tabs>
        <w:spacing w:lineRule="auto" w:line="360" w:before="0" w:after="60"/>
        <w:rPr/>
      </w:pPr>
      <w:r>
        <w:rPr>
          <w:b/>
        </w:rPr>
        <w:t xml:space="preserve">Bảng 4.10: </w:t>
      </w:r>
      <w:r>
        <w:rPr/>
        <w:t>Chỉ số theo lớp, trung bình 15 lượt chạy; nhánh hai có cảm xúc là kết quả hồi cứu.</w:t>
        <w:tab/>
      </w:r>
      <w:r>
        <w:rPr/>
        <w:fldChar w:fldCharType="begin"/>
      </w:r>
      <w:r>
        <w:rPr/>
        <w:instrText xml:space="preserve"> PAGEREF tab%2525253Akq-theo-lop \h </w:instrText>
      </w:r>
      <w:r>
        <w:rPr/>
        <w:fldChar w:fldCharType="separate"/>
      </w:r>
      <w:r>
        <w:rPr/>
        <w:t>78</w:t>
      </w:r>
      <w:r>
        <w:rPr/>
        <w:fldChar w:fldCharType="end"/>
      </w:r>
    </w:p>
    <w:p>
      <w:pPr>
        <w:pStyle w:val="Normal"/>
        <w:tabs>
          <w:tab w:val="clear" w:pos="720"/>
          <w:tab w:val="right" w:pos="9126" w:leader="dot"/>
        </w:tabs>
        <w:spacing w:lineRule="auto" w:line="360" w:before="0" w:after="60"/>
        <w:rPr/>
      </w:pPr>
      <w:r>
        <w:rPr>
          <w:b/>
        </w:rPr>
        <w:t xml:space="preserve">Bảng 4.11: </w:t>
      </w:r>
      <w:r>
        <w:rPr/>
        <w:t>Tách hiệu ứng kiến trúc–sự hiện diện–khối lượng tin và đóng góp thông tin phân cực, F1 vĩ mô.</w:t>
        <w:tab/>
      </w:r>
      <w:r>
        <w:rPr/>
        <w:fldChar w:fldCharType="begin"/>
      </w:r>
      <w:r>
        <w:rPr/>
        <w:instrText xml:space="preserve"> PAGEREF tab%2525253Akq-ablation \h </w:instrText>
      </w:r>
      <w:r>
        <w:rPr/>
        <w:fldChar w:fldCharType="separate"/>
      </w:r>
      <w:r>
        <w:rPr/>
        <w:t>80</w:t>
      </w:r>
      <w:r>
        <w:rPr/>
        <w:fldChar w:fldCharType="end"/>
      </w:r>
    </w:p>
    <w:p>
      <w:pPr>
        <w:pStyle w:val="Normal"/>
        <w:tabs>
          <w:tab w:val="clear" w:pos="720"/>
          <w:tab w:val="right" w:pos="9126" w:leader="dot"/>
        </w:tabs>
        <w:spacing w:lineRule="auto" w:line="360" w:before="0" w:after="60"/>
        <w:rPr/>
      </w:pPr>
      <w:r>
        <w:rPr>
          <w:b/>
        </w:rPr>
        <w:t xml:space="preserve">Bảng 4.12: </w:t>
      </w:r>
      <w:r>
        <w:rPr/>
        <w:t>Đóng góp thông tin của cảm xúc: một ước lượng điểm, hai cách lấy mẫu lặp.</w:t>
        <w:tab/>
      </w:r>
      <w:r>
        <w:rPr/>
        <w:fldChar w:fldCharType="begin"/>
      </w:r>
      <w:r>
        <w:rPr/>
        <w:instrText xml:space="preserve"> PAGEREF tab%2525253Akq-ablation-ci \h </w:instrText>
      </w:r>
      <w:r>
        <w:rPr/>
        <w:fldChar w:fldCharType="separate"/>
      </w:r>
      <w:r>
        <w:rPr/>
        <w:t>80</w:t>
      </w:r>
      <w:r>
        <w:rPr/>
        <w:fldChar w:fldCharType="end"/>
      </w:r>
    </w:p>
    <w:p>
      <w:pPr>
        <w:pStyle w:val="Normal"/>
        <w:tabs>
          <w:tab w:val="clear" w:pos="720"/>
          <w:tab w:val="right" w:pos="9126" w:leader="dot"/>
        </w:tabs>
        <w:spacing w:lineRule="auto" w:line="360" w:before="0" w:after="60"/>
        <w:rPr/>
      </w:pPr>
      <w:r>
        <w:rPr>
          <w:b/>
        </w:rPr>
        <w:t xml:space="preserve">Bảng 4.13: </w:t>
      </w:r>
      <w:r>
        <w:rPr/>
        <w:t>Đóng góp thông tin phân cực (F1 vĩ mô) của LSTM hai nhánh theo ba điểm kiểm cảm xúc, cùng cửa sổ kiểm thử.</w:t>
        <w:tab/>
      </w:r>
      <w:r>
        <w:rPr/>
        <w:fldChar w:fldCharType="begin"/>
      </w:r>
      <w:r>
        <w:rPr/>
        <w:instrText xml:space="preserve"> PAGEREF tab%2525253Akq-pit \h </w:instrText>
      </w:r>
      <w:r>
        <w:rPr/>
        <w:fldChar w:fldCharType="separate"/>
      </w:r>
      <w:r>
        <w:rPr/>
        <w:t>83</w:t>
      </w:r>
      <w:r>
        <w:rPr/>
        <w:fldChar w:fldCharType="end"/>
      </w:r>
    </w:p>
    <w:p>
      <w:pPr>
        <w:pStyle w:val="Normal"/>
        <w:tabs>
          <w:tab w:val="clear" w:pos="720"/>
          <w:tab w:val="right" w:pos="9126" w:leader="dot"/>
        </w:tabs>
        <w:spacing w:lineRule="auto" w:line="360" w:before="0" w:after="60"/>
        <w:rPr/>
      </w:pPr>
      <w:r>
        <w:rPr>
          <w:b/>
        </w:rPr>
        <w:t xml:space="preserve">Bảng 4.14: </w:t>
      </w:r>
      <w:r>
        <w:rPr/>
        <w:t>Tương quan hạng Spearman giữa sent_pos_minus_neg và lợi suất thực hiện, điểm kiểm đóng băng.</w:t>
        <w:tab/>
      </w:r>
      <w:r>
        <w:rPr/>
        <w:fldChar w:fldCharType="begin"/>
      </w:r>
      <w:r>
        <w:rPr/>
        <w:instrText xml:space="preserve"> PAGEREF tab%2525253Akq-ic \h </w:instrText>
      </w:r>
      <w:r>
        <w:rPr/>
        <w:fldChar w:fldCharType="separate"/>
      </w:r>
      <w:r>
        <w:rPr/>
        <w:t>84</w:t>
      </w:r>
      <w:r>
        <w:rPr/>
        <w:fldChar w:fldCharType="end"/>
      </w:r>
    </w:p>
    <w:p>
      <w:pPr>
        <w:pStyle w:val="Normal"/>
        <w:tabs>
          <w:tab w:val="clear" w:pos="720"/>
          <w:tab w:val="right" w:pos="9126" w:leader="dot"/>
        </w:tabs>
        <w:spacing w:lineRule="auto" w:line="360" w:before="0" w:after="60"/>
        <w:rPr/>
      </w:pPr>
      <w:r>
        <w:rPr>
          <w:b/>
        </w:rPr>
        <w:t xml:space="preserve">Bảng 4.15: </w:t>
      </w:r>
      <w:r>
        <w:rPr/>
        <w:t>F1 vĩ mô theo hai cách gán nhãn, cùng điểm kiểm đóng băng và cùng cửa sổ kiểm thử.</w:t>
        <w:tab/>
      </w:r>
      <w:r>
        <w:rPr/>
        <w:fldChar w:fldCharType="begin"/>
      </w:r>
      <w:r>
        <w:rPr/>
        <w:instrText xml:space="preserve"> PAGEREF tab%2525253Akq-excess \h </w:instrText>
      </w:r>
      <w:r>
        <w:rPr/>
        <w:fldChar w:fldCharType="separate"/>
      </w:r>
      <w:r>
        <w:rPr/>
        <w:t>87</w:t>
      </w:r>
      <w:r>
        <w:rPr/>
        <w:fldChar w:fldCharType="end"/>
      </w:r>
    </w:p>
    <w:p>
      <w:pPr>
        <w:pStyle w:val="Normal"/>
        <w:tabs>
          <w:tab w:val="clear" w:pos="720"/>
          <w:tab w:val="right" w:pos="9126" w:leader="dot"/>
        </w:tabs>
        <w:spacing w:lineRule="auto" w:line="360" w:before="0" w:after="60"/>
        <w:rPr/>
      </w:pPr>
      <w:r>
        <w:rPr>
          <w:b/>
        </w:rPr>
        <w:t xml:space="preserve">Bảng 4.16: </w:t>
      </w:r>
      <w:r>
        <w:rPr/>
        <w:t>F1 vĩ mô và đóng góp thông tin phân cực theo chân trời dự báo, điểm kiểm đóng băng.</w:t>
        <w:tab/>
      </w:r>
      <w:r>
        <w:rPr/>
        <w:fldChar w:fldCharType="begin"/>
      </w:r>
      <w:r>
        <w:rPr/>
        <w:instrText xml:space="preserve"> PAGEREF tab%2525253Akq-horizon \h </w:instrText>
      </w:r>
      <w:r>
        <w:rPr/>
        <w:fldChar w:fldCharType="separate"/>
      </w:r>
      <w:r>
        <w:rPr/>
        <w:t>88</w:t>
      </w:r>
      <w:r>
        <w:rPr/>
        <w:fldChar w:fldCharType="end"/>
      </w:r>
    </w:p>
    <w:p>
      <w:pPr>
        <w:pStyle w:val="Normal"/>
        <w:tabs>
          <w:tab w:val="clear" w:pos="720"/>
          <w:tab w:val="right" w:pos="9126" w:leader="dot"/>
        </w:tabs>
        <w:spacing w:lineRule="auto" w:line="360" w:before="0" w:after="60"/>
        <w:rPr/>
      </w:pPr>
      <w:r>
        <w:rPr>
          <w:b/>
        </w:rPr>
        <w:t xml:space="preserve">Bảng 4.17: </w:t>
      </w:r>
      <w:r>
        <w:rPr/>
        <w:t>Chẩn đoán kinh tế của các nhánh trên 300 phiên kiểm thử, điểm kiểm đóng băng, phí 20 điểm cơ bản.</w:t>
        <w:tab/>
      </w:r>
      <w:r>
        <w:rPr/>
        <w:fldChar w:fldCharType="begin"/>
      </w:r>
      <w:r>
        <w:rPr/>
        <w:instrText xml:space="preserve"> PAGEREF tab%2525253Akq-backtest \h </w:instrText>
      </w:r>
      <w:r>
        <w:rPr/>
        <w:fldChar w:fldCharType="separate"/>
      </w:r>
      <w:r>
        <w:rPr/>
        <w:t>90</w:t>
      </w:r>
      <w:r>
        <w:rPr/>
        <w:fldChar w:fldCharType="end"/>
      </w:r>
    </w:p>
    <w:p>
      <w:pPr>
        <w:pStyle w:val="Normal"/>
        <w:tabs>
          <w:tab w:val="clear" w:pos="720"/>
          <w:tab w:val="right" w:pos="9126" w:leader="dot"/>
        </w:tabs>
        <w:spacing w:lineRule="auto" w:line="360" w:before="0" w:after="60"/>
        <w:rPr/>
      </w:pPr>
      <w:r>
        <w:rPr>
          <w:b/>
        </w:rPr>
        <w:t xml:space="preserve">Bảng 4.18: </w:t>
      </w:r>
      <w:r>
        <w:rPr/>
        <w:t>Thiết kế ba tầng của đợt rút mẫu mở rộng.</w:t>
        <w:tab/>
      </w:r>
      <w:r>
        <w:rPr/>
        <w:fldChar w:fldCharType="begin"/>
      </w:r>
      <w:r>
        <w:rPr/>
        <w:instrText xml:space="preserve"> PAGEREF tab%2525253Akq-strata \h </w:instrText>
      </w:r>
      <w:r>
        <w:rPr/>
        <w:fldChar w:fldCharType="separate"/>
      </w:r>
      <w:r>
        <w:rPr/>
        <w:t>96</w:t>
      </w:r>
      <w:r>
        <w:rPr/>
        <w:fldChar w:fldCharType="end"/>
      </w:r>
    </w:p>
    <w:p>
      <w:pPr>
        <w:pStyle w:val="Normal"/>
        <w:tabs>
          <w:tab w:val="clear" w:pos="720"/>
          <w:tab w:val="right" w:pos="9126" w:leader="dot"/>
        </w:tabs>
        <w:spacing w:lineRule="auto" w:line="360" w:before="0" w:after="60"/>
        <w:rPr/>
      </w:pPr>
      <w:r>
        <w:rPr>
          <w:b/>
        </w:rPr>
        <w:t xml:space="preserve">Bảng 4.19: </w:t>
      </w:r>
      <w:r>
        <w:rPr/>
        <w:t>Nguồn artifact của các bảng kết quả.</w:t>
        <w:tab/>
      </w:r>
      <w:r>
        <w:rPr/>
        <w:fldChar w:fldCharType="begin"/>
      </w:r>
      <w:r>
        <w:rPr/>
        <w:instrText xml:space="preserve"> PAGEREF tab%2525253Akq-artifact \h </w:instrText>
      </w:r>
      <w:r>
        <w:rPr/>
        <w:fldChar w:fldCharType="separate"/>
      </w:r>
      <w:r>
        <w:rPr/>
        <w:t>98</w:t>
      </w:r>
      <w:r>
        <w:rPr/>
        <w:fldChar w:fldCharType="end"/>
      </w:r>
    </w:p>
    <w:p>
      <w:pPr>
        <w:pStyle w:val="Normal"/>
        <w:tabs>
          <w:tab w:val="clear" w:pos="720"/>
          <w:tab w:val="right" w:pos="9126" w:leader="dot"/>
        </w:tabs>
        <w:spacing w:lineRule="auto" w:line="360" w:before="0" w:after="60"/>
        <w:rPr/>
      </w:pPr>
      <w:r>
        <w:rPr>
          <w:b/>
        </w:rPr>
        <w:t xml:space="preserve">Bảng 5.1: </w:t>
      </w:r>
      <w:r>
        <w:rPr/>
        <w:t>Đối chiếu câu hỏi nghiên cứu với bằng chứng thực nghiệm.</w:t>
        <w:tab/>
      </w:r>
      <w:r>
        <w:rPr/>
        <w:fldChar w:fldCharType="begin"/>
      </w:r>
      <w:r>
        <w:rPr/>
        <w:instrText xml:space="preserve"> PAGEREF tab%2525253Aket-luan-cau-hoi \h </w:instrText>
      </w:r>
      <w:r>
        <w:rPr/>
        <w:fldChar w:fldCharType="separate"/>
      </w:r>
      <w:r>
        <w:rPr/>
        <w:t>101</w:t>
      </w:r>
      <w:r>
        <w:rPr/>
        <w:fldChar w:fldCharType="end"/>
      </w:r>
    </w:p>
    <w:p>
      <w:pPr>
        <w:pStyle w:val="Normal"/>
        <w:tabs>
          <w:tab w:val="clear" w:pos="720"/>
          <w:tab w:val="right" w:pos="9126" w:leader="dot"/>
        </w:tabs>
        <w:spacing w:lineRule="auto" w:line="360" w:before="0" w:after="60"/>
        <w:rPr/>
      </w:pPr>
      <w:r>
        <w:rPr>
          <w:b/>
        </w:rPr>
        <w:t xml:space="preserve">Bảng 6.1: </w:t>
      </w:r>
      <w:r>
        <w:rPr/>
        <w:t>Lộ trình ưu tiên cho các hướng phát triển.</w:t>
        <w:tab/>
      </w:r>
      <w:r>
        <w:rPr/>
        <w:fldChar w:fldCharType="begin"/>
      </w:r>
      <w:r>
        <w:rPr/>
        <w:instrText xml:space="preserve"> PAGEREF tab%2525253Ahuong-phat-trien-uu-tien \h </w:instrText>
      </w:r>
      <w:r>
        <w:rPr/>
        <w:fldChar w:fldCharType="separate"/>
      </w:r>
      <w:r>
        <w:rPr/>
        <w:t>112</w:t>
      </w:r>
      <w:r>
        <w:rPr/>
        <w:fldChar w:fldCharType="end"/>
      </w:r>
      <w:bookmarkEnd w:id="2"/>
    </w:p>
    <w:p>
      <w:pPr>
        <w:pStyle w:val="Heading1"/>
        <w:rPr/>
      </w:pPr>
      <w:bookmarkStart w:id="7" w:name="__RefHeading___Toc10904_2435329662"/>
      <w:bookmarkEnd w:id="7"/>
      <w:r>
        <w:rPr>
          <w:rFonts w:eastAsia="Times New Roman" w:cs="Times New Roman" w:ascii="Times New Roman" w:hAnsi="Times New Roman"/>
        </w:rPr>
        <w:t>DANH MỤC TỪ VIẾT TẮT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cantSplit/>
        </w:trPr>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Từ viết tắt</w:t>
            </w:r>
          </w:p>
        </w:tc>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Diễn giải</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AUC</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Diện tích dưới đường cong ROC</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BiLSTM</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Mạng ghi nhớ dài-ngắn hai chiều</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CI</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Khoảng tin cậy</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HOSE</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Sở Giao dịch Chứng khoán Thành phố Hồ Chí Minh</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Mạng ghi nhớ dài-ngắn</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NLP</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Xử lý ngôn ngữ tự nhiên</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OHLCV</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Giá mở cửa - cao nhất - thấp nhất - đóng cửa - khối lượng</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PhoBERT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Mô hình ngôn ngữ tiền huấn luyện cho tiếng Việt</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Bộ biến đổi hợp nhất theo thời gian</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VN30</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Chỉ số 30 cổ phiếu vốn hóa lớn trên HOSE</w:t>
            </w:r>
            <w:bookmarkStart w:id="8" w:name="danh-mục-từ-viết-tắt"/>
            <w:bookmarkEnd w:id="8"/>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985" w:right="1134" w:gutter="0" w:header="708" w:top="1701" w:footer="708" w:bottom="1985"/>
          <w:pgNumType w:fmt="decimal"/>
          <w:formProt w:val="false"/>
          <w:textDirection w:val="lrTb"/>
          <w:docGrid w:type="default" w:linePitch="100" w:charSpace="0"/>
        </w:sectPr>
      </w:pPr>
    </w:p>
    <w:p>
      <w:pPr>
        <w:pStyle w:val="Heading1"/>
        <w:rPr/>
      </w:pPr>
      <w:bookmarkStart w:id="9" w:name="__RefHeading___Toc10906_2435329662"/>
      <w:bookmarkEnd w:id="9"/>
      <w:r>
        <w:rPr>
          <w:rFonts w:eastAsia="Times New Roman" w:cs="Times New Roman" w:ascii="Times New Roman" w:hAnsi="Times New Roman"/>
        </w:rPr>
        <w:t>TÓM TẮT ĐỒ ÁN</w:t>
      </w:r>
    </w:p>
    <w:p>
      <w:pPr>
        <w:pStyle w:val="FirstParagraph"/>
        <w:rPr/>
      </w:pPr>
      <w:r>
        <w:rPr/>
        <w:t>Đồ án nghiên cứu bài toán dự báo xu hướng biến động giá cổ phiếu trên thị trường chứng khoán Việt Nam thông qua việc kết hợp tin tức tài chính tiếng Việt với dữ liệu giá theo chuỗi thời gian. Bài toán được đặt ra từ thực tế rằng giá cổ phiếu vừa phản ánh lịch sử giao dịch, vừa phản ứng với thông tin về kết quả kinh doanh, kế hoạch đầu tư, thay đổi quản trị, chính sách, rủi ro pháp lý và các sự kiện bất thường. Phạm vi nghiên cứu tập trung vào sàn HOSE và một nhóm mã thuộc VN30. Mục tiêu của nghiên cứu là xác định hướng biến động trong phiên giao dịch kế tiếp theo ba lớp tăng, đi ngang và giảm, thay vì dự báo trực tiếp giá trị tuyệt đối.</w:t>
      </w:r>
    </w:p>
    <w:p>
      <w:pPr>
        <w:pStyle w:val="BodyText"/>
        <w:rPr/>
      </w:pPr>
      <w:r>
        <w:rPr/>
        <w:t xml:space="preserve">Hệ thống gồm hai nhánh. Nhánh thứ nhất sử dụng PhoBERT, một mô hình Transformer được tiền huấn luyện cho tiếng Việt, để phân loại tin tức tài chính thành ba lớp tích cực, trung tính và tiêu cực </w:t>
      </w:r>
      <w:hyperlink w:anchor="ref-Nguyen2020_200300744v3">
        <w:r>
          <w:rPr>
            <w:rStyle w:val="Hyperlink"/>
          </w:rPr>
          <w:t>[16]</w:t>
        </w:r>
      </w:hyperlink>
      <w:r>
        <w:rPr/>
        <w:t>. Nhãn biểu thị tác động kỳ vọng của nội dung đối với doanh nghiệp hoặc cổ phiếu liên quan, thay vì chỉ phản ánh sắc thái chung của câu văn. Sau bước suy luận, hệ thống lưu xác suất của cả ba lớp thay vì chỉ lưu nhãn có xác suất cao nhất. Các xác suất này được tổng hợp theo mã cổ phiếu và ngày giao dịch, cùng với số lượng tin, tỷ lệ lớp, độ phân tán và cờ biểu thị sự hiện diện của tin.</w:t>
      </w:r>
    </w:p>
    <w:p>
      <w:pPr>
        <w:pStyle w:val="BodyText"/>
        <w:rPr/>
      </w:pPr>
      <w:r>
        <w:rPr/>
        <w:t>Nhánh thứ hai sử dụng dữ liệu OHLCV đã điều chỉnh và các đặc trưng nhân quả, bao gồm lợi suất, lợi suất log, tỷ lệ giữa giá đóng cửa và đường trung bình động, thay đổi khối lượng và độ biến động. Hai nhánh được căn chỉnh theo mã và ngày sau khi áp dụng quy tắc về thời điểm. Thời điểm công bố tin được chuyển sang múi giờ Việt Nam; tin xuất hiện sau mốc cắt thông tin, vào cuối tuần hoặc ngày nghỉ được ánh xạ sang phiên giao dịch kế tiếp. Quy tắc này bảo đảm thời điểm của từng bài tin phù hợp với phiên sử dụng tin đó. Giới hạn thời điểm của điểm kiểm cảm xúc hồi cứu được trình bày rõ trong phần kết quả.</w:t>
      </w:r>
    </w:p>
    <w:p>
      <w:pPr>
        <w:pStyle w:val="BodyText"/>
        <w:rPr/>
      </w:pPr>
      <w:r>
        <w:rPr/>
        <w:t>Về kiến trúc, các mô hình được phân thành từng tầng nhằm tách biệt vấn đề dữ liệu với mức độ phức tạp của mô hình. Tầng đầu gồm mô hình luôn dự báo lớp phổ biến nhất và mô hình dự báo ngẫu nhiên theo phân bố lớp. Tầng cơ sở gồm LSTM chỉ sử dụng dữ liệu giá và LSTM hai nhánh kết hợp dữ liệu giá với cảm xúc. Bộ biến đổi hợp nhất theo thời gian chỉ được xem xét như một phương án mở rộng khi dữ liệu, tài nguyên và kết quả của cấu hình cơ sở cho phép.</w:t>
      </w:r>
    </w:p>
    <w:p>
      <w:pPr>
        <w:pStyle w:val="BodyText"/>
        <w:rPr/>
      </w:pPr>
      <w:r>
        <w:rPr/>
        <w:t>Về phương pháp, đồ án xây dựng một quy trình xử lý gồm khảo sát tài liệu, thu thập và làm sạch dữ liệu, loại bỏ bản ghi trùng, lưu thông tin truy nguyên, gắn tin với mã cổ phiếu, đồng bộ theo phiên, tinh chỉnh mô hình cảm xúc, tạo đặc trưng, huấn luyện và đánh giá. Bộ dữ liệu tin tức gồm tiêu đề, nội dung khi có thể thu thập, nguồn, URL, thời điểm công bố và mã liên quan. Các bài viết đề cập đến nhiều mã được lưu theo quan hệ nhiều mã; các bản ghi thiếu thời điểm hoặc không xác định được mã được đánh dấu và không được đưa trực tiếp vào bảng đặc trưng chính.</w:t>
      </w:r>
    </w:p>
    <w:p>
      <w:pPr>
        <w:pStyle w:val="BodyText"/>
        <w:rPr/>
      </w:pPr>
      <w:r>
        <w:rPr/>
        <w:t>Dữ liệu giá được chia theo thứ tự thời gian bằng kiểm định cuốn chiếu với năm đoạn kiểm thử tách biệt. Nghiên cứu không sử dụng tập kiểm thử cuối riêng biệt vì cấu hình được cố định trước lần chạy và mỗi đoạn kiểm thử chỉ được đánh giá một lần. Bộ chuẩn hóa, bộ điền khuyết, ngưỡng tạo nhãn, lựa chọn đặc trưng và các tham số của nhánh giá chỉ được học từ phần huấn luyện trong từng cửa sổ. Mô hình sử dụng cảm xúc được so sánh với mô hình chỉ sử dụng giá trên cùng các ngày huấn luyện, xác thực và kiểm thử, đồng thời áp dụng cùng phương pháp tiền xử lý, hạt giống ngẫu nhiên hoặc tập hạt giống và tiêu chí dừng. Đối chứng giữ nguyên kiến trúc và độ phủ tin nhằm tách chênh lệch hồi cứu do xác suất cảm xúc khỏi ảnh hưởng của kiến trúc hoặc phương pháp chia mẫu.</w:t>
      </w:r>
    </w:p>
    <w:p>
      <w:pPr>
        <w:pStyle w:val="BodyText"/>
        <w:rPr/>
      </w:pPr>
      <w:r>
        <w:rPr/>
        <w:t>Về dữ liệu, kho tin lưu trữ 10.695 bản ghi có URL, thời điểm đăng và nội dung trong cửa sổ 2020–2025, cùng 12.624 liên kết tin–mã trên 10 mã VN30 và 14.990 dòng giá OHLCV trong cùng giai đoạn. Tập nhãn cảm xúc trong miền dữ liệu đã được rà soát gồm 1.306 mẫu, bên cạnh tập hạt giống CafeF gồm 999 mẫu. Kết quả xác thực chéo phân tầng 5 lượt trên tập 1.306 mẫu đạt F1 vĩ mô 0,7298, độ chính xác 0,8125 và độ chính xác cân bằng 0,7689; tổng số mẫu NEGATIVE trong năm tập kiểm thử ngoài là 59, với độ bao phủ 0,6803.</w:t>
      </w:r>
    </w:p>
    <w:p>
      <w:pPr>
        <w:pStyle w:val="BodyText"/>
        <w:rPr/>
      </w:pPr>
      <w:r>
        <w:rPr/>
        <w:t>Sau khi khóa cấu hình, một điểm kiểm triển khai được tinh chỉnh lại trên toàn bộ 1.306 nhãn với năm epoch cố định và được dùng để chấm lại 14.256 liên kết tin–mã, trong đó 12.624 liên kết thuộc cửa sổ 2020–2025 và 12.613 liên kết được neo vào một phiên bên trong cửa sổ. Bảng dự báo gồm 14.990 dòng mã–phiên, trong đó 6.948 dòng có tin. Đối với bài toán dự báo, mô hình LSTM chỉ sử dụng giá đạt F1 vĩ mô 0,3756, độ chính xác cân bằng 0,3915 và AUC-ROC một-chống-còn-lại 0,5714. Giá trị F1 vĩ mô này cao hơn mốc ngẫu nhiên 0,3289 và mốc lớp phổ biến 0,1453. Tầng TFT tối giản đạt 0,3619, thấp hơn kết quả của LSTM. Do nhãn ba lớp được xác định theo phân vị một phần ba, các lớp gần cân bằng theo thiết kế và mức ngẫu nhiên của bài toán là 0,333.</w:t>
      </w:r>
    </w:p>
    <w:p>
      <w:pPr>
        <w:pStyle w:val="BodyText"/>
        <w:rPr/>
      </w:pPr>
      <w:r>
        <w:rPr/>
        <w:t xml:space="preserve">Đóng góp riêng của tín hiệu cảm xúc được đo bằng một đối chứng giữ nguyên kiến trúc hai nhánh, bài tin, thời điểm và số lượng tin, nhưng thay xác suất cảm xúc thực bằng phân phối tiên nghiệm trung tính. Trong lượt hồi cứu, hiệu số trực tiếp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0113</m:t>
        </m:r>
      </m:oMath>
      <w:r>
        <w:rPr/>
        <w:t xml:space="preserve"> F1 vĩ mô, trong đó hiệu ứng của kiến trúc, sự hiện diện và khối lượng tin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0034</m:t>
        </m:r>
      </m:oMath>
      <w:r>
        <w:rPr/>
        <w:t xml:space="preserve">, còn đóng góp thông tin theo cửa sổ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0080</m:t>
        </m:r>
      </m:oMath>
      <w:r>
        <w:rPr/>
        <w:t xml:space="preserve">; khoảng tin cậy 95% theo ngày là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0025</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0186</m:t>
        </m:r>
        <m:r>
          <w:rPr>
            <w:rFonts w:ascii="Cambria Math" w:hAnsi="Cambria Math"/>
          </w:rPr>
          <m:t xml:space="preserve">]</m:t>
        </m:r>
      </m:oMath>
      <w:r>
        <w:rPr/>
        <w:t>, chứa 0.</w:t>
      </w:r>
    </w:p>
    <w:p>
      <w:pPr>
        <w:pStyle w:val="BodyText"/>
        <w:rPr/>
      </w:pPr>
      <w:r>
        <w:rPr/>
        <w:t xml:space="preserve">Do điểm kiểm của lượt hồi cứu được học từ cả những nhãn công bố sau các ngày kiểm thử, các số liệu trên chỉ phản ánh chênh lệch hồi cứu. Lượt ngoài mẫu sử dụng điểm kiểm được đóng băng chỉ từ 1.049 nhãn công bố trước ngày quan sát kiểm thử đầu tiên, đồng thời sử dụng một điểm kiểm đối chứng có kích thước và phân bố lớp tương ứng để tách ảnh hưởng của kích thước tập huấn luyện. Lượt này đã được đo và xác minh. Đóng góp thông tin ngoài mẫu của LSTM hai nhánh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0094</m:t>
        </m:r>
      </m:oMath>
      <w:r>
        <w:rPr/>
        <w:t xml:space="preserve"> F1 vĩ mô theo cửa sổ, với khoảng tin cậy 95% theo ngày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0009</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0196</m:t>
        </m:r>
        <m:r>
          <w:rPr>
            <w:rFonts w:ascii="Cambria Math" w:hAnsi="Cambria Math"/>
          </w:rPr>
          <m:t xml:space="preserve">]</m:t>
        </m:r>
      </m:oMath>
      <w:r>
        <w:rPr/>
        <w:t xml:space="preserve"> chứa 0; lượt đối chứng cùng kích thước (hạt giống 7) đạt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0028</m:t>
        </m:r>
      </m:oMath>
      <w:r>
        <w:rPr/>
        <w:t xml:space="preserve"> theo cửa sổ, với khoảng tin cậy theo ngày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0074</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0133</m:t>
        </m:r>
        <m:r>
          <w:rPr>
            <w:rFonts w:ascii="Cambria Math" w:hAnsi="Cambria Math"/>
          </w:rPr>
          <m:t xml:space="preserve">]</m:t>
        </m:r>
      </m:oMath>
      <w:r>
        <w:rPr/>
        <w:t xml:space="preserve"> chứa 0. Cả ba ước lượng điểm đều dương và nằm trong khoảng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m:t>
        </m:r>
      </m:oMath>
      <w:r>
        <w:rPr/>
        <w:t xml:space="preserve"> đến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m:t>
        </m:r>
      </m:oMath>
      <w:r>
        <w:rPr/>
        <w:t>, nhưng tất cả các khoảng tin cậy đều chứa 0. Ngoài ra, các lượt đo này là nhiều phép so sánh trên cùng một bộ dữ liệu, nên không có cơ sở tuyên bố ý nghĩa thống kê. Bốn phân tích bổ sung được thực hiện để khảo sát độ vững của kết luận, gồm tương quan hạng giữa điểm cảm xúc và lợi suất không qua mô hình, nhãn lợi suất vượt trội so với các mã cùng phiên, ablation chân trời dự báo và chẩn đoán kinh tế trong khung thăm dò không giao dịch được. Cả bốn phân tích đều không xác định được cải thiện có thể tái lập. Vì vậy, trong phạm vi đã đo, chưa có bằng chứng đủ mạnh cho thấy cảm xúc cải thiện kết quả dự báo; đồng thời, dữ liệu cũng không loại trừ khả năng tồn tại một cải thiện nhỏ. Kết quả không được diễn giải thành quan hệ nhân quả hay khuyến nghị đầu tư.</w:t>
      </w:r>
    </w:p>
    <w:p>
      <w:pPr>
        <w:pStyle w:val="BodyText"/>
        <w:rPr/>
      </w:pPr>
      <w:r>
        <w:rPr/>
        <w:t>Từ khóa: dự báo xu hướng giá cổ phiếu, phân tích cảm xúc, PhoBERT, Transformer, chuỗi thời gian, HOSE, VN30.</w:t>
      </w:r>
    </w:p>
    <w:p>
      <w:pPr>
        <w:pStyle w:val="Heading1"/>
        <w:rPr/>
      </w:pPr>
      <w:bookmarkStart w:id="10" w:name="__RefHeading___Toc10908_2435329662"/>
      <w:bookmarkStart w:id="11" w:name="ch%2525253Amo-dau"/>
      <w:bookmarkEnd w:id="10"/>
      <w:r>
        <w:rPr>
          <w:rFonts w:eastAsia="Times New Roman" w:cs="Times New Roman" w:ascii="Times New Roman" w:hAnsi="Times New Roman"/>
        </w:rPr>
        <w:t>Chương 1. MỞ ĐẦU</w:t>
      </w:r>
    </w:p>
    <w:p>
      <w:pPr>
        <w:pStyle w:val="Heading2"/>
        <w:rPr/>
      </w:pPr>
      <w:bookmarkStart w:id="12" w:name="__RefHeading___Toc10910_2435329662"/>
      <w:bookmarkEnd w:id="12"/>
      <w:r>
        <w:rPr>
          <w:rFonts w:eastAsia="Times New Roman" w:cs="Times New Roman" w:ascii="Times New Roman" w:hAnsi="Times New Roman"/>
        </w:rPr>
        <w:t>1.1. Tính cấp thiết của đề tài</w:t>
      </w:r>
    </w:p>
    <w:p>
      <w:pPr>
        <w:pStyle w:val="Heading3"/>
        <w:rPr/>
      </w:pPr>
      <w:bookmarkStart w:id="13" w:name="__RefHeading___Toc10912_2435329662"/>
      <w:bookmarkStart w:id="14" w:name="tính-cấp-thiết-về-mặt-thực-tiễn"/>
      <w:bookmarkEnd w:id="13"/>
      <w:r>
        <w:rPr>
          <w:rFonts w:eastAsia="Times New Roman" w:cs="Times New Roman"/>
        </w:rPr>
        <w:t>1.1.1. Tính cấp thiết về mặt thực tiễn</w:t>
      </w:r>
    </w:p>
    <w:p>
      <w:pPr>
        <w:pStyle w:val="FirstParagraph"/>
        <w:rPr/>
      </w:pPr>
      <w:r>
        <w:rPr/>
        <w:t xml:space="preserve">Thị trường chứng khoán là một hệ thống có mức độ biến động cao. Giá cổ phiếu được hình thành từ sự tương tác giữa tình hình hoạt động của doanh nghiệp, điều kiện kinh tế vĩ mô, diễn biến ngành, dòng tiền trên thị trường và kỳ vọng của nhà đầu tư. Bên cạnh dữ liệu giao dịch, tin tức tài chính là nguồn thông tin có thể tác động trực tiếp đến cách nhà đầu tư đánh giá doanh nghiệp và đưa ra quyết định mua, bán hoặc nắm giữ. Thông tin về kết quả kinh doanh, kế hoạch đầu tư, thay đổi nhân sự cấp cao, chính sách quản lý, hoạt động mua bán và sáp nhập, rủi ro pháp lý hoặc biến động bất thường của thị trường đều có thể làm thay đổi tâm lý nhà đầu tư trong thời gian ngắn. Do đó, nghiên cứu và xây dựng phương pháp phân tích tác động của tin tức tài chính đến biến động giá cổ phiếu có ý nghĩa đối với cả xử lý ngôn ngữ tự nhiên và phân tích chuỗi thời gian </w:t>
      </w:r>
      <w:hyperlink w:anchor="ref-Chen2019_191005078v1">
        <w:r>
          <w:rPr>
            <w:rStyle w:val="Hyperlink"/>
          </w:rPr>
          <w:t>[3]</w:t>
        </w:r>
      </w:hyperlink>
      <w:r>
        <w:rPr/>
        <w:t xml:space="preserve">, </w:t>
      </w:r>
      <w:hyperlink w:anchor="ref-Chen2021_210708721v1">
        <w:r>
          <w:rPr>
            <w:rStyle w:val="Hyperlink"/>
          </w:rPr>
          <w:t>[4]</w:t>
        </w:r>
      </w:hyperlink>
      <w:r>
        <w:rPr/>
        <w:t>.</w:t>
      </w:r>
    </w:p>
    <w:p>
      <w:pPr>
        <w:pStyle w:val="BodyText"/>
        <w:rPr/>
      </w:pPr>
      <w:r>
        <w:rPr/>
        <w:t>Trong bối cảnh này, đề tài được lựa chọn dựa trên các lý do sau.</w:t>
      </w:r>
    </w:p>
    <w:p>
      <w:pPr>
        <w:pStyle w:val="BodyText"/>
        <w:rPr/>
      </w:pPr>
      <w:r>
        <w:rPr/>
        <w:t>Thứ nhất, lượng thông tin tài chính được công bố hằng ngày ngày càng lớn và phân tán trên nhiều nguồn. Trong phạm vi đồ án, các nguồn tin có thể khác nhau về cách trình bày, thời điểm đăng tải và mức độ chi tiết. Vì vậy, cần xây dựng một quy trình tự động để thu thập, làm sạch, gắn tin với mã cổ phiếu, kiểm tra thời điểm và tổng hợp nội dung, qua đó bảo đảm tính nhất quán của dữ liệu và hỗ trợ phân tích ở quy mô lớn.</w:t>
      </w:r>
    </w:p>
    <w:p>
      <w:pPr>
        <w:pStyle w:val="BodyText"/>
        <w:rPr/>
      </w:pPr>
      <w:r>
        <w:rPr/>
        <w:t xml:space="preserve">Thứ hai, dữ liệu giá lịch sử chỉ phản ánh kết quả giao dịch đã xảy ra và không thể hiện đầy đủ nội dung thông tin dẫn đến thay đổi trong kỳ vọng của nhà đầu tư. Hai phiên giao dịch có thể có đặc điểm kỹ thuật tương tự nhưng cho kết quả khác nhau nếu bối cảnh tin tức khác nhau. Tin tức về lợi nhuận, dự án mới, thay đổi quản trị hoặc rủi ro pháp lý có thể tạo ra các hướng phản ứng khác nhau, ngay cả khi các chỉ báo giá tại thời điểm trước đó gần giống nhau. Việc bổ sung tín hiệu cảm xúc từ tin tức tài chính có thể cung cấp thêm một lớp thông tin về mức độ tích cực, trung tính hoặc tiêu cực của các sự kiện liên quan đến doanh nghiệp và thị trường. Tuy nhiên, giá trị của tín hiệu này được xem là một giả thuyết cần kiểm chứng bằng thực nghiệm, không phải kết luận được xác lập trước </w:t>
      </w:r>
      <w:hyperlink w:anchor="ref-Jiang2023_230602136v3">
        <w:r>
          <w:rPr>
            <w:rStyle w:val="Hyperlink"/>
          </w:rPr>
          <w:t>[11]</w:t>
        </w:r>
      </w:hyperlink>
      <w:r>
        <w:rPr/>
        <w:t xml:space="preserve">, </w:t>
      </w:r>
      <w:hyperlink w:anchor="ref-Siala2026_260200086v3">
        <w:r>
          <w:rPr>
            <w:rStyle w:val="Hyperlink"/>
          </w:rPr>
          <w:t>[18]</w:t>
        </w:r>
      </w:hyperlink>
      <w:r>
        <w:rPr/>
        <w:t>.</w:t>
      </w:r>
    </w:p>
    <w:p>
      <w:pPr>
        <w:pStyle w:val="BodyText"/>
        <w:rPr/>
      </w:pPr>
      <w:r>
        <w:rPr/>
        <w:t xml:space="preserve">Đối với Việt Nam, tin tức tài chính cần được xử lý bằng tiếng Việt. Quá trình xử lý cần xem xét các đặc điểm của ngôn ngữ này, chẳng hạn như từ ghép, quy tắc tách từ, dấu thanh, tên doanh nghiệp, mã cổ phiếu và cách biểu đạt số liệu. Cùng một doanh nghiệp có thể được gọi bằng tên đầy đủ, tên viết tắt hoặc mã giao dịch; một bài viết cũng có thể đồng thời đề cập đến nhiều doanh nghiệp. Nếu các đặc điểm này không được xử lý phù hợp, bước gắn tin với mã cổ phiếu có thể tạo ra nhiễu trước khi mô hình được huấn luyện </w:t>
      </w:r>
      <w:hyperlink w:anchor="ref-Nguyen2020_200300744v3">
        <w:r>
          <w:rPr>
            <w:rStyle w:val="Hyperlink"/>
          </w:rPr>
          <w:t>[16]</w:t>
        </w:r>
      </w:hyperlink>
      <w:r>
        <w:rPr/>
        <w:t>.</w:t>
      </w:r>
    </w:p>
    <w:p>
      <w:pPr>
        <w:pStyle w:val="BodyText"/>
        <w:rPr/>
      </w:pPr>
      <w:r>
        <w:rPr/>
        <w:t xml:space="preserve">PhoBERT là mô hình ngôn ngữ tiền huấn luyện dành cho tiếng Việt, do đó phù hợp để làm mô hình nền cho bước phân loại văn bản trong đề tài </w:t>
      </w:r>
      <w:hyperlink w:anchor="ref-Nguyen2020_200300744v3">
        <w:r>
          <w:rPr>
            <w:rStyle w:val="Hyperlink"/>
          </w:rPr>
          <w:t>[16]</w:t>
        </w:r>
      </w:hyperlink>
      <w:r>
        <w:rPr/>
        <w:t xml:space="preserve">. Trong miền tiếng Anh, FinBERT cho thấy việc thích nghi BERT với ngữ liệu tài chính có thể tạo ra biểu diễn hữu ích cho phân tích cảm xúc </w:t>
      </w:r>
      <w:hyperlink w:anchor="ref-Yang2020_200608097v2">
        <w:r>
          <w:rPr>
            <w:rStyle w:val="Hyperlink"/>
          </w:rPr>
          <w:t>[24]</w:t>
        </w:r>
      </w:hyperlink>
      <w:r>
        <w:rPr/>
        <w:t>. Hai hướng tiếp cận này gợi ý cách thiết kế đồ án: lựa chọn mô hình nền phù hợp với ngôn ngữ của dữ liệu, tinh chỉnh mô hình và sử dụng đầu ra cho nhiệm vụ dự báo. Việc lựa chọn PhoBERT không đồng nghĩa với việc mô hình tự động hiểu chính xác mọi thuật ngữ tài chính. Các trường hợp liên quan đến tên riêng, số liệu, câu phủ định và bài viết chứa nhiều sự kiện vẫn cần được kiểm tra bằng dữ liệu gán nhãn và phân tích lỗi.</w:t>
      </w:r>
    </w:p>
    <w:p>
      <w:pPr>
        <w:pStyle w:val="BodyText"/>
        <w:rPr/>
      </w:pPr>
      <w:r>
        <w:rPr/>
        <w:t>HOSE và nhóm cổ phiếu VN30 được lựa chọn làm phạm vi khảo sát của đồ án vì cho phép tổ chức dữ liệu theo một danh sách mã xác định và một lịch giao dịch thống nhất. Quyết định này nhằm kiểm soát phạm vi thu thập, đồng bộ và đánh giá dữ liệu, không khẳng định rằng mẫu nghiên cứu đại diện cho toàn bộ thị trường. Danh sách mã và ngày bắt đầu sử dụng phải được ghi trong bản kê.</w:t>
      </w:r>
    </w:p>
    <w:p>
      <w:pPr>
        <w:pStyle w:val="BodyText"/>
        <w:rPr/>
      </w:pPr>
      <w:r>
        <w:rPr/>
        <w:t>Đặc điểm ngành, thanh khoản, mức độ phản ứng với tin tức và mật độ bài viết của từng mã có thể khác nhau. Thành phần rổ VN30 cũng có thể thay đổi theo thời gian, trong khi một số doanh nghiệp có số lượng tin nhiều hơn đáng kể so với các doanh nghiệp khác. Vì vậy, kết quả chỉ được diễn giải như bằng chứng thực nghiệm trong phạm vi mẫu, giai đoạn và nguồn dữ liệu đã chọn.</w:t>
      </w:r>
    </w:p>
    <w:p>
      <w:pPr>
        <w:pStyle w:val="BodyText"/>
        <w:rPr/>
      </w:pPr>
      <w:r>
        <w:rPr/>
        <w:t>Dữ liệu giá phản ánh kết quả giao dịch thông qua giá mở cửa, giá cao nhất, giá thấp nhất, giá đóng cửa, khối lượng và lợi suất. Tin tức mô tả sự kiện hoặc kỳ vọng và thường xuất hiện trước khi phản ứng tương ứng được phản ánh đầy đủ vào giá. Vì vậy, hai nguồn dữ liệu có khả năng bổ sung cho nhau, nhưng khác nhau về dạng biểu diễn, tần suất, độ dài và thời điểm xuất hiện. Một ngày có thể có nhiều bài viết, trong khi một ngày khác không có bài nào, mặc dù giá vẫn được ghi nhận ở cả hai ngày. Tin tức có thể xuất hiện trước giờ mở cửa, trong phiên, sau giờ đóng cửa hoặc vào ngày nghỉ. Trong đồ án, quy tắc ánh xạ theo thời điểm công bố được sử dụng để hạn chế việc đưa thông tin chưa xuất hiện vào thời điểm dự báo.</w:t>
      </w:r>
    </w:p>
    <w:p>
      <w:pPr>
        <w:pStyle w:val="BodyText"/>
        <w:rPr/>
      </w:pPr>
      <w:r>
        <w:rPr/>
        <w:t>Mô hình chỉ sử dụng giá có thể bỏ qua thông tin về sự kiện và kỳ vọng, trong khi mô hình chỉ sử dụng cảm xúc có thể không nắm bắt được xu hướng, biến động, thanh khoản và trạng thái kỹ thuật của cổ phiếu. Đề tài xử lý riêng hai nguồn dữ liệu, tổng hợp tin theo mã và ngày, sau đó so sánh mô hình có cảm xúc với mô hình chỉ sử dụng giá trong cùng điều kiện. Câu hỏi cần trả lời không phải là mô hình nhiều đầu vào có điểm cao hơn, mà là nhóm đặc trưng cảm xúc có tạo ra thông tin gia tăng sau khi lịch sử giá đã được sử dụng hay không.</w:t>
      </w:r>
    </w:p>
    <w:p>
      <w:pPr>
        <w:pStyle w:val="BodyText"/>
        <w:rPr/>
      </w:pPr>
      <w:r>
        <w:rPr/>
        <w:t xml:space="preserve">Các kiến trúc kết hợp tin tức và giá trong nghiên cứu quốc tế có thể trích xuất cảm xúc bằng FinBERT rồi đưa kết quả vào LSTM, hoặc giữ lại biểu diễn ngữ cảnh và sử dụng mô hình ngôn ngữ lớn để biểu diễn văn bản chi tiết hơn </w:t>
      </w:r>
      <w:hyperlink w:anchor="ref-Elahi2024_241101368v1">
        <w:r>
          <w:rPr>
            <w:rStyle w:val="Hyperlink"/>
          </w:rPr>
          <w:t>[6]</w:t>
        </w:r>
      </w:hyperlink>
      <w:r>
        <w:rPr/>
        <w:t xml:space="preserve">, </w:t>
      </w:r>
      <w:hyperlink w:anchor="ref-Gu2024_240716150v1">
        <w:r>
          <w:rPr>
            <w:rStyle w:val="Hyperlink"/>
          </w:rPr>
          <w:t>[8]</w:t>
        </w:r>
      </w:hyperlink>
      <w:r>
        <w:rPr/>
        <w:t xml:space="preserve">, </w:t>
      </w:r>
      <w:hyperlink w:anchor="ref-Halder2022_221107392v1">
        <w:r>
          <w:rPr>
            <w:rStyle w:val="Hyperlink"/>
          </w:rPr>
          <w:t>[9]</w:t>
        </w:r>
      </w:hyperlink>
      <w:r>
        <w:rPr/>
        <w:t>. Ưu điểm của việc sử dụng vector xác suất cảm xúc là duy trì mức độ không chắc chắn của bộ phân loại và cho phép tổng hợp nhiều bài viết trong cùng ngày. Tuy nhiên, quá trình tổng hợp có thể làm mất thứ tự bài viết, khác biệt giữa các nguồn và chi tiết của từng sự kiện. Nếu giữ biểu diễn toàn văn, kích thước đặc trưng và chi phí xử lý sẽ tăng, trong khi dữ liệu tài chính tiếng Việt có thể chưa đủ lớn để kiểm soát hiện tượng quá khớp.</w:t>
      </w:r>
    </w:p>
    <w:p>
      <w:pPr>
        <w:pStyle w:val="BodyText"/>
        <w:rPr/>
      </w:pPr>
      <w:r>
        <w:rPr/>
        <w:t>Mức cải thiện quan sát được trên dữ liệu nước ngoài không thể tự động chuyển thành hiệu quả trên HOSE. Ngôn ngữ, cấu trúc thị trường, nguồn tin, thời gian giao dịch, quy tắc gắn nhãn giữa mô hình chỉ dùng giá và mô hình có thêm cảm xúc ở vị trí trung tâm, với cùng cửa sổ thời gian, cách tiền xử lý, hạt giống hoặc tập hạt giống, ngân sách huấn luyện và tập kiểm thử.</w:t>
      </w:r>
    </w:p>
    <w:p>
      <w:pPr>
        <w:pStyle w:val="BodyText"/>
        <w:rPr/>
      </w:pPr>
      <w:r>
        <w:rPr/>
        <w:t>Khó khăn của bài toán không chỉ liên quan đến việc lựa chọn mô hình có nhiều tham số hơn. Có ít nhất bốn vấn đề phương pháp cần được xử lý đồng thời.</w:t>
      </w:r>
    </w:p>
    <w:p>
      <w:pPr>
        <w:pStyle w:val="BodyText"/>
        <w:rPr/>
      </w:pPr>
      <w:r>
        <w:rPr/>
        <w:t>Thứ nhất, văn bản phải được gắn với đúng mã cổ phiếu và đúng thời điểm. Một bài viết được đăng hoặc cập nhật sau thời điểm ra quyết định không thể được sử dụng để giải thích phiên trước đó. Nếu tin sau giờ giao dịch, tin cuối tuần hoặc tin thiếu thông tin thời gian không được xử lý thống nhất, mô hình có thể tiếp cận thông tin tương lai và tạo ra kết quả cao nhưng không phản ánh điều kiện dự báo thực tế. Vì vậy, mỗi bản ghi cần lưu giữ mốc thời gian, nguồn, URL và trạng thái ánh xạ để phục vụ việc kiểm tra lại.</w:t>
      </w:r>
    </w:p>
    <w:p>
      <w:pPr>
        <w:pStyle w:val="BodyText"/>
        <w:rPr/>
      </w:pPr>
      <w:r>
        <w:rPr/>
        <w:t>Thứ hai, tín hiệu ở cấp bài viết phải được tổng hợp thành đặc trưng ở cấp mã và ngày. Nếu chỉ lựa chọn một bài nổi bật hoặc chỉ tính giá trị trung bình mà bỏ qua số lượng, tỷ lệ lớp, độ phân tán và ngày không có tin, đặc trưng có thể không phản ánh cường độ cũng như độ phủ của thông tin. Ngày có nhiều tin trung tính phải được phân biệt với ngày hoàn toàn không có tin vì hai tình huống này có mức độ quan sát khác nhau.</w:t>
      </w:r>
    </w:p>
    <w:p>
      <w:pPr>
        <w:pStyle w:val="BodyText"/>
        <w:rPr/>
      </w:pPr>
      <w:r>
        <w:rPr/>
        <w:t>Thứ ba, dữ liệu tài chính thường mất cân bằng và phân phối có thể thay đổi theo thời gian. Một mô hình có thể đạt độ chính xác tương đối cao chỉ bằng cách dự đoán lớp phổ biến nhất, nhưng vẫn bỏ sót các phiên giảm hoặc đi ngang. Bài toán ba lớp cũng nhạy cảm với cách lựa chọn ngưỡng cho vùng đi ngang. Vì vậy, đồ án sử dụng F1 vĩ mô và độ chính xác cân bằng, kèm theo độ chính xác dương tính, độ bao phủ và F1 theo từng lớp, ma trận nhầm lẫn và AUC-ROC một-chống-còn-lại khi đầu ra có xác suất.</w:t>
      </w:r>
    </w:p>
    <w:p>
      <w:pPr>
        <w:pStyle w:val="BodyText"/>
        <w:rPr/>
      </w:pPr>
      <w:r>
        <w:rPr/>
        <w:t xml:space="preserve">Thứ tư, phép đánh giá phải tuân thủ thứ tự thời gian. Việc chuẩn hóa, điền khuyết, chọn đặc trưng, chọn ngưỡng nhãn hoặc tinh chỉnh mô hình bằng dữ liệu tương lai đều làm giảm giá trị của kết quả ngoài mẫu. Mô hình cũng có thể ghi nhớ bản sao của cùng một bài nếu việc loại trùng chỉ được thực hiện sau khi chia tập. Các nghiên cứu về dự báo biến động giá cổ phiếu cho thấy benchmark, dữ liệu và giao thức đánh giá có vai trò không kém việc thay đổi kiến trúc </w:t>
      </w:r>
      <w:hyperlink w:anchor="ref-Chen2021_210708721v1">
        <w:r>
          <w:rPr>
            <w:rStyle w:val="Hyperlink"/>
          </w:rPr>
          <w:t>[4]</w:t>
        </w:r>
      </w:hyperlink>
      <w:r>
        <w:rPr/>
        <w:t xml:space="preserve">, </w:t>
      </w:r>
      <w:hyperlink w:anchor="ref-Feng2018_181009936v2">
        <w:r>
          <w:rPr>
            <w:rStyle w:val="Hyperlink"/>
          </w:rPr>
          <w:t>[7]</w:t>
        </w:r>
      </w:hyperlink>
      <w:r>
        <w:rPr/>
        <w:t>.</w:t>
      </w:r>
      <w:bookmarkEnd w:id="14"/>
    </w:p>
    <w:p>
      <w:pPr>
        <w:pStyle w:val="Heading3"/>
        <w:rPr/>
      </w:pPr>
      <w:bookmarkStart w:id="15" w:name="__RefHeading___Toc10914_2435329662"/>
      <w:bookmarkEnd w:id="15"/>
      <w:r>
        <w:rPr>
          <w:rFonts w:eastAsia="Times New Roman" w:cs="Times New Roman"/>
        </w:rPr>
        <w:t>1.1.2. Tính cấp thiết về mặt lý luận</w:t>
      </w:r>
    </w:p>
    <w:p>
      <w:pPr>
        <w:pStyle w:val="FirstParagraph"/>
        <w:rPr/>
      </w:pPr>
      <w:r>
        <w:rPr/>
        <w:t>Về mặt lý luận, ba lý do còn lại xuất phát từ sự phát triển của các mô hình ngôn ngữ và mô hình chuỗi thời gian.</w:t>
      </w:r>
    </w:p>
    <w:p>
      <w:pPr>
        <w:pStyle w:val="BodyText"/>
        <w:rPr/>
      </w:pPr>
      <w:r>
        <w:rPr/>
        <w:t xml:space="preserve">Thứ ba, sự phát triển của các mô hình ngôn ngữ tiền huấn luyện tạo điều kiện thuận lợi cho việc xử lý văn bản theo ngữ cảnh. BERT đặt nền tảng cho việc học biểu diễn hai chiều và tinh chỉnh một mô hình chung cho nhiều nhiệm vụ xử lý ngôn ngữ tự nhiên. Trên cơ sở đó, PhoBERT được xây dựng như một mô hình ngôn ngữ đơn ngữ tiền huấn luyện dành cho tiếng Việt </w:t>
      </w:r>
      <w:hyperlink w:anchor="ref-Nguyen2020_200300744v3">
        <w:r>
          <w:rPr>
            <w:rStyle w:val="Hyperlink"/>
          </w:rPr>
          <w:t>[16]</w:t>
        </w:r>
      </w:hyperlink>
      <w:r>
        <w:rPr/>
        <w:t xml:space="preserve">. Đối với văn bản tài chính, biểu diễn theo ngữ cảnh đặc biệt quan trọng vì sắc thái của thông tin không chỉ phụ thuộc vào từng từ riêng lẻ mà còn phụ thuộc vào chủ thể được đề cập, hiện tượng phủ định, số liệu, thời hạn và quan hệ giữa các sự kiện. Chẳng hạn, từ “tăng” có thể mô tả doanh thu, lợi nhuận, chi phí hoặc rủi ro, do đó tác động không thể được xác định chỉ bằng cách đếm từ khóa. Trong miền tiếng Anh, FinBERT cũng cho thấy việc thích nghi BERT với ngữ liệu tài chính là một hướng tiếp cận có cơ sở </w:t>
      </w:r>
      <w:hyperlink w:anchor="ref-Yang2020_200608097v2">
        <w:r>
          <w:rPr>
            <w:rStyle w:val="Hyperlink"/>
          </w:rPr>
          <w:t>[24]</w:t>
        </w:r>
      </w:hyperlink>
      <w:r>
        <w:rPr/>
        <w:t>.</w:t>
      </w:r>
    </w:p>
    <w:p>
      <w:pPr>
        <w:pStyle w:val="BodyText"/>
        <w:rPr/>
      </w:pPr>
      <w:r>
        <w:rPr/>
        <w:t xml:space="preserve">Thứ tư, các mô hình học sâu dành cho dữ liệu tuần tự như LSTM, Transformer và Bộ biến đổi hợp nhất theo thời gian có khả năng khai thác quan hệ theo thời gian giữa nhiều nhóm đặc trưng. LSTM được thiết kế để học các phụ thuộc dài hạn trong chuỗi; Transformer sử dụng cơ chế chú ý để mô hình hóa quan hệ giữa các phần tử; còn Bộ biến đổi hợp nhất theo thời gian kết hợp xử lý tuần tự, lựa chọn biến và cơ chế chú ý để hỗ trợ dự báo đa biến có khả năng giải thích </w:t>
      </w:r>
      <w:hyperlink w:anchor="ref-Feng2018_181009936v2">
        <w:r>
          <w:rPr>
            <w:rStyle w:val="Hyperlink"/>
          </w:rPr>
          <w:t>[7]</w:t>
        </w:r>
      </w:hyperlink>
      <w:r>
        <w:rPr/>
        <w:t xml:space="preserve">, </w:t>
      </w:r>
      <w:hyperlink w:anchor="ref-Omranpour2024_241210540v1">
        <w:r>
          <w:rPr>
            <w:rStyle w:val="Hyperlink"/>
          </w:rPr>
          <w:t>[17]</w:t>
        </w:r>
      </w:hyperlink>
      <w:r>
        <w:rPr/>
        <w:t>. Những đặc điểm này phù hợp với dữ liệu thị trường, trong đó lịch sử nhiều phiên, khối lượng, độ biến động, chỉ báo kỹ thuật và thông tin tin tức có thể đồng thời liên quan đến xu hướng của phiên giao dịch kế tiếp. Việc đặt mô hình chuỗi thời gian cạnh mô hình văn bản cũng cho phép tách biệt câu hỏi về chất lượng dữ liệu với câu hỏi về độ phức tạp của kiến trúc.</w:t>
      </w:r>
    </w:p>
    <w:p>
      <w:pPr>
        <w:pStyle w:val="BodyText"/>
        <w:rPr/>
      </w:pPr>
      <w:r>
        <w:rPr/>
        <w:t xml:space="preserve">Thứ năm, các công trình đã khảo sát cho thấy những hướng kết hợp tin tức với dữ liệu giá thường khác nhau về ngôn ngữ, quy mô dữ liệu, số lượng mã cổ phiếu, nhiệm vụ dự báo và giao thức đánh giá </w:t>
      </w:r>
      <w:hyperlink w:anchor="ref-Chen2021_210708721v1">
        <w:r>
          <w:rPr>
            <w:rStyle w:val="Hyperlink"/>
          </w:rPr>
          <w:t>[4]</w:t>
        </w:r>
      </w:hyperlink>
      <w:r>
        <w:rPr/>
        <w:t xml:space="preserve">, </w:t>
      </w:r>
      <w:hyperlink w:anchor="ref-Gu2024_240716150v1">
        <w:r>
          <w:rPr>
            <w:rStyle w:val="Hyperlink"/>
          </w:rPr>
          <w:t>[8]</w:t>
        </w:r>
      </w:hyperlink>
      <w:r>
        <w:rPr/>
        <w:t xml:space="preserve">, </w:t>
      </w:r>
      <w:hyperlink w:anchor="ref-Halder2022_221107392v1">
        <w:r>
          <w:rPr>
            <w:rStyle w:val="Hyperlink"/>
          </w:rPr>
          <w:t>[9]</w:t>
        </w:r>
      </w:hyperlink>
      <w:r>
        <w:rPr/>
        <w:t xml:space="preserve">, </w:t>
      </w:r>
      <w:hyperlink w:anchor="ref-Omranpour2024_241210540v1">
        <w:r>
          <w:rPr>
            <w:rStyle w:val="Hyperlink"/>
          </w:rPr>
          <w:t>[17]</w:t>
        </w:r>
      </w:hyperlink>
      <w:r>
        <w:rPr/>
        <w:t>. Vì vậy, việc so sánh trực tiếp các kết quả đã công bố không cho phép đưa ra kết luận ngay về hiệu quả của một tín hiệu riêng lẻ. Đồ án lựa chọn kiểm soát các điều kiện về dữ liệu và đánh giá nhằm xác định liệu đặc trưng cảm xúc có tạo ra giá trị bổ sung trong phạm vi nghiên cứu hay không.</w:t>
      </w:r>
    </w:p>
    <w:p>
      <w:pPr>
        <w:pStyle w:val="BodyText"/>
        <w:rPr/>
      </w:pPr>
      <w:r>
        <w:rPr>
          <w:b w:val="false"/>
          <w:i w:val="false"/>
        </w:rPr>
        <w:t>Từ năm lý do trên, đề tài lựa chọn xây dựng hệ thống dự báo xu hướng biến động giá cổ phiếu bằng cách kết hợp dữ liệu giá lịch sử với đặc trưng cảm xúc được trích xuất từ tin tức tài chính tiếng Việt. Nghiên cứu không giả định trước rằng tin tức luôn giúp cải thiện độ chính xác dự báo. Trọng tâm của nghiên cứu là xây dựng một quy trình thực nghiệm có kiểm soát để xác định liệu tín hiệu cảm xúc có mang lại giá trị bổ sung hay không. Nếu không có cải thiện, kết quả vẫn có ý nghĩa khi nguyên nhân được phân tích trên cơ sở dữ liệu và giao thức đánh giá hợp lệ.</w:t>
      </w:r>
    </w:p>
    <w:p>
      <w:pPr>
        <w:pStyle w:val="Heading2"/>
        <w:rPr/>
      </w:pPr>
      <w:bookmarkStart w:id="16" w:name="__RefHeading___Toc10916_2435329662"/>
      <w:bookmarkEnd w:id="16"/>
      <w:r>
        <w:rPr>
          <w:rFonts w:eastAsia="Times New Roman" w:cs="Times New Roman" w:ascii="Times New Roman" w:hAnsi="Times New Roman"/>
        </w:rPr>
        <w:t>1.2. Mục tiêu nghiên cứu</w:t>
      </w:r>
    </w:p>
    <w:p>
      <w:pPr>
        <w:pStyle w:val="Heading3"/>
        <w:rPr/>
      </w:pPr>
      <w:bookmarkStart w:id="17" w:name="__RefHeading___Toc10918_2435329662"/>
      <w:bookmarkEnd w:id="17"/>
      <w:r>
        <w:rPr>
          <w:rFonts w:eastAsia="Times New Roman" w:cs="Times New Roman"/>
        </w:rPr>
        <w:t>1.2.1. Mục tiêu tổng quát</w:t>
      </w:r>
    </w:p>
    <w:p>
      <w:pPr>
        <w:pStyle w:val="FirstParagraph"/>
        <w:rPr/>
      </w:pPr>
      <w:r>
        <w:rPr>
          <w:b w:val="false"/>
          <w:i w:val="false"/>
        </w:rPr>
        <w:t>Mục tiêu tổng quát của đề tài là xây dựng và đánh giá hệ thống dự báo xu hướng biến động giá cổ phiếu trên thị trường chứng khoán Việt Nam thông qua việc kết hợp dữ liệu giá lịch sử, chỉ báo kỹ thuật và đặc trưng cảm xúc trích xuất từ tin tức tài chính tiếng Việt. Hệ thống được xây dựng để kiểm chứng mức độ hữu ích của tín hiệu cảm xúc đối với bài toán dự báo phiên giao dịch kế tiếp. Mục tiêu của đề tài không phải tối ưu một con số hiệu năng duy nhất, mà là hình thành một quy trình có thể kiểm tra từ dữ liệu đầu vào đến kết luận cuối cùng.</w:t>
      </w:r>
    </w:p>
    <w:p>
      <w:pPr>
        <w:pStyle w:val="Heading3"/>
        <w:rPr/>
      </w:pPr>
      <w:bookmarkStart w:id="18" w:name="__RefHeading___Toc10920_2435329662"/>
      <w:bookmarkEnd w:id="18"/>
      <w:r>
        <w:rPr>
          <w:rFonts w:eastAsia="Times New Roman" w:cs="Times New Roman"/>
        </w:rPr>
        <w:t>1.2.2. Mục tiêu cụ thể</w:t>
      </w:r>
    </w:p>
    <w:p>
      <w:pPr>
        <w:pStyle w:val="FirstParagraph"/>
        <w:rPr/>
      </w:pPr>
      <w:r>
        <w:rPr/>
        <w:t>Để trả lời các câu hỏi nghiên cứu, đồ án xác định bốn mục tiêu cụ thể có thể kiểm chứng:</w:t>
      </w:r>
    </w:p>
    <w:p>
      <w:pPr>
        <w:pStyle w:val="Normal"/>
        <w:numPr>
          <w:ilvl w:val="0"/>
          <w:numId w:val="13"/>
        </w:numPr>
        <w:rPr/>
      </w:pPr>
      <w:r>
        <w:rPr>
          <w:b w:val="false"/>
          <w:i w:val="false"/>
        </w:rPr>
        <w:t>Xây dựng quy trình thu thập, làm sạch, loại bỏ trùng lặp, chuẩn hóa và đồng bộ tin tức tài chính tiếng Việt với dữ liệu giá cổ phiếu theo ngày giao dịch; hoàn thiện bộ dữ liệu có nhãn cảm xúc gồm ba lớp tích cực, trung tính và tiêu cực; tinh chỉnh PhoBERT và đánh giá khả năng phân biệt ba lớp trên dữ liệu trong miền.</w:t>
      </w:r>
    </w:p>
    <w:p>
      <w:pPr>
        <w:pStyle w:val="Normal"/>
        <w:numPr>
          <w:ilvl w:val="0"/>
          <w:numId w:val="3"/>
        </w:numPr>
        <w:rPr/>
      </w:pPr>
      <w:r>
        <w:rPr>
          <w:b w:val="false"/>
          <w:i w:val="false"/>
        </w:rPr>
        <w:t>Xây dựng tập đặc trưng cảm xúc cho từng mã cổ phiếu và ngày giao dịch dựa trên phân phối xác suất dự đoán; xây dựng các mô hình dự báo xu hướng phiên kế tiếp bằng dữ liệu giá và dữ liệu giá kết hợp cảm xúc; so sánh với đối chứng lớp phổ biến, đối chứng ngẫu nhiên và các mô hình chỉ sử dụng dữ liệu giá.</w:t>
      </w:r>
    </w:p>
    <w:p>
      <w:pPr>
        <w:pStyle w:val="Normal"/>
        <w:numPr>
          <w:ilvl w:val="0"/>
          <w:numId w:val="3"/>
        </w:numPr>
        <w:rPr/>
      </w:pPr>
      <w:r>
        <w:rPr>
          <w:b w:val="false"/>
          <w:i w:val="false"/>
        </w:rPr>
        <w:t>Thiết lập quy trình đánh giá cuốn chiếu theo thời gian; kiểm soát rò rỉ trong quá trình chuẩn hóa, xử lý giá trị thiếu, xác định ngưỡng nhãn và điều chỉnh tham số; kiểm tra riêng giới hạn thời điểm của bộ sinh cảm xúc.</w:t>
      </w:r>
    </w:p>
    <w:p>
      <w:pPr>
        <w:pStyle w:val="Normal"/>
        <w:numPr>
          <w:ilvl w:val="0"/>
          <w:numId w:val="3"/>
        </w:numPr>
        <w:rPr/>
      </w:pPr>
      <w:r>
        <w:rPr>
          <w:b w:val="false"/>
          <w:i w:val="false"/>
        </w:rPr>
        <w:t>Xây dựng hệ thống thử nghiệm có khả năng tái lập để trực quan hóa kết quả; sử dụng đối chứng trung tính, phép loại bỏ đặc trưng và các phân tích bổ sung để nhận diện vai trò và giới hạn của đặc trưng cảm xúc trong quyết định dự báo.</w:t>
      </w:r>
    </w:p>
    <w:p>
      <w:pPr>
        <w:pStyle w:val="Heading2"/>
        <w:rPr/>
      </w:pPr>
      <w:bookmarkStart w:id="19" w:name="__RefHeading___Toc10922_2435329662"/>
      <w:bookmarkEnd w:id="19"/>
      <w:r>
        <w:rPr>
          <w:rFonts w:eastAsia="Times New Roman" w:cs="Times New Roman" w:ascii="Times New Roman" w:hAnsi="Times New Roman"/>
        </w:rPr>
        <w:t>1.3. Câu hỏi nghiên cứu</w:t>
      </w:r>
    </w:p>
    <w:p>
      <w:pPr>
        <w:pStyle w:val="FirstParagraph"/>
        <w:rPr/>
      </w:pPr>
      <w:r>
        <w:rPr>
          <w:b w:val="false"/>
          <w:i w:val="false"/>
        </w:rPr>
        <w:t>Đề tài tập trung trả lời ba câu hỏi nghiên cứu sau:</w:t>
      </w:r>
    </w:p>
    <w:p>
      <w:pPr>
        <w:pStyle w:val="Normal"/>
        <w:numPr>
          <w:ilvl w:val="0"/>
          <w:numId w:val="14"/>
        </w:numPr>
        <w:rPr/>
      </w:pPr>
      <w:r>
        <w:rPr>
          <w:b w:val="false"/>
          <w:i w:val="false"/>
        </w:rPr>
        <w:t>Mô hình PhoBERT được tinh chỉnh trên dữ liệu tin tức tài chính tiếng Việt có khả năng phân biệt ba lớp cảm xúc tích cực, trung tính và tiêu cực ở mức độ nào?</w:t>
      </w:r>
    </w:p>
    <w:p>
      <w:pPr>
        <w:pStyle w:val="Normal"/>
        <w:numPr>
          <w:ilvl w:val="0"/>
          <w:numId w:val="3"/>
        </w:numPr>
        <w:rPr/>
      </w:pPr>
      <w:r>
        <w:rPr>
          <w:b w:val="false"/>
          <w:i w:val="false"/>
        </w:rPr>
        <w:t>Việc bổ sung đặc trưng cảm xúc có cải thiện F1 vĩ mô, độ chính xác cân bằng và AUC-ROC một-chống-còn-lại so với mô hình chỉ sử dụng giá hay không? Mức chênh lệch có ổn định giữa các cửa sổ thời gian hay không?</w:t>
      </w:r>
    </w:p>
    <w:p>
      <w:pPr>
        <w:pStyle w:val="Normal"/>
        <w:numPr>
          <w:ilvl w:val="0"/>
          <w:numId w:val="3"/>
        </w:numPr>
        <w:rPr/>
      </w:pPr>
      <w:r>
        <w:rPr>
          <w:b w:val="false"/>
          <w:i w:val="false"/>
        </w:rPr>
        <w:t>Các phép đối chứng và loại bỏ đặc trưng cho thấy vai trò và giới hạn của đặc trưng cảm xúc trong dự báo xu hướng phiên kế tiếp như thế nào?</w:t>
      </w:r>
    </w:p>
    <w:p>
      <w:pPr>
        <w:pStyle w:val="Heading2"/>
        <w:rPr/>
      </w:pPr>
      <w:bookmarkStart w:id="20" w:name="__RefHeading___Toc10924_2435329662"/>
      <w:bookmarkStart w:id="21" w:name="sec%2525253Apham-vi"/>
      <w:bookmarkEnd w:id="20"/>
      <w:r>
        <w:rPr>
          <w:rFonts w:eastAsia="Times New Roman" w:cs="Times New Roman" w:ascii="Times New Roman" w:hAnsi="Times New Roman"/>
        </w:rPr>
        <w:t>1.4. Đối tượng và phạm vi nghiên cứu</w:t>
      </w:r>
    </w:p>
    <w:p>
      <w:pPr>
        <w:pStyle w:val="Heading3"/>
        <w:rPr/>
      </w:pPr>
      <w:bookmarkStart w:id="22" w:name="__RefHeading___Toc10926_2435329662"/>
      <w:bookmarkStart w:id="23" w:name="đối-tượng-nghiên-cứu"/>
      <w:bookmarkEnd w:id="22"/>
      <w:r>
        <w:rPr>
          <w:rFonts w:eastAsia="Times New Roman" w:cs="Times New Roman"/>
        </w:rPr>
        <w:t>1.4.1. Đối tượng nghiên cứu</w:t>
      </w:r>
    </w:p>
    <w:p>
      <w:pPr>
        <w:pStyle w:val="FirstParagraph"/>
        <w:rPr/>
      </w:pPr>
      <w:r>
        <w:rPr/>
        <w:t>Đối tượng nghiên cứu của đề tài là mối quan hệ giữa cảm xúc được thể hiện trong tin tức tài chính tiếng Việt và xu hướng biến động giá cổ phiếu trên thị trường chứng khoán Việt Nam. Đề tài tập trung vào ba nhóm vấn đề: phương pháp biểu diễn và phân loại cảm xúc trong văn bản tài chính, phương pháp mô hình hóa dữ liệu giá theo chuỗi thời gian, và cơ chế hợp nhất hai nguồn dữ liệu để phục vụ bài toán dự báo.</w:t>
      </w:r>
    </w:p>
    <w:p>
      <w:pPr>
        <w:pStyle w:val="BodyText"/>
        <w:rPr/>
      </w:pPr>
      <w:r>
        <w:rPr/>
        <w:t>Thứ nhất, đối với dữ liệu văn bản, đề tài nghiên cứu tiêu đề, nội dung nếu có thể thu thập, thời điểm công bố, nguồn bài viết và mã cổ phiếu có liên quan. Kết quả xử lý văn bản là xác suất thuộc ba lớp cảm xúc: tích cực, trung tính và tiêu cực. Nhãn cảm xúc được xác định theo tác động kỳ vọng đối với doanh nghiệp hoặc cổ phiếu liên quan, thay vì chỉ dựa trên sắc thái chung của câu văn.</w:t>
      </w:r>
    </w:p>
    <w:p>
      <w:pPr>
        <w:pStyle w:val="BodyText"/>
        <w:rPr/>
      </w:pPr>
      <w:r>
        <w:rPr/>
        <w:t>Thứ hai, đối với dữ liệu thị trường, đề tài nghiên cứu giá mở cửa, giá cao nhất, giá thấp nhất, giá đóng cửa, giá điều chỉnh khi có dữ liệu phù hợp, khối lượng giao dịch, lợi suất và các chỉ báo kỹ thuật được tính theo ngày. Các biến này mô tả trạng thái đã được quan sát tại thời điểm dự báo. Giá của phiên kế tiếp chỉ được sử dụng để tạo nhãn.</w:t>
      </w:r>
    </w:p>
    <w:p>
      <w:pPr>
        <w:pStyle w:val="BodyText"/>
        <w:rPr/>
      </w:pPr>
      <w:r>
        <w:rPr/>
        <w:t xml:space="preserve">Thứ ba, đối với mô hình, đề tài nghiên cứu PhoBERT và các biến thể tầng phân loại cho nhiệm vụ phân tích cảm xúc; nhóm mô hình chuỗi thời gian gồm mô hình cổ điển, LSTM và Bộ biến đổi hợp nhất theo thời gian; cùng với kiến trúc hợp nhất đặc trưng phục vụ phân loại xu hướng giá. PhoBERT được lựa chọn vì mô hình này được tiền huấn luyện cho tiếng Việt. FinBERT chỉ được sử dụng làm điểm đối chiếu khái niệm nhằm đặt lựa chọn này trong dòng nghiên cứu NLP tài chính quốc tế, không thay thế mô hình nền tiếng Việt của đề tài </w:t>
      </w:r>
      <w:hyperlink w:anchor="ref-Nguyen2020_200300744v3">
        <w:r>
          <w:rPr>
            <w:rStyle w:val="Hyperlink"/>
          </w:rPr>
          <w:t>[16]</w:t>
        </w:r>
      </w:hyperlink>
      <w:r>
        <w:rPr/>
        <w:t xml:space="preserve">, </w:t>
      </w:r>
      <w:hyperlink w:anchor="ref-Yang2020_200608097v2">
        <w:r>
          <w:rPr>
            <w:rStyle w:val="Hyperlink"/>
          </w:rPr>
          <w:t>[24]</w:t>
        </w:r>
      </w:hyperlink>
      <w:r>
        <w:rPr/>
        <w:t>.</w:t>
      </w:r>
      <w:bookmarkEnd w:id="23"/>
    </w:p>
    <w:p>
      <w:pPr>
        <w:pStyle w:val="Heading3"/>
        <w:rPr/>
      </w:pPr>
      <w:bookmarkStart w:id="24" w:name="__RefHeading___Toc10928_2435329662"/>
      <w:bookmarkStart w:id="25" w:name="phạm-vi-nghiên-cứu"/>
      <w:bookmarkEnd w:id="24"/>
      <w:r>
        <w:rPr>
          <w:rFonts w:eastAsia="Times New Roman" w:cs="Times New Roman"/>
        </w:rPr>
        <w:t>1.4.2. Phạm vi nghiên cứu</w:t>
      </w:r>
    </w:p>
    <w:p>
      <w:pPr>
        <w:pStyle w:val="Heading4"/>
        <w:rPr/>
      </w:pPr>
      <w:bookmarkStart w:id="26" w:name="phạm-vi-thị-trường-và-mã-cổ-phiếu"/>
      <w:r>
        <w:rPr>
          <w:rFonts w:eastAsia="Times New Roman" w:cs="Times New Roman"/>
        </w:rPr>
        <w:t>1.4.2.1. Phạm vi thị trường và mã cổ phiếu</w:t>
      </w:r>
    </w:p>
    <w:p>
      <w:pPr>
        <w:pStyle w:val="FirstParagraph"/>
        <w:rPr/>
      </w:pPr>
      <w:r>
        <w:rPr/>
        <w:t>Phạm vi thị trường bao gồm Sở Giao dịch Chứng khoán Thành phố Hồ Chí Minh, chỉ số VN-Index ở mức tham chiếu và một nhóm cổ phiếu thuộc rổ VN30. Việc lựa chọn cổ phiếu ưu tiên các mã có thanh khoản tương đối cao, dữ liệu giá đầy đủ và xuất hiện thường xuyên trên các nguồn tin tài chính. Theo đề cương, số lượng mã cuối cùng dự kiến nằm trong khoảng 10 đến 30 mã và chỉ được xác định sau bước khảo sát chất lượng dữ liệu.</w:t>
      </w:r>
    </w:p>
    <w:p>
      <w:pPr>
        <w:pStyle w:val="BodyText"/>
        <w:rPr/>
      </w:pPr>
      <w:r>
        <w:rPr/>
        <w:t>Trong cấu hình mức sàn hiện tại, rổ nghiên cứu được quản lý theo danh sách mã trong bản kê. Danh sách mã và ngày bắt đầu sử dụng phải được lưu lại do thành phần VN30 có thể thay đổi theo thời gian. Khi chia dữ liệu, các mã được căn chỉnh theo cùng một lịch phiên để tránh sai lệch khi so sánh theo ngày giữa các mã.</w:t>
      </w:r>
    </w:p>
    <w:p>
      <w:pPr>
        <w:pStyle w:val="BodyText"/>
        <w:rPr/>
      </w:pPr>
      <w:r>
        <w:rPr/>
        <w:t>Việc giới hạn số mã là một lựa chọn có chủ đích. Phạm vi này đủ để kiểm tra quy trình trên nhiều mã và giảm mức độ phụ thuộc vào một trường hợp riêng lẻ, nhưng chưa đủ để đại diện cho mọi nhóm ngành hoặc mọi mức thanh khoản trên HOSE. Vì vậy, kết quả phải được diễn giải trong phạm vi rổ mã và khung thời gian cụ thể, không được xem là kết luận cho toàn thị trường.</w:t>
      </w:r>
      <w:bookmarkEnd w:id="26"/>
    </w:p>
    <w:p>
      <w:pPr>
        <w:pStyle w:val="Heading4"/>
        <w:rPr/>
      </w:pPr>
      <w:bookmarkStart w:id="27" w:name="phạm-vi-thời-gian-và-tần-suất"/>
      <w:r>
        <w:rPr>
          <w:rFonts w:eastAsia="Times New Roman" w:cs="Times New Roman"/>
        </w:rPr>
        <w:t>1.4.2.2. Phạm vi thời gian và tần suất</w:t>
      </w:r>
    </w:p>
    <w:p>
      <w:pPr>
        <w:pStyle w:val="FirstParagraph"/>
        <w:rPr/>
      </w:pPr>
      <w:r>
        <w:rPr/>
        <w:t xml:space="preserve">Dữ liệu dự kiến được sử dụng từ năm 2020 đến hết năm 2025, tùy theo ngày cuối có dữ liệu hợp lệ của từng nguồn. Đơn vị quan sát là ngày giao dịch. Tại ngày </w:t>
      </w:r>
      <w:r>
        <w:rPr/>
      </w:r>
      <m:oMath xmlns:m="http://schemas.openxmlformats.org/officeDocument/2006/math">
        <m:r>
          <w:rPr>
            <w:rFonts w:ascii="Cambria Math" w:hAnsi="Cambria Math"/>
          </w:rPr>
          <m:t xml:space="preserve">t</m:t>
        </m:r>
      </m:oMath>
      <w:r>
        <w:rPr/>
        <w:t xml:space="preserve">, hệ thống dự báo lớp của lợi suất từ ngày </w:t>
      </w:r>
      <w:r>
        <w:rPr/>
      </w:r>
      <m:oMath xmlns:m="http://schemas.openxmlformats.org/officeDocument/2006/math">
        <m:r>
          <w:rPr>
            <w:rFonts w:ascii="Cambria Math" w:hAnsi="Cambria Math"/>
          </w:rPr>
          <m:t xml:space="preserve">t</m:t>
        </m:r>
      </m:oMath>
      <w:r>
        <w:rPr/>
        <w:t xml:space="preserve"> đến phiên kế tiếp. Tần suất ngày phù hợp với mật độ tin tức và giúp đề tài tránh phải xử lý thêm các vấn đề vi cấu trúc của dữ liệu trong ngày.</w:t>
      </w:r>
    </w:p>
    <w:p>
      <w:pPr>
        <w:pStyle w:val="BodyText"/>
        <w:rPr/>
      </w:pPr>
      <w:r>
        <w:rPr/>
        <w:t>Trong trường hợp bản kê thực nghiệm mở rộng thời gian quan sát sau mốc đề cương, mốc ngày cuối, nguồn dữ liệu và lý do thay đổi phải được ghi rõ cùng phiên bản dữ liệu. Quy tắc này cho phép phân biệt phạm vi dự kiến với phạm vi thực tế đã được đo, qua đó tránh đưa một khoảng thời gian chưa được kiểm tra vào kết luận.</w:t>
      </w:r>
    </w:p>
    <w:p>
      <w:pPr>
        <w:pStyle w:val="BodyText"/>
        <w:rPr/>
      </w:pPr>
      <w:r>
        <w:rPr/>
        <w:t>Nguồn tin dự kiến gồm CafeF, Vietstock, VnEconomy và Stockbiz. Danh sách nguồn có thể được điều chỉnh dựa trên điều kiện sử dụng, khả năng truy cập hợp lệ, mức độ đầy đủ của nội dung và tính ổn định của cấu trúc trang. Mốc cắt được xác định theo giờ giao dịch và múi giờ Việt Nam. Tin được công bố sau giờ đóng cửa, vào cuối tuần hoặc ngày nghỉ được ánh xạ sang phiên giao dịch kế tiếp để bảo đảm thông tin chỉ được sử dụng sau thời điểm thực sự có thể quan sát. Mốc thời gian bị thiếu hoặc mâu thuẫn không được tự động suy đoán. Các bản ghi này phải được đánh dấu, loại khỏi phân tích chính hoặc báo cáo riêng.</w:t>
      </w:r>
      <w:bookmarkEnd w:id="27"/>
    </w:p>
    <w:p>
      <w:pPr>
        <w:pStyle w:val="Heading4"/>
        <w:rPr/>
      </w:pPr>
      <w:bookmarkStart w:id="28" w:name="phạm-vi-bài-toán-và-giới-hạn"/>
      <w:r>
        <w:rPr>
          <w:rFonts w:eastAsia="Times New Roman" w:cs="Times New Roman"/>
        </w:rPr>
        <w:t>1.4.2.3. Phạm vi bài toán và giới hạn</w:t>
      </w:r>
    </w:p>
    <w:p>
      <w:pPr>
        <w:pStyle w:val="FirstParagraph"/>
        <w:rPr/>
      </w:pPr>
      <w:r>
        <w:rPr/>
        <w:t>Bài toán dự báo được phát biểu dưới dạng phân loại ba lớp:</w:t>
      </w:r>
    </w:p>
    <w:p>
      <w:pPr>
        <w:pStyle w:val="Normal"/>
        <w:numPr>
          <w:ilvl w:val="0"/>
          <w:numId w:val="1"/>
        </w:numPr>
        <w:rPr/>
      </w:pPr>
      <w:r>
        <w:rPr/>
        <w:t>UP: lợi suất của phiên kế tiếp lớn hơn ngưỡng tăng;</w:t>
      </w:r>
    </w:p>
    <w:p>
      <w:pPr>
        <w:pStyle w:val="Normal"/>
        <w:numPr>
          <w:ilvl w:val="0"/>
          <w:numId w:val="1"/>
        </w:numPr>
        <w:rPr/>
      </w:pPr>
      <w:r>
        <w:rPr/>
        <w:t>FLAT: lợi suất nằm trong vùng trung tính;</w:t>
      </w:r>
    </w:p>
    <w:p>
      <w:pPr>
        <w:pStyle w:val="Normal"/>
        <w:numPr>
          <w:ilvl w:val="0"/>
          <w:numId w:val="1"/>
        </w:numPr>
        <w:rPr/>
      </w:pPr>
      <w:r>
        <w:rPr/>
        <w:t>DOWN: lợi suất của phiên kế tiếp nhỏ hơn ngưỡng giảm.</w:t>
      </w:r>
    </w:p>
    <w:p>
      <w:pPr>
        <w:pStyle w:val="FirstParagraph"/>
        <w:rPr/>
      </w:pPr>
      <w:r>
        <w:rPr/>
        <w:t>Ngưỡng được ước lượng trên tập huấn luyện của từng cửa sổ, không sử dụng phân vị của toàn bộ giai đoạn. Quy ước này ngăn phân phối lợi suất tương lai ảnh hưởng đến nhãn của dữ liệu quá khứ. Đề tài không dự báo giá tuyệt đối, không nghiên cứu giao dịch trong ngày, sổ lệnh, giao dịch tần suất cao, sản phẩm phái sinh hoặc khuyến nghị đầu tư. Việc đánh giá lợi nhuận tích lũy, tỷ số Sharpe, mức sụt giảm tối đa và chi phí giao dịch không thuộc phạm vi bắt buộc. Các nội dung này chỉ được thực hiện như phần mở rộng khi dữ liệu và tiến độ cho phép.</w:t>
      </w:r>
      <w:bookmarkEnd w:id="21"/>
      <w:bookmarkEnd w:id="25"/>
      <w:bookmarkEnd w:id="28"/>
    </w:p>
    <w:p>
      <w:pPr>
        <w:pStyle w:val="Heading2"/>
        <w:rPr/>
      </w:pPr>
      <w:bookmarkStart w:id="29" w:name="__RefHeading___Toc10930_2435329662"/>
      <w:bookmarkStart w:id="30" w:name="phương-pháp-nghiên-cứu"/>
      <w:bookmarkEnd w:id="29"/>
      <w:r>
        <w:rPr>
          <w:rFonts w:eastAsia="Times New Roman" w:cs="Times New Roman" w:ascii="Times New Roman" w:hAnsi="Times New Roman"/>
        </w:rPr>
        <w:t>1.5. Phương pháp nghiên cứu</w:t>
      </w:r>
    </w:p>
    <w:p>
      <w:pPr>
        <w:pStyle w:val="FirstParagraph"/>
        <w:rPr/>
      </w:pPr>
      <w:r>
        <w:rPr/>
        <w:t>Nghiên cứu sử dụng phương pháp định lượng để xây dựng và đánh giá hệ thống dự báo xu hướng biến động giá cổ phiếu. Quy trình gồm hai nhánh. Nhánh PhoBERT xử lý và tổng hợp xác suất cảm xúc từ tin tức tài chính tiếng Việt, trong khi nhánh chuỗi thời gian xử lý dữ liệu giá và các chỉ báo kỹ thuật. Hai nhóm đặc trưng được căn chỉnh theo mã cổ phiếu, ngày giao dịch và mốc cắt trước khi đưa vào mô hình dự báo. Các cấu hình được so sánh bao gồm đối chứng cơ sở, mô hình chỉ sử dụng dữ liệu giá và LSTM hai nhánh; Bộ biến đổi hợp nhất theo thời gian được xem là phần mở rộng. Hiệu năng được đánh giá bằng phương pháp cuốn chiếu theo thời gian, trong đó mọi phép biến đổi và ngưỡng nhãn chỉ được học từ phần huấn luyện của từng cửa sổ.</w:t>
      </w:r>
      <w:bookmarkEnd w:id="30"/>
    </w:p>
    <w:p>
      <w:pPr>
        <w:pStyle w:val="Heading2"/>
        <w:rPr/>
      </w:pPr>
      <w:bookmarkStart w:id="31" w:name="__RefHeading___Toc10932_2435329662"/>
      <w:bookmarkStart w:id="32" w:name="đóng-góp-của-nghiên-cứu"/>
      <w:bookmarkEnd w:id="31"/>
      <w:r>
        <w:rPr>
          <w:rFonts w:eastAsia="Times New Roman" w:cs="Times New Roman" w:ascii="Times New Roman" w:hAnsi="Times New Roman"/>
        </w:rPr>
        <w:t>1.6. Đóng góp của nghiên cứu</w:t>
      </w:r>
    </w:p>
    <w:p>
      <w:pPr>
        <w:pStyle w:val="Heading3"/>
        <w:rPr/>
      </w:pPr>
      <w:bookmarkStart w:id="33" w:name="__RefHeading___Toc10934_2435329662"/>
      <w:bookmarkStart w:id="34" w:name="ý-nghĩa-khoa-học"/>
      <w:bookmarkEnd w:id="33"/>
      <w:r>
        <w:rPr>
          <w:rFonts w:eastAsia="Times New Roman" w:cs="Times New Roman"/>
        </w:rPr>
        <w:t>1.6.1. Ý nghĩa khoa học</w:t>
      </w:r>
    </w:p>
    <w:p>
      <w:pPr>
        <w:pStyle w:val="FirstParagraph"/>
        <w:rPr/>
      </w:pPr>
      <w:r>
        <w:rPr/>
        <w:t>Ý nghĩa của đề tài được xem xét trên hai phương diện. Về học thuật, đồ án kết hợp mô hình ngôn ngữ tiếng Việt với mô hình chuỗi thời gian nhằm kiểm tra định lượng liệu cảm xúc có cung cấp thông tin gia tăng cho dự báo xu hướng của phiên kế tiếp hay không. Việc tách tầng phân loại cảm xúc khỏi tầng dự báo cho phép phân biệt lỗi phát sinh từ văn bản, lỗi trong ánh xạ thời gian và lỗi của mô hình chuỗi thời gian. Do đó, kết quả có thể được phân tích theo từng tầng thay vì chỉ dựa trên một điểm số cuối cùng.</w:t>
      </w:r>
    </w:p>
    <w:p>
      <w:pPr>
        <w:pStyle w:val="BodyText"/>
        <w:rPr/>
      </w:pPr>
      <w:r>
        <w:rPr/>
        <w:t>Các mốc hiệu năng trong tài liệu nguồn, chẳng hạn kết quả phân loại trên một tập dữ liệu cụ thể hoặc độ chính xác hướng trong nghiên cứu nước ngoài, chỉ được sử dụng làm tham chiếu kỹ thuật. Các mốc này được đo trên ngôn ngữ, thị trường, khoảng thời gian và phương pháp chia dữ liệu khác với đề tài, nên không được sử dụng làm ngưỡng đạt hoặc cam kết về hiệu năng trên HOSE. Tương tự, cơ chế chú ý và mức độ quan trọng của biến chỉ mô tả các tín hiệu mà mô hình đang sử dụng; các thông tin này không đủ để kết luận rằng cảm xúc là nguyên nhân gây ra biến động giá.</w:t>
      </w:r>
    </w:p>
    <w:p>
      <w:pPr>
        <w:pStyle w:val="BodyText"/>
        <w:rPr/>
      </w:pPr>
      <w:r>
        <w:rPr/>
        <w:t>Do mục tiêu của đề tài là kiểm tra giá trị gia tăng, mọi nhận định về tính hữu ích hoặc không hữu ích của cảm xúc phải dựa trên cặp mô hình được huấn luyện và kiểm tra theo cùng một giao thức. Một kết quả có sức thuyết phục cần báo cáo rõ chênh lệch điểm số, độ biến thiên giữa các phần chia, khoảng tin cậy, phân bố lớp, phạm vi mã và các giới hạn của dữ liệu.</w:t>
      </w:r>
      <w:bookmarkEnd w:id="34"/>
    </w:p>
    <w:p>
      <w:pPr>
        <w:pStyle w:val="Heading3"/>
        <w:rPr/>
      </w:pPr>
      <w:bookmarkStart w:id="35" w:name="__RefHeading___Toc10936_2435329662"/>
      <w:bookmarkStart w:id="36" w:name="ý-nghĩa-thực-tiễn"/>
      <w:bookmarkEnd w:id="35"/>
      <w:r>
        <w:rPr>
          <w:rFonts w:eastAsia="Times New Roman" w:cs="Times New Roman"/>
        </w:rPr>
        <w:t>1.6.2. Ý nghĩa thực tiễn</w:t>
      </w:r>
    </w:p>
    <w:p>
      <w:pPr>
        <w:pStyle w:val="FirstParagraph"/>
        <w:rPr/>
      </w:pPr>
      <w:r>
        <w:rPr/>
        <w:t>Về kỹ thuật, đồ án xây dựng một quy trình có khả năng tái lập, bao gồm thu thập dữ liệu, kiểm tra chất lượng, ghi nhận và lưu trữ nguồn gốc, loại bỏ dữ liệu trùng lặp, xử lý theo thời điểm, trích xuất xác suất cảm xúc, tổng hợp theo mã và ngày, huấn luyện, đánh giá cuốn chiếu theo thời gian và lưu cấu hình. Quy trình này cũng tạo nền tảng để thay đổi mô hình nền hoặc cơ chế hợp nhất trong khi vẫn duy trì khả năng so sánh với mức sàn đã khóa.</w:t>
      </w:r>
    </w:p>
    <w:p>
      <w:pPr>
        <w:pStyle w:val="BodyText"/>
        <w:rPr/>
      </w:pPr>
      <w:r>
        <w:rPr/>
        <w:t>Trong phạm vi được xác định, các đóng góp dự kiến gồm:</w:t>
      </w:r>
    </w:p>
    <w:p>
      <w:pPr>
        <w:pStyle w:val="Normal"/>
        <w:numPr>
          <w:ilvl w:val="0"/>
          <w:numId w:val="15"/>
        </w:numPr>
        <w:rPr/>
      </w:pPr>
      <w:r>
        <w:rPr/>
        <w:t>Một quy trình thực nghiệm tiếng Việt liên kết tin tức với dữ liệu giá theo mã và thời điểm, có cơ chế kiểm tra trùng lặp, nguồn gốc, khả năng truy xuất và mốc cắt.</w:t>
      </w:r>
    </w:p>
    <w:p>
      <w:pPr>
        <w:pStyle w:val="Normal"/>
        <w:numPr>
          <w:ilvl w:val="0"/>
          <w:numId w:val="3"/>
        </w:numPr>
        <w:rPr/>
      </w:pPr>
      <w:r>
        <w:rPr/>
        <w:t>Một quy trình sử dụng PhoBERT để tạo phân phối xác suất cảm xúc thay vì chỉ giữ nhãn có xác suất cao nhất, sau đó tổng hợp tín hiệu theo mã và ngày.</w:t>
      </w:r>
    </w:p>
    <w:p>
      <w:pPr>
        <w:pStyle w:val="Normal"/>
        <w:numPr>
          <w:ilvl w:val="0"/>
          <w:numId w:val="3"/>
        </w:numPr>
        <w:rPr/>
      </w:pPr>
      <w:r>
        <w:rPr/>
        <w:t>Một kiến trúc sàn gồm LSTM hai nhánh và cơ chế hợp nhất bằng phép nối, được đặt cạnh cấu hình chỉ sử dụng giá để đo lường phần đóng góp biên của cảm xúc.</w:t>
      </w:r>
    </w:p>
    <w:p>
      <w:pPr>
        <w:pStyle w:val="Normal"/>
        <w:numPr>
          <w:ilvl w:val="0"/>
          <w:numId w:val="3"/>
        </w:numPr>
        <w:rPr/>
      </w:pPr>
      <w:r>
        <w:rPr/>
        <w:t>Một giao thức cuốn chiếu theo thời gian, trong đó tiền xử lý chỉ được thực hiện trên tập huấn luyện, gồm năm đoạn kiểm thử tách biệt, F1 vĩ mô và khoảng tin cậy được ước lượng bằng lấy mẫu lặp, qua đó giúp tách hiệu năng mô hình khỏi lỗi rò rỉ dữ liệu.</w:t>
      </w:r>
    </w:p>
    <w:p>
      <w:pPr>
        <w:pStyle w:val="FirstParagraph"/>
        <w:rPr/>
      </w:pPr>
      <w:r>
        <w:rPr/>
        <w:t>Các đóng góp trên tập trung vào hệ thống thực nghiệm và khả năng kiểm chứng trong phạm vi dữ liệu đã chọn. Đồ án không tuyên bố xây dựng mô hình tối ưu cho mọi thị trường, không khẳng định quan hệ nhân quả giữa tin tức và giá, đồng thời không xem điểm số trên dữ liệu nước ngoài là bằng chứng trực tiếp cho dữ liệu Việt Nam.</w:t>
      </w:r>
    </w:p>
    <w:p>
      <w:pPr>
        <w:pStyle w:val="BodyText"/>
        <w:rPr/>
      </w:pPr>
      <w:r>
        <w:rPr/>
        <w:t xml:space="preserve">Đề tài không đặt mục tiêu chứng minh rằng cảm xúc luôn cải thiện mô hình. Trong dữ liệu tài chính, tín hiệu văn bản có thể yếu, xuất hiện trễ, trùng với phản ứng đã được phản ánh trong giá, đã được thị trường biết trước hoặc chỉ hữu ích trong một số giai đoạn. Vì vậy, kết quả không cải thiện, hoặc chỉ cải thiện ở mức nhỏ nhưng không ổn định, vẫn có giá trị nếu được thu nhận bằng một giao thức hợp lệ và được trình bày cùng các giới hạn. Theo cách tiếp cận này, giá trị gia tăng của cảm xúc được xem là một giả thuyết cần kiểm tra, thay vì một kết luận được giả định trước </w:t>
      </w:r>
      <w:hyperlink w:anchor="ref-Jiang2023_230602136v3">
        <w:r>
          <w:rPr>
            <w:rStyle w:val="Hyperlink"/>
          </w:rPr>
          <w:t>[11]</w:t>
        </w:r>
      </w:hyperlink>
      <w:r>
        <w:rPr/>
        <w:t xml:space="preserve">, </w:t>
      </w:r>
      <w:hyperlink w:anchor="ref-Siala2026_260200086v3">
        <w:r>
          <w:rPr>
            <w:rStyle w:val="Hyperlink"/>
          </w:rPr>
          <w:t>[18]</w:t>
        </w:r>
      </w:hyperlink>
      <w:r>
        <w:rPr/>
        <w:t>.</w:t>
      </w:r>
      <w:bookmarkEnd w:id="11"/>
      <w:bookmarkEnd w:id="32"/>
      <w:bookmarkEnd w:id="36"/>
    </w:p>
    <w:p>
      <w:pPr>
        <w:pStyle w:val="Heading1"/>
        <w:rPr/>
      </w:pPr>
      <w:bookmarkStart w:id="37" w:name="__RefHeading___Toc10938_2435329662"/>
      <w:bookmarkEnd w:id="37"/>
      <w:r>
        <w:rPr>
          <w:rFonts w:eastAsia="Times New Roman" w:cs="Times New Roman" w:ascii="Times New Roman" w:hAnsi="Times New Roman"/>
        </w:rPr>
        <w:t>Chương 2. TỔNG QUAN</w:t>
      </w:r>
    </w:p>
    <w:p>
      <w:pPr>
        <w:pStyle w:val="FirstParagraph"/>
        <w:rPr/>
      </w:pPr>
      <w:r>
        <w:rPr/>
        <w:t>Chương này tổng quan các công trình liên quan đến việc sử dụng tin tức tài chính để dự báo xu hướng biến động giá cổ phiếu. Nội dung được tổ chức theo ba hướng nghiên cứu chính. Hướng thứ nhất tập trung vào biểu diễn và phân loại cảm xúc trong văn bản tài chính. Hướng thứ hai xem xét việc mô hình hóa dữ liệu giá và các chỉ báo kỹ thuật dưới dạng chuỗi thời gian. Hướng thứ ba nghiên cứu phương pháp hợp nhất dữ liệu văn bản và dữ liệu thị trường trong mô hình dự báo đa phương thức. Bên cạnh các công trình quốc tế, chương này trình bày riêng các nghiên cứu sử dụng dữ liệu Việt Nam, do sự khác biệt về ngôn ngữ, nguồn tin, cấu trúc thị trường và cách tổ chức phiên giao dịch có thể ảnh hưởng đến kết quả thực nghiệm. Cuối chương, các kết quả khảo sát được tổng hợp thành khoảng trống nghiên cứu và cơ sở định vị đề tài.</w:t>
      </w:r>
    </w:p>
    <w:p>
      <w:pPr>
        <w:pStyle w:val="BodyText"/>
        <w:rPr/>
      </w:pPr>
      <w:r>
        <w:rPr/>
        <w:t>Phần tổng quan không nhằm khẳng định một kiến trúc luôn vượt trội so với các kiến trúc khác. Một phương pháp có thể đạt kết quả cao trên thị trường, giai đoạn hoặc bộ dữ liệu được sử dụng trong công trình gốc, nhưng chưa chắc duy trì được ưu thế khi áp dụng cho dữ liệu tiếng Việt và thị trường HOSE. Vì vậy, mỗi công trình được xem xét theo dữ liệu sử dụng, nhiệm vụ dự báo, phương pháp xây dựng đặc trưng, phương pháp học, kết quả được báo cáo và các hạn chế còn tồn tại. Các kết quả định lượng từ những nghiên cứu trước chỉ được sử dụng làm căn cứ tham khảo về phương pháp, không được xem là bằng chứng trực tiếp về hiệu quả của mô hình trên dữ liệu của đề tài.</w:t>
      </w:r>
    </w:p>
    <w:p>
      <w:pPr>
        <w:pStyle w:val="Heading2"/>
        <w:rPr/>
      </w:pPr>
      <w:bookmarkStart w:id="38" w:name="__RefHeading___Toc10940_2435329662"/>
      <w:bookmarkStart w:id="39" w:name="sec%2525253Atq-sentiment"/>
      <w:bookmarkEnd w:id="38"/>
      <w:r>
        <w:rPr>
          <w:rFonts w:eastAsia="Times New Roman" w:cs="Times New Roman" w:ascii="Times New Roman" w:hAnsi="Times New Roman"/>
        </w:rPr>
        <w:t>2.1. Phân tích cảm xúc tin tức tài chính</w:t>
      </w:r>
    </w:p>
    <w:p>
      <w:pPr>
        <w:pStyle w:val="FirstParagraph"/>
        <w:rPr/>
      </w:pPr>
      <w:r>
        <w:rPr/>
        <w:t>Phân tích cảm xúc tin tức tài chính là quá trình xác định hướng tác động mà một bài viết có thể tạo ra đối với doanh nghiệp, mã cổ phiếu hoặc toàn bộ thị trường. Trong bối cảnh dự báo, cảm xúc không chỉ phản ánh thái độ tích cực hay tiêu cực được thể hiện qua câu chữ. Một bài viết có thể sử dụng nhiều từ ngữ tích cực nhưng mô tả rủi ro đối với doanh nghiệp, hoặc trình bày một sự kiện trung tính nhưng làm thay đổi kỳ vọng của nhà đầu tư. Vì vậy, đề tài xác định nhãn theo tác động kỳ vọng trong ngắn hạn: tích cực khi thông tin gợi ra triển vọng thuận lợi, tiêu cực khi thông tin cho thấy rủi ro hoặc diễn biến bất lợi, và trung tính khi bài viết chủ yếu mô tả sự kiện nhưng chưa thể hiện rõ hướng tác động.</w:t>
      </w:r>
    </w:p>
    <w:p>
      <w:pPr>
        <w:pStyle w:val="Heading3"/>
        <w:rPr/>
      </w:pPr>
      <w:bookmarkStart w:id="40" w:name="__RefHeading___Toc10942_2435329662"/>
      <w:bookmarkStart w:id="41" w:name="X912cfc94f25811245c861bde63db157433c7748"/>
      <w:bookmarkEnd w:id="40"/>
      <w:r>
        <w:rPr>
          <w:rFonts w:eastAsia="Times New Roman" w:cs="Times New Roman"/>
        </w:rPr>
        <w:t>2.1.1. Từ mô hình ngôn ngữ tổng quát đến mô hình miền tài chính</w:t>
      </w:r>
    </w:p>
    <w:p>
      <w:pPr>
        <w:pStyle w:val="FirstParagraph"/>
        <w:rPr/>
      </w:pPr>
      <w:r>
        <w:rPr/>
        <w:t xml:space="preserve">BERT đặt nền tảng cho phương pháp tiền huấn luyện mô hình ngôn ngữ trên lượng văn bản lớn trước khi tinh chỉnh cho một nhiệm vụ cụ thể </w:t>
      </w:r>
      <w:hyperlink w:anchor="ref-Devlin2019_bert">
        <w:r>
          <w:rPr>
            <w:rStyle w:val="Hyperlink"/>
          </w:rPr>
          <w:t>[5]</w:t>
        </w:r>
      </w:hyperlink>
      <w:r>
        <w:rPr/>
        <w:t>. Nhờ kiến trúc Transformer và cơ chế tự chú ý, mô hình có thể tạo ra các biểu diễn phụ thuộc vào ngữ cảnh thay vì gán ý nghĩa cố định cho từng từ. Khi được tinh chỉnh trên dữ liệu có nhãn, các biểu diễn này có thể được sử dụng cho phân loại văn bản, nhận dạng thực thể hoặc trích xuất thông tin. Tuy nhiên, mô hình ngôn ngữ tổng quát thường được huấn luyện trên nhiều loại văn bản khác nhau, trong đó thuật ngữ tài chính chỉ chiếm một phần. Hạn chế này thúc đẩy các nghiên cứu phát triển mô hình thích nghi với miền tài chính.</w:t>
      </w:r>
    </w:p>
    <w:p>
      <w:pPr>
        <w:pStyle w:val="BodyText"/>
        <w:rPr/>
      </w:pPr>
      <w:r>
        <w:rPr/>
        <w:t xml:space="preserve">FinBERT là một đại diện tiêu biểu của hướng nghiên cứu này. Yang và cộng sự công bố FinBERT như một mô hình ngôn ngữ được tiền huấn luyện và tinh chỉnh cho truyền thông tài chính </w:t>
      </w:r>
      <w:hyperlink w:anchor="ref-Yang2020_200608097v2">
        <w:r>
          <w:rPr>
            <w:rStyle w:val="Hyperlink"/>
          </w:rPr>
          <w:t>[24]</w:t>
        </w:r>
      </w:hyperlink>
      <w:r>
        <w:rPr/>
        <w:t>. Công trình hướng đến giải quyết sự khác biệt về ngữ nghĩa giữa ngôn ngữ thông thường và ngôn ngữ tài chính. Trong lĩnh vực tài chính, một từ có thể mang sắc thái khác nhau tùy thuộc vào chủ thể và chỉ tiêu được đề cập. Chẳng hạn, “tăng” có thể mô tả doanh thu tăng, chi phí tăng hoặc rủi ro tăng. Do đó, phương pháp phân loại chỉ dựa trên từ khóa khó phản ánh đầy đủ tác động của bản tin. FinBERT cung cấp một mô hình nền phù hợp hơn cho các nhiệm vụ phân tích cảm xúc và dự báo chuyển động trong những công trình sử dụng tin tức tiếng Anh.</w:t>
      </w:r>
    </w:p>
    <w:p>
      <w:pPr>
        <w:pStyle w:val="BodyText"/>
        <w:rPr/>
      </w:pPr>
      <w:r>
        <w:rPr/>
        <w:t>Kết quả quan trọng của hướng FinBERT không chỉ nằm ở một giá trị độ chính xác cụ thể, mà còn ở kết quả cho thấy việc thích nghi mô hình nền với miền dữ liệu có thể cải thiện chất lượng biểu diễn khi dữ liệu gán nhãn có quy mô hạn chế. Đối với đề tài, FinBERT có hạn chế là được xây dựng cho tiếng Anh và không trực tiếp xử lý các hiện tượng tách từ, viết tắt, tên doanh nghiệp hoặc cách diễn đạt đặc thù trong tin tức tiếng Việt.</w:t>
      </w:r>
    </w:p>
    <w:p>
      <w:pPr>
        <w:pStyle w:val="BodyText"/>
        <w:rPr/>
      </w:pPr>
      <w:r>
        <w:rPr/>
        <w:t xml:space="preserve">Đối với tiếng Việt, PhoBERT là mô hình đơn ngữ được tiền huấn luyện trên ngữ liệu tiếng Việt và sử dụng bộ tách từ phù hợp với đặc trưng của ngôn ngữ này </w:t>
      </w:r>
      <w:hyperlink w:anchor="ref-Nguyen2020_200300744v3">
        <w:r>
          <w:rPr>
            <w:rStyle w:val="Hyperlink"/>
          </w:rPr>
          <w:t>[16]</w:t>
        </w:r>
      </w:hyperlink>
      <w:r>
        <w:rPr/>
        <w:t>. Sự khác biệt về phương pháp tách từ có ý nghĩa thực tế vì một đơn vị ngữ nghĩa trong tiếng Việt thường gồm nhiều âm tiết được phân cách bằng khoảng trắng. Bộ tách từ không phù hợp có thể làm phân mảnh tên riêng, thuật ngữ hoặc mã cổ phiếu trước khi văn bản được đưa vào bộ mã hóa. Vì vậy, PhoBERT là một lựa chọn hợp lý cho bước phân tích cảm xúc tiếng Việt.</w:t>
      </w:r>
    </w:p>
    <w:p>
      <w:pPr>
        <w:pStyle w:val="BodyText"/>
        <w:rPr/>
      </w:pPr>
      <w:r>
        <w:rPr/>
        <w:t>Tuy nhiên, PhoBERT chỉ cung cấp nền tảng ngôn ngữ và không tự động bảo đảm rằng mô hình hiểu chính xác miền tài chính. Tên mã, tên doanh nghiệp, số liệu tăng trưởng, thông tin về phát hành cổ phiếu, thay đổi nhân sự và các câu phủ định có thể không xuất hiện đầy đủ trong dữ liệu tiền huấn luyện. Do đó, mô hình vẫn cần được tinh chỉnh trên tập dữ liệu tài chính với hướng dẫn gán nhãn rõ ràng. Kết quả của bước này cũng phải được đánh giá riêng trước khi xác suất cảm xúc được sử dụng làm đặc trưng cho nhánh dự báo giá.</w:t>
      </w:r>
      <w:bookmarkEnd w:id="41"/>
    </w:p>
    <w:p>
      <w:pPr>
        <w:pStyle w:val="Heading3"/>
        <w:rPr/>
      </w:pPr>
      <w:bookmarkStart w:id="42" w:name="__RefHeading___Toc10944_2435329662"/>
      <w:bookmarkStart w:id="43" w:name="X131459ee42b2374dcc60b667a300f599335c59b"/>
      <w:bookmarkEnd w:id="42"/>
      <w:r>
        <w:rPr>
          <w:rFonts w:eastAsia="Times New Roman" w:cs="Times New Roman"/>
        </w:rPr>
        <w:t>2.1.2. Các công trình cảm xúc và chuyển động cổ phiếu quốc tế</w:t>
      </w:r>
    </w:p>
    <w:p>
      <w:pPr>
        <w:pStyle w:val="FirstParagraph"/>
        <w:rPr/>
      </w:pPr>
      <w:r>
        <w:rPr/>
        <w:t xml:space="preserve">Một hướng nghiên cứu gần với đề tài là trích xuất tín hiệu từ tin tức, sau đó đưa các tín hiệu này vào mô hình chuỗi thời gian. Halder (2022) xây dựng quy trình FinBERT-LSTM cho bài toán dự báo giá cổ phiếu từ cảm xúc của tin tức </w:t>
      </w:r>
      <w:hyperlink w:anchor="ref-Halder2022_221107392v1">
        <w:r>
          <w:rPr>
            <w:rStyle w:val="Hyperlink"/>
          </w:rPr>
          <w:t>[9]</w:t>
        </w:r>
      </w:hyperlink>
      <w:r>
        <w:rPr/>
        <w:t>. Tác giả mô tả quá trình phát triển từ các mô hình chuỗi thời gian đơn giản đến LSTM, sau đó bổ sung FinBERT để phân tích cảm xúc tin tức trước bước dự báo. Dữ liệu số cung cấp lịch sử giá, trong khi dữ liệu văn bản cung cấp thông tin được trích xuất từ tin tức tài chính tiếng Anh. Các biểu diễn hoặc điểm cảm xúc được kết hợp với dữ liệu giá trước khi đưa vào LSTM.</w:t>
      </w:r>
    </w:p>
    <w:p>
      <w:pPr>
        <w:pStyle w:val="BodyText"/>
        <w:rPr/>
      </w:pPr>
      <w:r>
        <w:rPr/>
        <w:t>Kết quả chính của Halder cho thấy cấu hình FinBERT-LSTM đạt kết quả tốt hơn các cấu hình chỉ sử dụng MLP, RNN hoặc LSTM trong phạm vi thí nghiệm của công trình. Nghiên cứu này cung cấp một mẫu thiết kế gần với kiến trúc hai nhánh của đề tài: mô hình ngôn ngữ xử lý tin tức, LSTM xử lý chuỗi thị trường, và hai nguồn dữ liệu được tích hợp trong cùng một quy trình dự báo. Tuy nhiên, bài toán của Halder tập trung vào dự báo giá và sử dụng dữ liệu tiếng Anh, thay vì phân loại ba lớp tăng, giảm và đi ngang của phiên kế tiếp. Khi áp dụng ý tưởng này cho HOSE, cần kiểm soát sự khác biệt về thị trường, múi giờ, lịch tin và cơ chế hình thành giá. Phương pháp ghép đặc trưng của công trình cũng chưa giải quyết đầy đủ vấn đề tin tức được công bố trước hay sau giờ đóng cửa trong bối cảnh của đề tài.</w:t>
      </w:r>
    </w:p>
    <w:p>
      <w:pPr>
        <w:pStyle w:val="BodyText"/>
        <w:rPr/>
      </w:pPr>
      <w:r>
        <w:rPr/>
        <w:t xml:space="preserve">Gu và cộng sự (2024) tiếp tục phát triển hướng FinBERT-LSTM cho bài toán dự báo giá </w:t>
      </w:r>
      <w:hyperlink w:anchor="ref-Gu2024_240716150v1">
        <w:r>
          <w:rPr>
            <w:rStyle w:val="Hyperlink"/>
          </w:rPr>
          <w:t>[8]</w:t>
        </w:r>
      </w:hyperlink>
      <w:r>
        <w:rPr/>
        <w:t>. Công trình sử dụng dữ liệu giá cổ phiếu cùng với tin tức tài chính tiếng Anh, trong đó FinBERT tạo biểu diễn hoặc điểm cảm xúc, còn LSTM học các quan hệ theo thời gian. Nghiên cứu trình bày một phiên bản hoàn thiện hơn về mặt kỹ thuật của quy trình, qua đó củng cố phương pháp tách bước xử lý văn bản khỏi bước mô hình hóa chuỗi giá. Kết quả được công bố cho thấy việc bổ sung cảm xúc vào cấu hình FinBERT-LSTM có thể cải thiện khả năng dự báo so với các cấu hình đối chứng trên bộ dữ liệu riêng của công trình.</w:t>
      </w:r>
    </w:p>
    <w:p>
      <w:pPr>
        <w:pStyle w:val="BodyText"/>
        <w:rPr/>
      </w:pPr>
      <w:r>
        <w:rPr/>
        <w:t>Hạn chế của nghiên cứu do Gu và cộng sự thực hiện là kết quả vẫn phụ thuộc vào dữ liệu tiếng Anh, bài toán giá được lựa chọn và phương pháp ghép tin tức với phiên giao dịch. Công trình dự báo giá tuyệt đối, không thực hiện nhiệm vụ phân loại xu hướng ba lớp như đề tài. Ngoài ra, nếu quy trình chia dữ liệu, chuẩn hóa hoặc ghép mốc thời gian không được mô tả theo cùng một chuẩn, chênh lệch giữa mô hình có và không có tin tức có thể không phản ánh hoàn toàn giá trị của cảm xúc. Vì vậy, công trình cung cấp cơ sở tham khảo về kiến trúc nhưng không thể được sử dụng để xác lập trước kỳ vọng hiệu năng đối với cổ phiếu Việt Nam.</w:t>
      </w:r>
    </w:p>
    <w:p>
      <w:pPr>
        <w:pStyle w:val="BodyText"/>
        <w:rPr/>
      </w:pPr>
      <w:r>
        <w:rPr/>
        <w:t xml:space="preserve">Chen (2021) nghiên cứu dự báo chuyển động cổ phiếu từ tin tức bằng biểu diễn ngữ cảnh được tinh chỉnh từ BERT </w:t>
      </w:r>
      <w:hyperlink w:anchor="ref-Chen2021_210708721v1">
        <w:r>
          <w:rPr>
            <w:rStyle w:val="Hyperlink"/>
          </w:rPr>
          <w:t>[4]</w:t>
        </w:r>
      </w:hyperlink>
      <w:r>
        <w:rPr/>
        <w:t>. Thay vì nén mỗi bài viết thành một nhãn tích cực hoặc tiêu cực, phương pháp này giữ lại biểu diễn ngữ cảnh của tin tức, sau đó tổng hợp theo đơn vị thời gian để đưa vào mô hình dự báo hướng biến động. Dữ liệu của công trình gồm các cặp tin tức tài chính tiếng Anh và dữ liệu chuyển động giá trong bối cảnh thị trường được nghiên cứu. Cách tiếp cận này cho phép mô hình khai thác những sắc thái không thể hiện trong một điểm cảm xúc duy nhất.</w:t>
      </w:r>
    </w:p>
    <w:p>
      <w:pPr>
        <w:pStyle w:val="BodyText"/>
        <w:rPr/>
      </w:pPr>
      <w:r>
        <w:rPr/>
        <w:t>Kết quả do Chen báo cáo cho thấy biểu diễn ngữ cảnh có thể hỗ trợ dự báo chuyển động; công trình cũng xem xét giá trị của mô hình thông qua mô phỏng giao dịch. Khía cạnh này có ý nghĩa về phương pháp vì hiệu năng phân loại không phải lúc nào cũng tương ứng với giá trị kinh tế. Tuy nhiên, bộ dữ liệu và môi trường tiếng Anh khác đáng kể so với dữ liệu tiếng Việt. Mô phỏng giao dịch còn phụ thuộc vào các giả định về thời điểm khớp lệnh, phí giao dịch và thanh khoản, nên không được chuyển trực tiếp thành tiêu chí bắt buộc trong mức sàn của đề tài. Trong phạm vi hiện tại, công trình chủ yếu gợi ý phương pháp duy trì thông tin ngữ cảnh và phân tích kết quả, còn đặc trưng đầu vào của đề tài vẫn ưu tiên vector xác suất cảm xúc dễ tái lập.</w:t>
      </w:r>
    </w:p>
    <w:p>
      <w:pPr>
        <w:pStyle w:val="BodyText"/>
        <w:rPr/>
      </w:pPr>
      <w:r>
        <w:rPr/>
        <w:t xml:space="preserve">Chen và cộng sự (2019) áp dụng cách tiếp cận giàu thông tin hơn bằng việc trích xuất các sự kiện chi tiết trong tin tức thay vì chỉ phân loại cảm xúc </w:t>
      </w:r>
      <w:hyperlink w:anchor="ref-Chen2019_191005078v1">
        <w:r>
          <w:rPr>
            <w:rStyle w:val="Hyperlink"/>
          </w:rPr>
          <w:t>[3]</w:t>
        </w:r>
      </w:hyperlink>
      <w:r>
        <w:rPr/>
        <w:t>. Các đơn vị thông tin được xem xét gồm sự kiện, chủ thể, loại sự kiện và hướng tác động đối với cổ phiếu. Những tín hiệu ở mức sự kiện sau đó được đưa vào mô hình dự báo chuyển động. Kết quả của công trình cho thấy biểu diễn sự kiện có thể bổ sung cho dữ liệu giá vì hai bài viết có cùng sắc thái chung vẫn có thể mô tả các sự kiện kinh tế khác nhau. Tuy nhiên, việc xác định lược đồ sự kiện và tạo nhãn ở mức chi tiết đòi hỏi nhiều công sức hơn so với phân loại cảm xúc ba lớp. Sai sót trong nhận dạng chủ thể hoặc thời điểm sự kiện cũng có thể lan truyền sang bước dự báo. Do đó, tín hiệu ở mức sự kiện phù hợp với vai trò là một hướng mở rộng sau khi quy trình phân tích cảm xúc cơ bản đã được kiểm soát.</w:t>
      </w:r>
    </w:p>
    <w:p>
      <w:pPr>
        <w:pStyle w:val="BodyText"/>
        <w:rPr/>
      </w:pPr>
      <w:r>
        <w:rPr/>
        <w:t xml:space="preserve">Jiang và Zeng (2023) xem xét việc sử dụng FinBERT để phân tích cảm xúc tài chính và áp dụng đầu ra vào dự báo chuyển động cổ phiếu </w:t>
      </w:r>
      <w:hyperlink w:anchor="ref-Jiang2023_230602136v3">
        <w:r>
          <w:rPr>
            <w:rStyle w:val="Hyperlink"/>
          </w:rPr>
          <w:t>[11]</w:t>
        </w:r>
      </w:hyperlink>
      <w:r>
        <w:rPr/>
        <w:t>. Công trình đại diện cho một quy trình gọn từ đầu đến cuối: văn bản tài chính được đưa qua FinBERT, kết quả cảm xúc được liên kết với dữ liệu chuyển động, và mô hình dự báo được đánh giá trên dữ liệu riêng của nghiên cứu. Kết quả công bố củng cố nhận định rằng cảm xúc miền tài chính có thể được sử dụng như một nguồn tín hiệu cho bài toán cổ phiếu. Tuy nhiên, mô hình, thị trường và ngôn ngữ của công trình không tương ứng với dữ liệu HOSE. Bên cạnh đó, khả năng phân loại tốt của một mô hình FinBERT không tự động cho thấy xác suất cảm xúc có giá trị gia tăng sau khi lịch sử giá đã được sử dụng. Đề tài cần kiểm tra vấn đề này bằng phương pháp loại bỏ đặc trưng.</w:t>
      </w:r>
    </w:p>
    <w:p>
      <w:pPr>
        <w:pStyle w:val="BodyText"/>
        <w:rPr/>
      </w:pPr>
      <w:r>
        <w:rPr/>
        <w:t xml:space="preserve">Các nghiên cứu gần đây mở rộng quy trình thông qua mô hình ngôn ngữ lớn. Elahi và Taghvaei (2024) nghiên cứu việc kết hợp dữ liệu tài chính có cấu trúc với bài viết bằng LLM </w:t>
      </w:r>
      <w:hyperlink w:anchor="ref-Elahi2024_241101368v1">
        <w:r>
          <w:rPr>
            <w:rStyle w:val="Hyperlink"/>
          </w:rPr>
          <w:t>[6]</w:t>
        </w:r>
      </w:hyperlink>
      <w:r>
        <w:rPr/>
        <w:t>. Dữ liệu số và dữ liệu văn bản được xử lý dưới các dạng khác nhau, sau đó LLM được sử dụng để tạo hoặc hợp nhất thông tin phục vụ dự báo chuyển động giá. Kết quả công bố cho thấy phương pháp hợp nhất bằng LLM có tiềm năng khai thác nhiều thông tin ngữ cảnh hơn so với việc chỉ sử dụng một điểm cảm xúc. Tuy nhiên, mức cải thiện phụ thuộc vào điểm kiểm, câu lệnh, thời điểm truy cập và bộ dữ liệu của công trình. Nếu mô hình thay đổi phiên bản, kết quả khó được tái lập hoàn toàn; chi phí suy luận cũng có thể lớn đối với quy trình thực nghiệm trên nhiều mã.</w:t>
      </w:r>
    </w:p>
    <w:p>
      <w:pPr>
        <w:pStyle w:val="BodyText"/>
        <w:rPr/>
      </w:pPr>
      <w:r>
        <w:rPr/>
        <w:t xml:space="preserve">Liang và cộng sự (2024) đề xuất FinGPT theo hướng làm giàu ngữ cảnh và xem xét quá trình lan truyền của tin tức </w:t>
      </w:r>
      <w:hyperlink w:anchor="ref-Liang2024_241210823v2">
        <w:r>
          <w:rPr>
            <w:rStyle w:val="Hyperlink"/>
          </w:rPr>
          <w:t>[12]</w:t>
        </w:r>
      </w:hyperlink>
      <w:r>
        <w:rPr/>
        <w:t>. Thay vì xem mỗi tin tức là một quan sát độc lập, công trình quan tâm đến mức độ phổ biến của tin và mối liên hệ giữa ngữ cảnh tin tức với dự báo biến động giá cổ phiếu dựa trên tín hiệu cảm xúc. Đây là một hướng mở rộng hợp lý vì cùng một nội dung có thể tạo ra tác động khác nhau tùy theo thời điểm và mức độ thị trường đã tiếp nhận thông tin. Kết quả của công trình cho thấy việc bổ sung ngữ cảnh lan truyền là một hướng có thể cải thiện chất lượng biểu diễn. Tuy nhiên, cách tiếp cận này đòi hỏi nhiều siêu dữ liệu hơn, mô hình lớn hơn và quy trình kiểm soát dữ liệu phức tạp hơn mức sàn của đề tài.</w:t>
      </w:r>
    </w:p>
    <w:p>
      <w:pPr>
        <w:pStyle w:val="BodyText"/>
        <w:rPr/>
      </w:pPr>
      <w:r>
        <w:rPr/>
        <w:t xml:space="preserve">Siala, Khanfir và Papadakis (2026) xem xét trực tiếp mức cải thiện mà cảm xúc do LLM tạo ra có thể mang lại cho dự báo chuyển động giá </w:t>
      </w:r>
      <w:hyperlink w:anchor="ref-Siala2026_260200086v3">
        <w:r>
          <w:rPr>
            <w:rStyle w:val="Hyperlink"/>
          </w:rPr>
          <w:t>[18]</w:t>
        </w:r>
      </w:hyperlink>
      <w:r>
        <w:rPr/>
        <w:t>. Công trình không giả định rằng tin tức luôn hữu ích, mà so sánh dự báo có tín hiệu cảm xúc với dự báo đối chứng để đo lường lượng thông tin gia tăng. Kết quả được công bố trong nghiên cứu mới cho thấy tác động của cảm xúc LLM cần được đo lường trên từng khung dữ liệu và không nên được suy rộng thành lợi ích ổn định cho mọi thị trường. Tuy nhiên, đây là một bản thảo tiền công bố mới; dữ liệu và giao thức không trùng với đề tài, đồng thời việc sử dụng LLM làm tăng yêu cầu về chi phí và khả năng tái lập. Quan điểm kiểm tra đóng góp biên của cảm xúc cung cấp cơ sở trực tiếp cho thiết kế loại bỏ đặc trưng của đề tài.</w:t>
      </w:r>
      <w:bookmarkEnd w:id="43"/>
    </w:p>
    <w:p>
      <w:pPr>
        <w:pStyle w:val="Heading3"/>
        <w:rPr/>
      </w:pPr>
      <w:bookmarkStart w:id="44" w:name="__RefHeading___Toc10946_2435329662"/>
      <w:bookmarkStart w:id="45" w:name="khả-năng-áp-dụng-cho-dữ-liệu-tiếng-việt"/>
      <w:bookmarkEnd w:id="44"/>
      <w:r>
        <w:rPr>
          <w:rFonts w:eastAsia="Times New Roman" w:cs="Times New Roman"/>
        </w:rPr>
        <w:t>2.1.3. Khả năng áp dụng cho dữ liệu tiếng Việt</w:t>
      </w:r>
    </w:p>
    <w:p>
      <w:pPr>
        <w:pStyle w:val="FirstParagraph"/>
        <w:rPr/>
      </w:pPr>
      <w:r>
        <w:rPr/>
        <w:t>Các tài liệu đã được xác minh cung cấp cơ sở cho việc lựa chọn mô hình ngôn ngữ, phương pháp biểu diễn tin tức và thiết kế mô hình kết hợp. Tuy nhiên, kết quả của các công trình không thể được chuyển trực tiếp sang dữ liệu của đồ án do khác biệt về ngôn ngữ, nguồn dữ liệu, nhiệm vụ dự báo và giao thức đánh giá. Vì vậy, các tài liệu này được sử dụng để xây dựng cơ sở phương pháp, không thay thế kết quả thực nghiệm của đề tài.</w:t>
      </w:r>
    </w:p>
    <w:p>
      <w:pPr>
        <w:pStyle w:val="BodyText"/>
        <w:rPr/>
      </w:pPr>
      <w:r>
        <w:rPr/>
        <w:t xml:space="preserve">Đối với tiếng Việt, PhoBERT là mô hình ngôn ngữ đơn ngữ được tiền huấn luyện trên ngữ liệu tiếng Việt và có bộ tách từ phù hợp với đặc trưng của ngôn ngữ này </w:t>
      </w:r>
      <w:hyperlink w:anchor="ref-Nguyen2020_200300744v3">
        <w:r>
          <w:rPr>
            <w:rStyle w:val="Hyperlink"/>
          </w:rPr>
          <w:t>[16]</w:t>
        </w:r>
      </w:hyperlink>
      <w:r>
        <w:rPr/>
        <w:t>. Đặc điểm này phù hợp với mục tiêu xử lý tên doanh nghiệp, mã cổ phiếu và các cách biểu đạt thường gặp trong tin tức tài chính. Tuy nhiên, việc lựa chọn PhoBERT chỉ cung cấp cơ sở ngôn ngữ ban đầu; chất lượng phân loại vẫn phải được đánh giá trên dữ liệu có nhãn của đề tài.</w:t>
      </w:r>
    </w:p>
    <w:p>
      <w:pPr>
        <w:pStyle w:val="BodyText"/>
        <w:rPr/>
      </w:pPr>
      <w:r>
        <w:rPr/>
        <w:t xml:space="preserve">Trong miền tiếng Anh, FinBERT được phát triển bằng cách thích nghi BERT với ngữ liệu tài chính </w:t>
      </w:r>
      <w:hyperlink w:anchor="ref-Yang2020_200608097v2">
        <w:r>
          <w:rPr>
            <w:rStyle w:val="Hyperlink"/>
          </w:rPr>
          <w:t>[24]</w:t>
        </w:r>
      </w:hyperlink>
      <w:r>
        <w:rPr/>
        <w:t xml:space="preserve">. Các nghiên cứu sử dụng FinBERT hoặc biểu diễn BERT để kết hợp tin tức với dữ liệu giá cho thấy có thể tách bước xử lý văn bản khỏi bước mô hình hóa chuỗi </w:t>
      </w:r>
      <w:hyperlink w:anchor="ref-Chen2021_210708721v1">
        <w:r>
          <w:rPr>
            <w:rStyle w:val="Hyperlink"/>
          </w:rPr>
          <w:t>[4]</w:t>
        </w:r>
      </w:hyperlink>
      <w:r>
        <w:rPr/>
        <w:t xml:space="preserve">, </w:t>
      </w:r>
      <w:hyperlink w:anchor="ref-Gu2024_240716150v1">
        <w:r>
          <w:rPr>
            <w:rStyle w:val="Hyperlink"/>
          </w:rPr>
          <w:t>[8]</w:t>
        </w:r>
      </w:hyperlink>
      <w:r>
        <w:rPr/>
        <w:t xml:space="preserve">, </w:t>
      </w:r>
      <w:hyperlink w:anchor="ref-Halder2022_221107392v1">
        <w:r>
          <w:rPr>
            <w:rStyle w:val="Hyperlink"/>
          </w:rPr>
          <w:t>[9]</w:t>
        </w:r>
      </w:hyperlink>
      <w:r>
        <w:rPr/>
        <w:t>. Cách phân tách này gợi ý thiết kế hai nhánh của đồ án, trong đó nhánh văn bản tạo đặc trưng cảm xúc, còn nhánh giá học các quan hệ theo thời gian.</w:t>
      </w:r>
    </w:p>
    <w:p>
      <w:pPr>
        <w:pStyle w:val="BodyText"/>
        <w:rPr/>
      </w:pPr>
      <w:r>
        <w:rPr/>
        <w:t xml:space="preserve">Một hướng mở rộng là duy trì biểu diễn ngữ cảnh hoặc thông tin sự kiện thay vì nén mỗi bài viết thành một nhãn cảm xúc duy nhất. Chen và cộng sự đề xuất khai thác các sự kiện chi tiết trong tin tức </w:t>
      </w:r>
      <w:hyperlink w:anchor="ref-Chen2019_191005078v1">
        <w:r>
          <w:rPr>
            <w:rStyle w:val="Hyperlink"/>
          </w:rPr>
          <w:t>[3]</w:t>
        </w:r>
      </w:hyperlink>
      <w:r>
        <w:rPr/>
        <w:t xml:space="preserve">, trong khi các nghiên cứu khác xem xét biểu diễn ngữ cảnh và mô hình ngôn ngữ lớn cho dự báo chuyển động cổ phiếu </w:t>
      </w:r>
      <w:hyperlink w:anchor="ref-Chen2021_210708721v1">
        <w:r>
          <w:rPr>
            <w:rStyle w:val="Hyperlink"/>
          </w:rPr>
          <w:t>[4]</w:t>
        </w:r>
      </w:hyperlink>
      <w:r>
        <w:rPr/>
        <w:t xml:space="preserve">, </w:t>
      </w:r>
      <w:hyperlink w:anchor="ref-Elahi2024_241101368v1">
        <w:r>
          <w:rPr>
            <w:rStyle w:val="Hyperlink"/>
          </w:rPr>
          <w:t>[6]</w:t>
        </w:r>
      </w:hyperlink>
      <w:r>
        <w:rPr/>
        <w:t xml:space="preserve">, </w:t>
      </w:r>
      <w:hyperlink w:anchor="ref-Liang2024_241210823v2">
        <w:r>
          <w:rPr>
            <w:rStyle w:val="Hyperlink"/>
          </w:rPr>
          <w:t>[12]</w:t>
        </w:r>
      </w:hyperlink>
      <w:r>
        <w:rPr/>
        <w:t>. Các hướng tiếp cận này có thể duy trì nhiều thông tin hơn nhưng đồng thời làm tăng yêu cầu về dữ liệu, chi phí tính toán và khả năng tái lập. Vì vậy, ở mức sàn, đồ án sử dụng xác suất của ba lớp cảm xúc thay vì mặc định áp dụng một kiến trúc ngôn ngữ lớn và phức tạp.</w:t>
      </w:r>
    </w:p>
    <w:p>
      <w:pPr>
        <w:pStyle w:val="BodyText"/>
        <w:rPr/>
      </w:pPr>
      <w:r>
        <w:rPr/>
        <w:t xml:space="preserve">Các công trình về mô hình hóa chuỗi cũng cho thấy sự khác biệt giữa các kiến trúc cần được đánh giá cùng với dữ liệu và giao thức. LSTM, Transformer và Bộ biến đổi hợp nhất theo thời gian lần lượt cung cấp các phương pháp khác nhau để mô hình hóa phụ thuộc theo thời gian, quan hệ giữa nhiều biến và cơ chế lựa chọn biến </w:t>
      </w:r>
      <w:hyperlink w:anchor="ref-Hochreiter1997_lstm">
        <w:r>
          <w:rPr>
            <w:rStyle w:val="Hyperlink"/>
          </w:rPr>
          <w:t>[10]</w:t>
        </w:r>
      </w:hyperlink>
      <w:r>
        <w:rPr/>
        <w:t xml:space="preserve">, </w:t>
      </w:r>
      <w:hyperlink w:anchor="ref-Lim2021_tft">
        <w:r>
          <w:rPr>
            <w:rStyle w:val="Hyperlink"/>
          </w:rPr>
          <w:t>[13]</w:t>
        </w:r>
      </w:hyperlink>
      <w:r>
        <w:rPr/>
        <w:t xml:space="preserve">, </w:t>
      </w:r>
      <w:hyperlink w:anchor="ref-Vaswani2017_attention">
        <w:r>
          <w:rPr>
            <w:rStyle w:val="Hyperlink"/>
          </w:rPr>
          <w:t>[19]</w:t>
        </w:r>
      </w:hyperlink>
      <w:r>
        <w:rPr/>
        <w:t xml:space="preserve">. Các kiến trúc đa phương thức hoặc mô hình hóa quan hệ giữa nhiều mã tiếp tục mở rộng khả năng biểu diễn </w:t>
      </w:r>
      <w:hyperlink w:anchor="ref-Boyle2023_230503835v1">
        <w:r>
          <w:rPr>
            <w:rStyle w:val="Hyperlink"/>
          </w:rPr>
          <w:t>[2]</w:t>
        </w:r>
      </w:hyperlink>
      <w:r>
        <w:rPr/>
        <w:t xml:space="preserve">, </w:t>
      </w:r>
      <w:hyperlink w:anchor="ref-Omranpour2024_241210540v1">
        <w:r>
          <w:rPr>
            <w:rStyle w:val="Hyperlink"/>
          </w:rPr>
          <w:t>[17]</w:t>
        </w:r>
      </w:hyperlink>
      <w:r>
        <w:rPr/>
        <w:t xml:space="preserve">, </w:t>
      </w:r>
      <w:hyperlink w:anchor="ref-Xu2021_211013716v2">
        <w:r>
          <w:rPr>
            <w:rStyle w:val="Hyperlink"/>
          </w:rPr>
          <w:t>[22]</w:t>
        </w:r>
      </w:hyperlink>
      <w:r>
        <w:rPr/>
        <w:t xml:space="preserve">, </w:t>
      </w:r>
      <w:hyperlink w:anchor="ref-Zhao2023_230609862v3">
        <w:r>
          <w:rPr>
            <w:rStyle w:val="Hyperlink"/>
          </w:rPr>
          <w:t>[25]</w:t>
        </w:r>
      </w:hyperlink>
      <w:r>
        <w:rPr/>
        <w:t>. Tuy nhiên, độ phức tạp cao hơn không tự động tạo ra kết quả tốt hơn nếu dữ liệu, số lượng mẫu hoặc quy tắc đánh giá chưa phù hợp.</w:t>
      </w:r>
    </w:p>
    <w:p>
      <w:pPr>
        <w:pStyle w:val="BodyText"/>
        <w:rPr/>
      </w:pPr>
      <w:r>
        <w:rPr/>
        <w:t>Khoảng trống mà đồ án tập trung kiểm tra không dựa trên giả định rằng mọi tín hiệu cảm xúc đều có giá trị dự báo. Vấn đề cần giải quyết là liệu đặc trưng cảm xúc được trích xuất từ tin tức tiếng Việt có cung cấp thông tin bổ sung sau khi lịch sử giá và chỉ báo kỹ thuật đã được sử dụng hay không. Để trả lời câu hỏi này, hai cấu hình có và không có cảm xúc phải được xây dựng trong cùng điều kiện về cửa sổ dữ liệu, tiền xử lý, hạt giống, ngân sách huấn luyện và tập đánh giá. Kết luận chỉ được rút ra từ kết quả ngoài mẫu trên dữ liệu của đề tài.</w:t>
      </w:r>
      <w:bookmarkEnd w:id="45"/>
    </w:p>
    <w:p>
      <w:pPr>
        <w:pStyle w:val="Heading3"/>
        <w:rPr/>
      </w:pPr>
      <w:bookmarkStart w:id="46" w:name="__RefHeading___Toc10948_2435329662"/>
      <w:bookmarkStart w:id="47" w:name="X75174fc94cb596f31d134680d6ae97ad43c6f2d"/>
      <w:bookmarkEnd w:id="46"/>
      <w:r>
        <w:rPr>
          <w:rFonts w:eastAsia="Times New Roman" w:cs="Times New Roman"/>
        </w:rPr>
        <w:t>2.1.4. Đánh giá chất lượng nhãn và đầu ra cảm xúc</w:t>
      </w:r>
    </w:p>
    <w:p>
      <w:pPr>
        <w:pStyle w:val="FirstParagraph"/>
        <w:rPr/>
      </w:pPr>
      <w:r>
        <w:rPr/>
        <w:t>Đánh giá cảm xúc cần được thực hiện riêng với đánh giá dự báo xu hướng. Ở tầng phân loại văn bản, mô hình được đánh giá bằng độ chính xác, độ chính xác dương tính, độ bao phủ và F1 theo từng lớp. F1 vĩ mô nên được ưu tiên khi số lượng mẫu tích cực, trung tính và tiêu cực không cân bằng. Độ tin cậy của bộ nhãn được kiểm soát thông qua hướng dẫn thống nhất, lưu vết phiên bản, kiểm tra nhãn thiếu và rà soát thủ công toàn bộ mẫu bởi một người. Nếu mô hình ngôn ngữ lớn được sử dụng để tạo nhãn sơ bộ, các nhãn này chỉ đóng vai trò đầu vào hỗ trợ và không thay thế nhãn đã được con người kiểm tra; không tính độ đồng thuận liên người gán nhãn.</w:t>
      </w:r>
    </w:p>
    <w:p>
      <w:pPr>
        <w:pStyle w:val="BodyText"/>
        <w:rPr/>
      </w:pPr>
      <w:r>
        <w:rPr/>
        <w:t>Đầu ra chuyển sang nhánh dự báo cũng không nên chỉ gồm nhãn có xác suất cao nhất. Với mỗi bài viết, mô hình tạo vector:</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N</m:t>
              </m:r>
              <m:r>
                <w:rPr>
                  <w:rFonts w:ascii="Cambria Math" w:hAnsi="Cambria Math"/>
                </w:rPr>
                <m:t xml:space="preserve">E</m:t>
              </m:r>
              <m:r>
                <w:rPr>
                  <w:rFonts w:ascii="Cambria Math" w:hAnsi="Cambria Math"/>
                </w:rPr>
                <m:t xml:space="preserve">G</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N</m:t>
              </m:r>
              <m:r>
                <w:rPr>
                  <w:rFonts w:ascii="Cambria Math" w:hAnsi="Cambria Math"/>
                </w:rPr>
                <m:t xml:space="preserve">E</m:t>
              </m:r>
              <m:r>
                <w:rPr>
                  <w:rFonts w:ascii="Cambria Math" w:hAnsi="Cambria Math"/>
                </w:rPr>
                <m:t xml:space="preserve">U</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P</m:t>
              </m:r>
              <m:r>
                <w:rPr>
                  <w:rFonts w:ascii="Cambria Math" w:hAnsi="Cambria Math"/>
                </w:rPr>
                <m:t xml:space="preserve">O</m:t>
              </m:r>
              <m:r>
                <w:rPr>
                  <w:rFonts w:ascii="Cambria Math" w:hAnsi="Cambria Math"/>
                </w:rPr>
                <m:t xml:space="preserve">S</m:t>
              </m:r>
            </m:sub>
          </m:sSub>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c</m:t>
              </m:r>
            </m:sub>
            <m:sup/>
            <m:e>
              <m:sSub>
                <m:e>
                  <m:r>
                    <w:rPr>
                      <w:rFonts w:ascii="Cambria Math" w:hAnsi="Cambria Math"/>
                    </w:rPr>
                    <m:t xml:space="preserve">p</m:t>
                  </m:r>
                </m:e>
                <m:sub>
                  <m:r>
                    <w:rPr>
                      <w:rFonts w:ascii="Cambria Math" w:hAnsi="Cambria Math"/>
                    </w:rPr>
                    <m:t xml:space="preserve">c</m:t>
                  </m:r>
                </m:sub>
              </m:sSub>
            </m:e>
          </m:nary>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t xml:space="preserve">trong đó </w:t>
      </w:r>
      <w:r>
        <w:rPr/>
      </w:r>
      <m:oMath xmlns:m="http://schemas.openxmlformats.org/officeDocument/2006/math">
        <m:r>
          <w:rPr>
            <w:rFonts w:ascii="Cambria Math" w:hAnsi="Cambria Math"/>
          </w:rPr>
          <m:t xml:space="preserve">i</m:t>
        </m:r>
      </m:oMath>
      <w:r>
        <w:rPr/>
        <w:t xml:space="preserve"> là mã cổ phiếu, </w:t>
      </w:r>
      <w:r>
        <w:rPr/>
      </w:r>
      <m:oMath xmlns:m="http://schemas.openxmlformats.org/officeDocument/2006/math">
        <m:r>
          <w:rPr>
            <w:rFonts w:ascii="Cambria Math" w:hAnsi="Cambria Math"/>
          </w:rPr>
          <m:t xml:space="preserve">j</m:t>
        </m:r>
      </m:oMath>
      <w:r>
        <w:rPr/>
        <w:t xml:space="preserve"> là bài viết và </w:t>
      </w:r>
      <w:r>
        <w:rPr/>
      </w:r>
      <m:oMath xmlns:m="http://schemas.openxmlformats.org/officeDocument/2006/math">
        <m:r>
          <w:rPr>
            <w:rFonts w:ascii="Cambria Math" w:hAnsi="Cambria Math"/>
          </w:rPr>
          <m:t xml:space="preserve">t</m:t>
        </m:r>
      </m:oMath>
      <w:r>
        <w:rPr/>
        <w:t xml:space="preserve"> là ngày được ánh xạ. Vector này duy trì mức độ không chắc chắn của mô hình. Các vector được tổng hợp cùng số tin, độ phân tán, tỷ lệ lớp và cờ có tin theo từng mã và ngày. Nhờ đó, ngày có nhiều tin trung tính được phân biệt với ngày không có tin, trong khi ngày có một bài tích cực cao được phân biệt với ngày có nhiều bài mang tín hiệu trái chiều.</w:t>
      </w:r>
      <w:bookmarkEnd w:id="39"/>
      <w:bookmarkEnd w:id="47"/>
    </w:p>
    <w:p>
      <w:pPr>
        <w:pStyle w:val="Heading2"/>
        <w:rPr/>
      </w:pPr>
      <w:bookmarkStart w:id="48" w:name="__RefHeading___Toc10950_2435329662"/>
      <w:bookmarkStart w:id="49" w:name="sec%2525253Atq-timeseries"/>
      <w:bookmarkEnd w:id="48"/>
      <w:r>
        <w:rPr>
          <w:rFonts w:eastAsia="Times New Roman" w:cs="Times New Roman" w:ascii="Times New Roman" w:hAnsi="Times New Roman"/>
        </w:rPr>
        <w:t>2.2. Dự báo xu hướng giá bằng mô hình chuỗi thời gian</w:t>
      </w:r>
    </w:p>
    <w:p>
      <w:pPr>
        <w:pStyle w:val="FirstParagraph"/>
        <w:rPr/>
      </w:pPr>
      <w:r>
        <w:rPr/>
        <w:t xml:space="preserve">Nhánh chuỗi thời gian biểu diễn trạng thái thị trường thông qua dữ liệu OHLCV, lợi suất và các chỉ báo kỹ thuật </w:t>
      </w:r>
      <w:hyperlink w:anchor="ref-Appel2005_macd">
        <w:r>
          <w:rPr>
            <w:rStyle w:val="Hyperlink"/>
          </w:rPr>
          <w:t>[1]</w:t>
        </w:r>
      </w:hyperlink>
      <w:r>
        <w:rPr/>
        <w:t xml:space="preserve">, </w:t>
      </w:r>
      <w:hyperlink w:anchor="ref-Wilder1978_rsi">
        <w:r>
          <w:rPr>
            <w:rStyle w:val="Hyperlink"/>
          </w:rPr>
          <w:t>[21]</w:t>
        </w:r>
      </w:hyperlink>
      <w:r>
        <w:rPr/>
        <w:t xml:space="preserve">. Mục tiêu của nhánh này là xây dựng một đối chứng cơ sở đủ mạnh để đánh giá liệu cảm xúc có cung cấp thông tin mới hay chỉ phản ánh lại thông tin đã tồn tại trong giá. Do dữ liệu thị trường có thứ tự thời gian và chịu ảnh hưởng của sự thay đổi chế độ, quy trình đánh giá phải bảo toàn quan hệ trước sau. Các nghiên cứu về dự báo xu hướng thường bắt đầu với lịch sử giá, sau đó mở rộng sang các mô hình sâu hoặc các mô hình biểu diễn quan hệ giữa nhiều mã </w:t>
      </w:r>
      <w:hyperlink w:anchor="ref-Feng2018_181009936v2">
        <w:r>
          <w:rPr>
            <w:rStyle w:val="Hyperlink"/>
          </w:rPr>
          <w:t>[7]</w:t>
        </w:r>
      </w:hyperlink>
      <w:r>
        <w:rPr/>
        <w:t xml:space="preserve">, </w:t>
      </w:r>
      <w:hyperlink w:anchor="ref-Xu2021_211013716v2">
        <w:r>
          <w:rPr>
            <w:rStyle w:val="Hyperlink"/>
          </w:rPr>
          <w:t>[22]</w:t>
        </w:r>
      </w:hyperlink>
      <w:r>
        <w:rPr/>
        <w:t>.</w:t>
      </w:r>
    </w:p>
    <w:p>
      <w:pPr>
        <w:pStyle w:val="Heading3"/>
        <w:rPr/>
      </w:pPr>
      <w:bookmarkStart w:id="50" w:name="__RefHeading___Toc10952_2435329662"/>
      <w:bookmarkStart w:id="51" w:name="X7d46e0bdc010b8cb516fd4167a54806c88d9868"/>
      <w:bookmarkEnd w:id="50"/>
      <w:r>
        <w:rPr>
          <w:rFonts w:eastAsia="Times New Roman" w:cs="Times New Roman"/>
        </w:rPr>
        <w:t>2.2.1. Đối chứng cơ sở chỉ giá và các mô hình cổ điển</w:t>
      </w:r>
    </w:p>
    <w:p>
      <w:pPr>
        <w:pStyle w:val="FirstParagraph"/>
        <w:rPr/>
      </w:pPr>
      <w:r>
        <w:rPr/>
        <w:t>Đối chứng lớp phổ biến luôn dự đoán lớp xuất hiện nhiều nhất trong tập huấn luyện. Đối chứng ngẫu nhiên đưa ra dự đoán theo phân bố lớp của tập huấn luyện với hạt giống cố định. Hai mốc đối chứng này cho biết mức hiệu năng có thể đạt được mà không cần học các quan hệ phức tạp. Nếu mô hình sâu chỉ vượt đối chứng lớp phổ biến về độ chính xác nhưng có F1 vĩ mô thấp hơn, kết luận rằng mô hình tốt hơn cần được xem xét lại. Các đối chứng cơ sở này cũng hỗ trợ phát hiện trường hợp phân bố nhãn bị lệch quá mức hoặc quy tắc tạo nhãn làm cho một lớp chiếm ưu thế.</w:t>
      </w:r>
    </w:p>
    <w:p>
      <w:pPr>
        <w:pStyle w:val="BodyText"/>
        <w:rPr/>
      </w:pPr>
      <w:r>
        <w:rPr/>
        <w:t>Nhóm mô hình cổ điển gồm hồi quy logistic, rừng ngẫu nhiên và XGBoost, với đầu vào chỉ bao gồm các đặc trưng giá và chỉ báo kỹ thuật. Hồi quy logistic cung cấp một mốc tuyến tính dễ kiểm tra; rừng ngẫu nhiên mô hình hóa các ngưỡng và tương tác phi tuyến; XGBoost xây dựng tuần tự nhiều cây nhằm giảm sai số. Các mô hình này không trực tiếp xử lý thứ tự của toàn bộ cửa sổ, nhưng vẫn có thể tạo ra tín hiệu mạnh nếu việc tạo đặc trưng đã tóm tắt đủ thông tin. Việc so sánh các mô hình này với LSTM giúp phân biệt mức cải thiện do đặc trưng với mức cải thiện do kiến trúc.</w:t>
      </w:r>
      <w:bookmarkEnd w:id="51"/>
    </w:p>
    <w:p>
      <w:pPr>
        <w:pStyle w:val="Heading3"/>
        <w:rPr/>
      </w:pPr>
      <w:bookmarkStart w:id="52" w:name="__RefHeading___Toc10954_2435329662"/>
      <w:bookmarkStart w:id="53" w:name="lstm-cho-phụ-thuộc-ngắn-hạn-và-dài-hạn"/>
      <w:bookmarkEnd w:id="52"/>
      <w:r>
        <w:rPr>
          <w:rFonts w:eastAsia="Times New Roman" w:cs="Times New Roman"/>
        </w:rPr>
        <w:t>2.2.2. LSTM cho phụ thuộc ngắn hạn và dài hạn</w:t>
      </w:r>
    </w:p>
    <w:p>
      <w:pPr>
        <w:pStyle w:val="FirstParagraph"/>
        <w:rPr/>
      </w:pPr>
      <w:r>
        <w:rPr/>
        <w:t xml:space="preserve">LSTM xử lý chuỗi theo thứ tự thời gian, đồng thời duy trì trạng thái ẩn và trạng thái ô nhớ </w:t>
      </w:r>
      <w:hyperlink w:anchor="ref-Hochreiter1997_lstm">
        <w:r>
          <w:rPr>
            <w:rStyle w:val="Hyperlink"/>
          </w:rPr>
          <w:t>[10]</w:t>
        </w:r>
      </w:hyperlink>
      <w:r>
        <w:rPr/>
        <w:t xml:space="preserve">. Các cổng vào, cổng quên và cổng ra cho phép mô hình quyết định thông tin cần giữ lại hoặc loại bỏ qua nhiều bước thời gian. Với cửa sổ giá, LSTM có thể học sự thay đổi của lợi suất, khối lượng và các chỉ báo qua những ngày liên tiếp. Với cửa sổ cảm xúc, LSTM có thể học ảnh hưởng của một chuỗi tín hiệu được tổng hợp theo ngày. Vì vậy, LSTM thường được sử dụng làm bộ mã hóa chung trong các quy trình kết hợp tin tức và giá </w:t>
      </w:r>
      <w:hyperlink w:anchor="ref-Gu2024_240716150v1">
        <w:r>
          <w:rPr>
            <w:rStyle w:val="Hyperlink"/>
          </w:rPr>
          <w:t>[8]</w:t>
        </w:r>
      </w:hyperlink>
      <w:r>
        <w:rPr/>
        <w:t xml:space="preserve">, </w:t>
      </w:r>
      <w:hyperlink w:anchor="ref-Halder2022_221107392v1">
        <w:r>
          <w:rPr>
            <w:rStyle w:val="Hyperlink"/>
          </w:rPr>
          <w:t>[9]</w:t>
        </w:r>
      </w:hyperlink>
      <w:r>
        <w:rPr/>
        <w:t>.</w:t>
      </w:r>
    </w:p>
    <w:p>
      <w:pPr>
        <w:pStyle w:val="BodyText"/>
        <w:rPr/>
      </w:pPr>
      <w:r>
        <w:rPr/>
        <w:t>Ưu điểm của LSTM là cấu trúc tương đối gọn và phù hợp khi quy mô dữ liệu không đủ lớn để huấn luyện một Transformer có nhiều tham số. Tuy nhiên, mô hình xử lý dữ liệu tuần tự nên khó xem trực tiếp quan hệ giữa các thời điểm xa, đồng thời có thể nhạy với độ dài cửa sổ và phương pháp chuẩn hóa. Do đó, LSTM trong đề tài được sử dụng làm mức sàn thực nghiệm và không được giả định là mô hình tối ưu.</w:t>
      </w:r>
    </w:p>
    <w:p>
      <w:pPr>
        <w:pStyle w:val="BodyText"/>
        <w:rPr/>
      </w:pPr>
      <w:r>
        <w:rPr/>
        <w:t>Trong đề tài, LSTM chỉ giá và LSTM hai nhánh phải sử dụng cùng cửa sổ, phương pháp chia dữ liệu, ngân sách huấn luyện và tiêu chí dừng. Mô hình hai nhánh xử lý riêng chuỗi giá và chuỗi cảm xúc trước khi hợp nhất, nhưng số bước quan sát và thông tin được phép nhìn thấy phải tương đương với mô hình chỉ giá. Điều kiện này bảo đảm chênh lệch giữa hai mô hình chủ yếu phản ánh tác động của việc bổ sung cảm xúc, thay vì xuất phát từ việc một mô hình được cung cấp lịch sử dài hơn hoặc có nhiều cơ hội điều chỉnh hơn.</w:t>
      </w:r>
      <w:bookmarkEnd w:id="53"/>
    </w:p>
    <w:p>
      <w:pPr>
        <w:pStyle w:val="Heading3"/>
        <w:rPr/>
      </w:pPr>
      <w:bookmarkStart w:id="54" w:name="__RefHeading___Toc10956_2435329662"/>
      <w:bookmarkStart w:id="55" w:name="transformer-cho-chuỗi-thời-gian"/>
      <w:bookmarkEnd w:id="54"/>
      <w:r>
        <w:rPr>
          <w:rFonts w:eastAsia="Times New Roman" w:cs="Times New Roman"/>
        </w:rPr>
        <w:t>2.2.3. Transformer cho chuỗi thời gian</w:t>
      </w:r>
    </w:p>
    <w:p>
      <w:pPr>
        <w:pStyle w:val="FirstParagraph"/>
        <w:rPr/>
      </w:pPr>
      <w:r>
        <w:rPr/>
        <w:t xml:space="preserve">Transformer sử dụng cơ chế chú ý để kết nối các vị trí trong chuỗi </w:t>
      </w:r>
      <w:hyperlink w:anchor="ref-Vaswani2017_attention">
        <w:r>
          <w:rPr>
            <w:rStyle w:val="Hyperlink"/>
          </w:rPr>
          <w:t>[19]</w:t>
        </w:r>
      </w:hyperlink>
      <w:r>
        <w:rPr/>
        <w:t>. So với cơ chế truyền trạng thái tuần tự, cơ chế chú ý cho phép mô hình xem xét trực tiếp các thời điểm cách xa nhau và nhiều nhóm biến. Đối với dữ liệu giá, khả năng này hữu ích khi một biến động hiện tại có liên quan đến một mẫu đã xuất hiện từ nhiều phiên trước. Tuy nhiên, cơ chế chú ý không tự loại bỏ rò rỉ dữ liệu và cũng không tự chứng minh quan hệ nhân quả. Mô hình vẫn phải được huấn luyện theo thứ tự thời gian và kiểm tra trong điều kiện ngoài mẫu.</w:t>
      </w:r>
    </w:p>
    <w:p>
      <w:pPr>
        <w:pStyle w:val="BodyText"/>
        <w:rPr/>
      </w:pPr>
      <w:r>
        <w:rPr/>
        <w:t xml:space="preserve">Boyle và Kalita (2023) nghiên cứu Spatiotemporal Transformer để dự báo chuyển động cổ phiếu </w:t>
      </w:r>
      <w:hyperlink w:anchor="ref-Boyle2023_230503835v1">
        <w:r>
          <w:rPr>
            <w:rStyle w:val="Hyperlink"/>
          </w:rPr>
          <w:t>[2]</w:t>
        </w:r>
      </w:hyperlink>
      <w:r>
        <w:rPr/>
        <w:t>. Công trình mô hình hóa đồng thời chiều thời gian và chiều không gian, trong đó chiều không gian biểu diễn quan hệ giữa nhiều cổ phiếu. Phương pháp này phù hợp với giả thuyết rằng một sự kiện hoặc biến động ở một mã có thể liên quan đến các mã khác trong cùng ngành hoặc cùng thị trường. Kết quả của công trình cho thấy Transformer không gian thời gian có thể khai thác cả hai loại phụ thuộc thay vì xử lý từng mã như một chuỗi độc lập. Hạn chế của phương pháp là yêu cầu xác định hoặc học quan hệ liên mã, qua đó làm tăng yêu cầu về dữ liệu và thiết kế đánh giá. Các quan hệ được học trên thị trường trong nghiên cứu cũng chưa có bằng chứng trực tiếp trên HOSE, vì vậy đề tài chỉ xem đây là một hướng tham khảo trong tương lai.</w:t>
      </w:r>
    </w:p>
    <w:p>
      <w:pPr>
        <w:pStyle w:val="BodyText"/>
        <w:rPr/>
      </w:pPr>
      <w:r>
        <w:rPr/>
        <w:t xml:space="preserve">Omranpour, Rabusseau và Rabbany (2024) đề xuất Transformer bậc cao cho dữ liệu chuỗi thời gian đa phương thức </w:t>
      </w:r>
      <w:hyperlink w:anchor="ref-Omranpour2024_241210540v1">
        <w:r>
          <w:rPr>
            <w:rStyle w:val="Hyperlink"/>
          </w:rPr>
          <w:t>[17]</w:t>
        </w:r>
      </w:hyperlink>
      <w:r>
        <w:rPr/>
        <w:t>. Thay vì chỉ ghép hai vector tại cuối mạng, hướng này tìm cách mô hình hóa tương tác bậc cao giữa nhiều chuỗi hoặc nhiều phương thức trong cùng một bộ Transformer. Về mặt ý tưởng, kiến trúc này gần với trường hợp kết hợp chuỗi giá, chỉ báo và chuỗi cảm xúc. Kết quả được công bố cho thấy Transformer bậc cao có thể hỗ trợ bài toán dự báo biến động giá cổ phiếu trên dữ liệu đa phương thức. Hạn chế của phương pháp là số lượng tham số, yêu cầu tính toán và mức độ phức tạp trong kiểm soát quá khớp đều cao hơn so với mô hình chỉ sử dụng phép nối. Vì vậy, mô hình này phù hợp với hướng phát triển sau khi mức sàn LSTM hai nhánh đã được đánh giá.</w:t>
      </w:r>
    </w:p>
    <w:p>
      <w:pPr>
        <w:pStyle w:val="BodyText"/>
        <w:rPr/>
      </w:pPr>
      <w:r>
        <w:rPr/>
        <w:t xml:space="preserve">Bộ biến đổi hợp nhất theo thời gian, thường được gọi là TFT, là một tầng mở rộng kết hợp xử lý chuỗi, lựa chọn biến, các khối có cổng và cơ chế chú ý. Cấu trúc này có thể sử dụng biến tĩnh, biến được biết trước và biến quan sát theo thời gian, đồng thời tạo ra các biểu diễn phục vụ dự báo. Nếu được áp dụng trong đề tài, TFT phải được cấu hình cho bài toán phân loại ba lớp, có kích thước đầu ra bằng 3 và sử dụng hàm mất mát phân loại. Tầm quan trọng của biến hoặc chú ý chỉ cho biết mô hình sử dụng biến như thế nào trong một điều kiện cụ thể, không đủ để suy ra rằng cảm xúc gây ra biến động giá </w:t>
      </w:r>
      <w:hyperlink w:anchor="ref-Lim2021_tft">
        <w:r>
          <w:rPr>
            <w:rStyle w:val="Hyperlink"/>
          </w:rPr>
          <w:t>[13]</w:t>
        </w:r>
      </w:hyperlink>
      <w:r>
        <w:rPr/>
        <w:t>.</w:t>
      </w:r>
    </w:p>
    <w:p>
      <w:pPr>
        <w:pStyle w:val="BodyText"/>
        <w:rPr/>
      </w:pPr>
      <w:r>
        <w:rPr/>
        <w:t>Trong phạm vi đồ án, TFT chỉ được xem là mô hình mở rộng sau khi cấu hình LSTM hai nhánh đã được đánh giá. Việc sử dụng TFT phải giữ nguyên nhiệm vụ phân loại ba lớp, phạm vi dữ liệu, tập đánh giá và tiêu chí so sánh. Do đó, kết quả của các nghiên cứu về TFT trên nhiệm vụ dự báo giá hoặc trên các thị trường khác không được chuyển trực tiếp thành kết luận của đồ án.</w:t>
      </w:r>
      <w:bookmarkEnd w:id="55"/>
    </w:p>
    <w:p>
      <w:pPr>
        <w:pStyle w:val="Heading3"/>
        <w:rPr/>
      </w:pPr>
      <w:bookmarkStart w:id="56" w:name="__RefHeading___Toc10958_2435329662"/>
      <w:bookmarkStart w:id="57" w:name="Xb8a91c8f4cc7380b4eac6061eb24989912c4930"/>
      <w:bookmarkEnd w:id="56"/>
      <w:r>
        <w:rPr>
          <w:rFonts w:eastAsia="Times New Roman" w:cs="Times New Roman"/>
        </w:rPr>
        <w:t>2.2.4. Dịch chuyển phân phối và quan hệ giữa các mã</w:t>
      </w:r>
    </w:p>
    <w:p>
      <w:pPr>
        <w:pStyle w:val="FirstParagraph"/>
        <w:rPr/>
      </w:pPr>
      <w:r>
        <w:rPr/>
        <w:t xml:space="preserve">Một nhóm nghiên cứu khác không xem mỗi cổ phiếu là một chuỗi hoàn toàn độc lập. HIST của Xu và cộng sự (2021) khai thác thông tin chung giữa các mã thông qua các khái niệm được xác định trước và các khái niệm ẩn </w:t>
      </w:r>
      <w:hyperlink w:anchor="ref-Xu2021_211013716v2">
        <w:r>
          <w:rPr>
            <w:rStyle w:val="Hyperlink"/>
          </w:rPr>
          <w:t>[22]</w:t>
        </w:r>
      </w:hyperlink>
      <w:r>
        <w:rPr/>
        <w:t>. Mô hình kết hợp thông tin riêng của từng mã với thông tin được chia sẻ, đồng thời cho phép mức độ liên quan giữa mã và khái niệm thay đổi theo thời gian. Dữ liệu được tổ chức theo các chuỗi chuyển động của nhiều cổ phiếu và các quan hệ khái niệm. Kết quả công bố cho thấy HIST đạt kết quả đầu tư cao hơn các đối chứng cơ sở trên bộ dữ liệu của công trình. Hạn chế của phương pháp là yêu cầu thông tin về quan hệ giữa các mã và cách định nghĩa khái niệm, trong khi đề tài hiện tập trung vào dữ liệu của 10 mã với quy trình độc lập để thuận tiện cho việc kiểm soát.</w:t>
      </w:r>
    </w:p>
    <w:p>
      <w:pPr>
        <w:pStyle w:val="BodyText"/>
        <w:rPr/>
      </w:pPr>
      <w:r>
        <w:rPr/>
        <w:t xml:space="preserve">REST của Xu và cộng sự (2021) tiếp cận bài toán dự báo xu hướng theo sự kiện </w:t>
      </w:r>
      <w:hyperlink w:anchor="ref-Xu2021_210207372v2">
        <w:r>
          <w:rPr>
            <w:rStyle w:val="Hyperlink"/>
          </w:rPr>
          <w:t>[23]</w:t>
        </w:r>
      </w:hyperlink>
      <w:r>
        <w:rPr/>
        <w:t>. Tác động của một sự kiện được điều kiện hóa theo trạng thái của cổ phiếu, sau đó lan truyền qua đồ thị gồm các mã có liên quan. Phương pháp này phù hợp với nhận định rằng một tin tức có thể ảnh hưởng đến nhiều doanh nghiệp và mức độ ảnh hưởng phụ thuộc vào bối cảnh của từng mã. Kết quả của REST cho thấy việc đưa quan hệ sự kiện và quan hệ giữa các mã vào mô hình có thể cải thiện hiệu quả dự báo trên bộ dữ liệu được nghiên cứu. Hạn chế là phương pháp yêu cầu cấu trúc sự kiện, đồ thị và dữ liệu đa mã đủ dày, đồng thời khó tách biệt tác động của tin tức khỏi tác động của quan hệ liên mã.</w:t>
      </w:r>
    </w:p>
    <w:p>
      <w:pPr>
        <w:pStyle w:val="BodyText"/>
        <w:rPr/>
      </w:pPr>
      <w:r>
        <w:rPr/>
        <w:t xml:space="preserve">DoubleAdapt của Zhao, Kong và Shen (2023) tập trung xử lý trôi dạt khái niệm trong dữ liệu liên tục </w:t>
      </w:r>
      <w:hyperlink w:anchor="ref-Zhao2023_230609862v3">
        <w:r>
          <w:rPr>
            <w:rStyle w:val="Hyperlink"/>
          </w:rPr>
          <w:t>[25]</w:t>
        </w:r>
      </w:hyperlink>
      <w:r>
        <w:rPr/>
        <w:t>. Phương pháp sử dụng một bộ thích nghi dữ liệu để ánh xạ dữ liệu mới về một phân phối cục bộ gần ổn định hơn, cùng với một bộ thích nghi mô hình để khởi tạo các tham số phù hợp với giai đoạn mới. Cơ chế học siêu tham số này hướng đến việc cập nhật mô hình khi quan hệ giữa đặc trưng và xu hướng thay đổi. Kết quả công bố cho thấy DoubleAdapt có thể cải thiện khả năng dự báo trong bối cảnh phân phối thay đổi so với các phương pháp cập nhật thông thường. Hạn chế của phương pháp là thiết kế phức tạp và yêu cầu một giao thức liên tục rõ ràng. Trong phạm vi đề tài, trôi dạt khái niệm được ghi nhận là một rủi ro cần phân tích, nhưng chưa phải thành phần bắt buộc của mức sàn.</w:t>
      </w:r>
    </w:p>
    <w:p>
      <w:pPr>
        <w:pStyle w:val="BodyText"/>
        <w:rPr/>
      </w:pPr>
      <w:r>
        <w:rPr/>
        <w:t xml:space="preserve">MTMD của Wang và cộng sự (2022) sử dụng bộ nhớ thời gian đa quy mô và cơ chế giảm thiên lệch cho bài toán dự báo xu hướng cổ phiếu </w:t>
      </w:r>
      <w:hyperlink w:anchor="ref-Wang2022_221208656v2">
        <w:r>
          <w:rPr>
            <w:rStyle w:val="Hyperlink"/>
          </w:rPr>
          <w:t>[20]</w:t>
        </w:r>
      </w:hyperlink>
      <w:r>
        <w:rPr/>
        <w:t>. Mô hình học các biểu diễn bộ nhớ ở nhiều thang thời gian, sử dụng cơ chế chú ý để nhận diện các điểm tương đồng và kết hợp tín hiệu cục bộ với tín hiệu toàn cục thông qua cấu trúc đồ thị. Mục tiêu của mô hình là duy trì tính nhất quán theo thời gian và giảm ảnh hưởng của nhiễu. Kết quả của công trình cho thấy việc kết hợp bộ nhớ đa quy mô với quan hệ giữa các mã có thể vượt qua các đối chứng cơ sở trước đó trên dữ liệu gốc. Hạn chế là mô hình có nhiều thành phần, khó tái lập trong một đồ án có dữ liệu hạn chế và khó xác định phần cải thiện đến từ bộ nhớ hay đồ thị.</w:t>
      </w:r>
    </w:p>
    <w:p>
      <w:pPr>
        <w:pStyle w:val="BodyText"/>
        <w:rPr/>
      </w:pPr>
      <w:r>
        <w:rPr/>
        <w:t xml:space="preserve">Liu và cộng sự (2025) đề xuất DishFT-GNN, một mạng đồ thị có nhận biết tương lai dựa trên chưng cất mô hình </w:t>
      </w:r>
      <w:hyperlink w:anchor="ref-Liu2025_250210776v1">
        <w:r>
          <w:rPr>
            <w:rStyle w:val="Hyperlink"/>
          </w:rPr>
          <w:t>[14]</w:t>
        </w:r>
      </w:hyperlink>
      <w:r>
        <w:rPr/>
        <w:t>. Mô hình giáo viên học tương quan giữa sự dịch chuyển của phân phối lịch sử và phân phối tương lai, sau đó truyền thông tin cho mô hình học sinh để tạo ra biểu diễn không gian thời gian có khả năng dự báo tốt hơn. Phương pháp này hướng đến xử lý sự thay đổi của phân phối thị trường, một vấn đề thường bị bỏ qua khi mô hình chỉ được huấn luyện trên một phân phối cố định. Kết quả được công bố cho thấy chưng cất mô hình có nhận biết tương lai có thể hỗ trợ dự báo xu hướng. Hạn chế là cấu trúc giáo viên, học sinh và cơ chế quan sát tương lai phải được thiết kế cẩn thận để tránh biến thông tin tương lai thành rò rỉ trong quá trình huấn luyện.</w:t>
      </w:r>
    </w:p>
    <w:p>
      <w:pPr>
        <w:pStyle w:val="BodyText"/>
        <w:rPr/>
      </w:pPr>
      <w:r>
        <w:rPr/>
        <w:t>Lu, Hu và Zhang (2026) giới thiệu S</w:t>
      </w:r>
      <w:r>
        <w:rPr/>
      </w:r>
      <m:oMath xmlns:m="http://schemas.openxmlformats.org/officeDocument/2006/math">
        <m:sSup>
          <m:e/>
          <m:sup>
            <m:r>
              <w:rPr>
                <w:rFonts w:ascii="Cambria Math" w:hAnsi="Cambria Math"/>
              </w:rPr>
              <m:t xml:space="preserve">3</m:t>
            </m:r>
          </m:sup>
        </m:sSup>
      </m:oMath>
      <w:r>
        <w:rPr/>
        <w:t xml:space="preserve">G, một đồ thị không gian trạng thái cổ phiếu cho bài toán dự báo xu hướng </w:t>
      </w:r>
      <w:hyperlink w:anchor="ref-Lu2026_260324236v1">
        <w:r>
          <w:rPr>
            <w:rStyle w:val="Hyperlink"/>
          </w:rPr>
          <w:t>[15]</w:t>
        </w:r>
      </w:hyperlink>
      <w:r>
        <w:rPr/>
        <w:t>. Công trình kết hợp khử nhiễu bằng wavelet, đồ thị thay đổi theo thời gian và mô hình không gian trạng thái để theo dõi sự tiến hóa của quan hệ giữa các mã. Trong S</w:t>
      </w:r>
      <w:r>
        <w:rPr/>
      </w:r>
      <m:oMath xmlns:m="http://schemas.openxmlformats.org/officeDocument/2006/math">
        <m:sSup>
          <m:e/>
          <m:sup>
            <m:r>
              <w:rPr>
                <w:rFonts w:ascii="Cambria Math" w:hAnsi="Cambria Math"/>
              </w:rPr>
              <m:t xml:space="preserve">3</m:t>
            </m:r>
          </m:sup>
        </m:sSup>
      </m:oMath>
      <w:r>
        <w:rPr/>
        <w:t>G, quan hệ không được giả định là tĩnh mà phụ thuộc vào dữ liệu và được cập nhật theo trạng thái thị trường. Kết quả được báo cáo cho thấy phương pháp này đạt kết quả tốt trên các bộ dữ liệu quốc tế được sử dụng trong nghiên cứu. Hạn chế là phương pháp đòi hỏi lượng lớn dữ liệu liên mã, nhiều bước huấn luyện và không trực tiếp xử lý cảm xúc từ tin tức tiếng Việt. Đây là một bối cảnh nghiên cứu mới và không phải đối thủ trực tiếp của quy trình hai nhánh trong phạm vi đề tài.</w:t>
      </w:r>
    </w:p>
    <w:p>
      <w:pPr>
        <w:pStyle w:val="BodyText"/>
        <w:rPr/>
      </w:pPr>
      <w:r>
        <w:rPr/>
        <w:t>Nhìn chung, các nghiên cứu HIST, REST, DoubleAdapt, MTMD, DishFT-GNN và S</w:t>
      </w:r>
      <w:r>
        <w:rPr/>
      </w:r>
      <m:oMath xmlns:m="http://schemas.openxmlformats.org/officeDocument/2006/math">
        <m:sSup>
          <m:e/>
          <m:sup>
            <m:r>
              <w:rPr>
                <w:rFonts w:ascii="Cambria Math" w:hAnsi="Cambria Math"/>
              </w:rPr>
              <m:t xml:space="preserve">3</m:t>
            </m:r>
          </m:sup>
        </m:sSup>
      </m:oMath>
      <w:r>
        <w:rPr/>
        <w:t>G cho thấy các phương pháp dự báo xu hướng hiện đại đang mở rộng từ chuỗi đơn sang mô hình hóa quan hệ liên mã và thích nghi với sự thay đổi phân phối. Tuy nhiên, việc bổ sung đồ thị, bộ nhớ và học siêu tham số làm tăng khó khăn trong việc bảo đảm so sánh công bằng và truy nguyên nguyên nhân của mức cải thiện. Vì vậy, đề tài trước hết lựa chọn mô hình hai nhánh cho từng mã, đặt các mã trên cùng lịch cuốn chiếu theo thời gian, đồng thời dành quan hệ liên mã và thích nghi trực tuyến cho hướng phát triển tiếp theo.</w:t>
      </w:r>
      <w:bookmarkEnd w:id="49"/>
      <w:bookmarkEnd w:id="57"/>
    </w:p>
    <w:p>
      <w:pPr>
        <w:pStyle w:val="Heading2"/>
        <w:rPr/>
      </w:pPr>
      <w:bookmarkStart w:id="58" w:name="__RefHeading___Toc10960_2435329662"/>
      <w:bookmarkStart w:id="59" w:name="sec%2525253Atq-fusion"/>
      <w:bookmarkEnd w:id="58"/>
      <w:r>
        <w:rPr>
          <w:rFonts w:eastAsia="Times New Roman" w:cs="Times New Roman" w:ascii="Times New Roman" w:hAnsi="Times New Roman"/>
        </w:rPr>
        <w:t>2.3. Kết hợp tin tức và giá (đa phương thức)</w:t>
      </w:r>
    </w:p>
    <w:p>
      <w:pPr>
        <w:pStyle w:val="FirstParagraph"/>
        <w:rPr/>
      </w:pPr>
      <w:r>
        <w:rPr/>
        <w:t xml:space="preserve">Hợp nhất đa phương thức là quá trình kết hợp thông tin từ văn bản và chuỗi số trong một mô hình dự báo. Hai nguồn dữ liệu này khác nhau về kích thước, tần suất, thời điểm xuất hiện và mức độ tin cậy. Giá được quan sát theo phiên, trong khi tin tức có thể xuất hiện trước giờ mở cửa, trong phiên, sau giờ đóng cửa hoặc vào ngày nghỉ. Do đó, cách ghép đặc trưng không chỉ là phép nối vector, mà còn là quyết định về mốc cắt, ngày ánh xạ và cách xử lý ngày không có tin. Các hướng nghiên cứu quốc tế có thể được phân thành các phương pháp sử dụng điểm cảm xúc, biểu diễn ngữ cảnh, sự kiện chi tiết hoặc LLM </w:t>
      </w:r>
      <w:hyperlink w:anchor="ref-Elahi2024_241101368v1">
        <w:r>
          <w:rPr>
            <w:rStyle w:val="Hyperlink"/>
          </w:rPr>
          <w:t>[6]</w:t>
        </w:r>
      </w:hyperlink>
      <w:r>
        <w:rPr/>
        <w:t xml:space="preserve">, </w:t>
      </w:r>
      <w:hyperlink w:anchor="ref-Halder2022_221107392v1">
        <w:r>
          <w:rPr>
            <w:rStyle w:val="Hyperlink"/>
          </w:rPr>
          <w:t>[9]</w:t>
        </w:r>
      </w:hyperlink>
      <w:r>
        <w:rPr/>
        <w:t>.</w:t>
      </w:r>
    </w:p>
    <w:p>
      <w:pPr>
        <w:pStyle w:val="Heading3"/>
        <w:rPr/>
      </w:pPr>
      <w:bookmarkStart w:id="60" w:name="__RefHeading___Toc10962_2435329662"/>
      <w:bookmarkStart w:id="61" w:name="hợp-nhất-bằng-điểm-cảm-xúc"/>
      <w:bookmarkEnd w:id="60"/>
      <w:r>
        <w:rPr>
          <w:rFonts w:eastAsia="Times New Roman" w:cs="Times New Roman"/>
        </w:rPr>
        <w:t>2.3.1. Hợp nhất bằng điểm cảm xúc</w:t>
      </w:r>
    </w:p>
    <w:p>
      <w:pPr>
        <w:pStyle w:val="FirstParagraph"/>
        <w:rPr/>
      </w:pPr>
      <w:r>
        <w:rPr/>
        <w:t xml:space="preserve">Trong cách tiếp cận đơn giản nhất, mỗi bài viết được chuyển thành nhãn hoặc vector xác suất. Các vector sau đó được tổng hợp theo mã và ngày rồi nối với đặc trưng kỹ thuật. Đối với bài viết </w:t>
      </w:r>
      <w:r>
        <w:rPr/>
      </w:r>
      <m:oMath xmlns:m="http://schemas.openxmlformats.org/officeDocument/2006/math">
        <m:r>
          <w:rPr>
            <w:rFonts w:ascii="Cambria Math" w:hAnsi="Cambria Math"/>
          </w:rPr>
          <m:t xml:space="preserve">j</m:t>
        </m:r>
      </m:oMath>
      <w:r>
        <w:rPr/>
        <w:t xml:space="preserve"> của mã </w:t>
      </w:r>
      <w:r>
        <w:rPr/>
      </w:r>
      <m:oMath xmlns:m="http://schemas.openxmlformats.org/officeDocument/2006/math">
        <m:r>
          <w:rPr>
            <w:rFonts w:ascii="Cambria Math" w:hAnsi="Cambria Math"/>
          </w:rPr>
          <m:t xml:space="preserve">i</m:t>
        </m:r>
      </m:oMath>
      <w:r>
        <w:rPr/>
        <w:t xml:space="preserve"> trong ngày </w:t>
      </w:r>
      <w:r>
        <w:rPr/>
      </w:r>
      <m:oMath xmlns:m="http://schemas.openxmlformats.org/officeDocument/2006/math">
        <m:r>
          <w:rPr>
            <w:rFonts w:ascii="Cambria Math" w:hAnsi="Cambria Math"/>
          </w:rPr>
          <m:t xml:space="preserve">t</m:t>
        </m:r>
      </m:oMath>
      <w:r>
        <w:rPr/>
        <w:t>, vector xác suất có thể được tổng hợp bằng trung bình, trung vị, tổng có trọng số hoặc các thống kê mô tả số lượng tin. Phương pháp này dễ kiểm tra, thuận lợi cho việc thực hiện loại bỏ đặc trưng và phù hợp với dữ liệu có quy mô không quá lớn. Việc lưu vector thay vì chỉ lưu nhãn cũng bảo toàn thông tin về mức độ không chắc chắn của bộ phân loại.</w:t>
      </w:r>
    </w:p>
    <w:p>
      <w:pPr>
        <w:pStyle w:val="BodyText"/>
        <w:rPr/>
      </w:pPr>
      <w:r>
        <w:rPr/>
        <w:t>Hạn chế của phương pháp này là nhiều bài viết có thể bị nén thành một giá trị trung bình, dẫn đến mất thông tin về thứ tự bài viết, sự khác biệt giữa các nguồn, độ tin cậy, độ dài và mối quan hệ giữa sự kiện với trạng thái giá. Nếu ngày không có tin được thay bằng vector zero mà không bổ sung cờ thiếu dữ liệu, mô hình có thể không phân biệt “không có tin” với “có nhiều tin trung tính”. Ngược lại, nếu sử dụng giá trị từ tương lai để điền dữ liệu hoặc gộp bài viết sau giờ đóng cửa vào cùng phiên, quá trình hợp nhất có thể gây rò rỉ dữ liệu.</w:t>
      </w:r>
    </w:p>
    <w:p>
      <w:pPr>
        <w:pStyle w:val="BodyText"/>
        <w:rPr/>
      </w:pPr>
      <w:r>
        <w:rPr/>
        <w:t xml:space="preserve">FinBERT-LSTM của Halder và dòng công trình của Gu là các ví dụ điển hình cho quy trình cảm xúc rồi chuỗi thời gian </w:t>
      </w:r>
      <w:hyperlink w:anchor="ref-Gu2024_240716150v1">
        <w:r>
          <w:rPr>
            <w:rStyle w:val="Hyperlink"/>
          </w:rPr>
          <w:t>[8]</w:t>
        </w:r>
      </w:hyperlink>
      <w:r>
        <w:rPr/>
        <w:t xml:space="preserve">, </w:t>
      </w:r>
      <w:hyperlink w:anchor="ref-Halder2022_221107392v1">
        <w:r>
          <w:rPr>
            <w:rStyle w:val="Hyperlink"/>
          </w:rPr>
          <w:t>[9]</w:t>
        </w:r>
      </w:hyperlink>
      <w:r>
        <w:rPr/>
        <w:t>. Đề tài kế thừa cách tách các nguồn dữ liệu và sử dụng PhoBERT thay cho FinBERT để xử lý tin tiếng Việt. Tuy nhiên, một mô hình chỉ có ý nghĩa khi được so sánh với mô hình chỉ giá trên cùng dữ liệu. Chất lượng phân loại cảm xúc cao không bảo đảm rằng vector cảm xúc được tổng hợp theo ngày sẽ làm tăng F1 vĩ mô của nhánh dự báo.</w:t>
      </w:r>
      <w:bookmarkEnd w:id="61"/>
    </w:p>
    <w:p>
      <w:pPr>
        <w:pStyle w:val="Heading3"/>
        <w:rPr/>
      </w:pPr>
      <w:bookmarkStart w:id="62" w:name="__RefHeading___Toc10964_2435329662"/>
      <w:bookmarkStart w:id="63" w:name="X33c78fa2ae841e721293743ee610d85b4033ebd"/>
      <w:bookmarkEnd w:id="62"/>
      <w:r>
        <w:rPr>
          <w:rFonts w:eastAsia="Times New Roman" w:cs="Times New Roman"/>
        </w:rPr>
        <w:t>2.3.2. Hợp nhất bằng biểu diễn ngữ cảnh và sự kiện</w:t>
      </w:r>
    </w:p>
    <w:p>
      <w:pPr>
        <w:pStyle w:val="FirstParagraph"/>
        <w:rPr/>
      </w:pPr>
      <w:r>
        <w:rPr/>
        <w:t xml:space="preserve">Một hướng tiếp cận khác duy trì biểu diễn của tiêu đề hoặc bài viết thay vì nén văn bản thành một điểm phân cực. Chen sử dụng biểu diễn ngữ cảnh từ BERT cho bài toán dự báo biến động giá cổ phiếu và cho thấy biểu diễn này có thể chứa thông tin ngoài nhãn cảm xúc </w:t>
      </w:r>
      <w:hyperlink w:anchor="ref-Chen2021_210708721v1">
        <w:r>
          <w:rPr>
            <w:rStyle w:val="Hyperlink"/>
          </w:rPr>
          <w:t>[4]</w:t>
        </w:r>
      </w:hyperlink>
      <w:r>
        <w:rPr/>
        <w:t>. Khi được đưa vào mô hình RNN, biểu diễn này có thể giúp mô hình phân biệt các câu có cùng sắc thái nhưng đề cập đến những loại sự kiện khác nhau. Tuy nhiên, các vector có kích thước lớn, yêu cầu nhiều bộ nhớ và có thể chứa thông tin không liên quan đến mục tiêu dự báo.</w:t>
      </w:r>
    </w:p>
    <w:p>
      <w:pPr>
        <w:pStyle w:val="BodyText"/>
        <w:rPr/>
      </w:pPr>
      <w:r>
        <w:rPr/>
        <w:t xml:space="preserve">Một hướng tiếp cận giàu thông tin hơn là trích xuất sự kiện chi tiết, bao gồm chủ thể, loại sự kiện, hướng tác động và thời gian. Chen và cộng sự nghiên cứu việc đưa tín hiệu sự kiện chi tiết vào dự báo chuyển động </w:t>
      </w:r>
      <w:hyperlink w:anchor="ref-Chen2019_191005078v1">
        <w:r>
          <w:rPr>
            <w:rStyle w:val="Hyperlink"/>
          </w:rPr>
          <w:t>[3]</w:t>
        </w:r>
      </w:hyperlink>
      <w:r>
        <w:rPr/>
        <w:t>. Phương pháp này có thể hạn chế mất mát thông tin khi một bài viết chứa nhiều sự kiện, nhưng đòi hỏi lược đồ, bộ gán nhãn và các quy tắc ánh xạ sự kiện bổ sung. Một sai sót nhỏ khi xác định chủ thể, chẳng hạn nhầm công ty được mua với công ty đi mua, có thể làm sai cả đặc trưng và nhãn đánh giá.</w:t>
      </w:r>
    </w:p>
    <w:p>
      <w:pPr>
        <w:pStyle w:val="BodyText"/>
        <w:rPr/>
      </w:pPr>
      <w:r>
        <w:rPr/>
        <w:t>Do đề tài hướng đến một quy trình có thể tái lập trong điều kiện hạn chế về dữ liệu và thời gian, cấu hình cơ sở sử dụng xác suất cảm xúc được tổng hợp theo mã và ngày. Biểu diễn toàn văn và tín hiệu ở mức sự kiện được xem là các hướng phân tích mở rộng. Lựa chọn này nhằm tách biệt câu hỏi nền tảng về giá trị của cảm xúc với câu hỏi phức tạp hơn về biểu diễn văn bản, đồng thời không phủ nhận khả năng của các biểu diễn hoặc sự kiện chi tiết.</w:t>
      </w:r>
      <w:bookmarkEnd w:id="63"/>
    </w:p>
    <w:p>
      <w:pPr>
        <w:pStyle w:val="Heading3"/>
        <w:rPr/>
      </w:pPr>
      <w:bookmarkStart w:id="64" w:name="__RefHeading___Toc10966_2435329662"/>
      <w:bookmarkStart w:id="65" w:name="hợp-nhất-động-và-llm"/>
      <w:bookmarkEnd w:id="64"/>
      <w:r>
        <w:rPr>
          <w:rFonts w:eastAsia="Times New Roman" w:cs="Times New Roman"/>
        </w:rPr>
        <w:t>2.3.3. Hợp nhất động và LLM</w:t>
      </w:r>
    </w:p>
    <w:p>
      <w:pPr>
        <w:pStyle w:val="FirstParagraph"/>
        <w:rPr/>
      </w:pPr>
      <w:r>
        <w:rPr/>
        <w:t xml:space="preserve">Các nghiên cứu sử dụng LLM nhằm duy trì nhiều thông tin ngữ cảnh hơn trong quá trình xử lý tin tức. Elahi và Taghvaei kết hợp dữ liệu tài chính với bài viết thông qua LLM, qua đó đưa việc hợp nhất dữ liệu có cấu trúc và văn bản vào cùng một quy trình </w:t>
      </w:r>
      <w:hyperlink w:anchor="ref-Elahi2024_241101368v1">
        <w:r>
          <w:rPr>
            <w:rStyle w:val="Hyperlink"/>
          </w:rPr>
          <w:t>[6]</w:t>
        </w:r>
      </w:hyperlink>
      <w:r>
        <w:rPr/>
        <w:t>. Lợi thế của hướng tiếp cận này là mô hình có thể xử lý điều kiện, chủ thể và quan hệ giữa các sự kiện thay vì chỉ đếm các từ tích cực hoặc tiêu cực. Tuy nhiên, kết quả phụ thuộc vào điểm kiểm mô hình, câu lệnh, giới hạn ngữ cảnh và thiết kế đầu ra. Nếu phiên bản và câu lệnh không được cố định, cùng một bộ dữ liệu có thể tạo ra các đặc trưng khác nhau giữa những lần chạy.</w:t>
      </w:r>
    </w:p>
    <w:p>
      <w:pPr>
        <w:pStyle w:val="BodyText"/>
        <w:rPr/>
      </w:pPr>
      <w:r>
        <w:rPr/>
        <w:t xml:space="preserve">Liang và cộng sự đưa yếu tố lan truyền và ngữ cảnh vào FinGPT </w:t>
      </w:r>
      <w:hyperlink w:anchor="ref-Liang2024_241210823v2">
        <w:r>
          <w:rPr>
            <w:rStyle w:val="Hyperlink"/>
          </w:rPr>
          <w:t>[12]</w:t>
        </w:r>
      </w:hyperlink>
      <w:r>
        <w:rPr/>
        <w:t>. Hướng nghiên cứu này nhấn mạnh rằng tác động của tin phụ thuộc vào cả nội dung, mức độ phân phối và bối cảnh tiếp nhận của nhà đầu tư. Quan điểm này phù hợp với điều kiện thị trường thực tế, nhưng yêu cầu siêu dữ liệu về thời điểm, nguồn và mức độ phổ biến của tin. Các trường dữ liệu này thường không đầy đủ trong kho ngữ liệu được tổng hợp từ nhiều website.</w:t>
      </w:r>
    </w:p>
    <w:p>
      <w:pPr>
        <w:pStyle w:val="BodyText"/>
        <w:rPr/>
      </w:pPr>
      <w:r>
        <w:rPr/>
        <w:t xml:space="preserve">Siala và cộng sự tập trung đo lường tác động thực tế của cảm xúc do LLM tạo ra </w:t>
      </w:r>
      <w:hyperlink w:anchor="ref-Siala2026_260200086v3">
        <w:r>
          <w:rPr>
            <w:rStyle w:val="Hyperlink"/>
          </w:rPr>
          <w:t>[18]</w:t>
        </w:r>
      </w:hyperlink>
      <w:r>
        <w:rPr/>
        <w:t>. Cách tiếp cận này có ý nghĩa đối với đề tài vì văn bản hoặc nhãn do LLM tạo ra có thể có vẻ thuyết phục nhưng chưa chắc cải thiện kết quả dự báo ngoài mẫu. Vì vậy, đề tài không giả định trước rằng PhoBERT hoặc bất kỳ mô hình nền nào luôn cải thiện kết quả. Nếu thí nghiệm cho thấy cảm xúc không mang lại cải thiện, kết quả vẫn có giá trị trong việc xác định giới hạn của tín hiệu đối với dữ liệu và giao thức đã chọn.</w:t>
      </w:r>
      <w:bookmarkEnd w:id="65"/>
    </w:p>
    <w:p>
      <w:pPr>
        <w:pStyle w:val="Heading3"/>
        <w:rPr/>
      </w:pPr>
      <w:bookmarkStart w:id="66" w:name="__RefHeading___Toc10968_2435329662"/>
      <w:bookmarkStart w:id="67" w:name="các-cơ-chế-hợp-nhất"/>
      <w:bookmarkEnd w:id="66"/>
      <w:r>
        <w:rPr>
          <w:rFonts w:eastAsia="Times New Roman" w:cs="Times New Roman"/>
        </w:rPr>
        <w:t>2.3.4. Các cơ chế hợp nhất</w:t>
      </w:r>
    </w:p>
    <w:p>
      <w:pPr>
        <w:pStyle w:val="FirstParagraph"/>
        <w:rPr/>
      </w:pPr>
      <w:r>
        <w:rPr/>
        <w:t>Các cơ chế hợp nhất có thể được chia thành ba nhóm:</w:t>
      </w:r>
    </w:p>
    <w:p>
      <w:pPr>
        <w:pStyle w:val="Normal"/>
        <w:numPr>
          <w:ilvl w:val="0"/>
          <w:numId w:val="16"/>
        </w:numPr>
        <w:rPr/>
      </w:pPr>
      <w:r>
        <w:rPr/>
        <w:t>Hợp nhất sớm (early fusion): chuẩn hóa rồi nối hai nhóm đặc trưng trước bộ mã hóa. Cơ chế này đơn giản, có ít tầng kết hợp và dễ triển khai, nhưng nhóm đặc trưng có nhiều chiều hoặc thang đo lớn có thể lấn át nhóm còn lại. Nếu dữ liệu được nối trước khi căn chỉnh thời gian, lỗi về mốc thời gian cũng khó được phát hiện.</w:t>
      </w:r>
    </w:p>
    <w:p>
      <w:pPr>
        <w:pStyle w:val="Normal"/>
        <w:numPr>
          <w:ilvl w:val="0"/>
          <w:numId w:val="3"/>
        </w:numPr>
        <w:rPr/>
      </w:pPr>
      <w:r>
        <w:rPr/>
        <w:t>Hợp nhất muộn (late fusion): mỗi nhánh tạo biểu diễn hoặc dự đoán riêng, sau đó một lớp kết hợp các đầu ra. Cơ chế này tách biệt quy trình xử lý văn bản và giá, tạo thuận lợi cho việc loại bỏ đặc trưng, nhưng có thể bỏ lỡ tương tác chi tiết giữa một tin cụ thể và một trạng thái giá cụ thể.</w:t>
      </w:r>
    </w:p>
    <w:p>
      <w:pPr>
        <w:pStyle w:val="Normal"/>
        <w:numPr>
          <w:ilvl w:val="0"/>
          <w:numId w:val="3"/>
        </w:numPr>
        <w:rPr/>
      </w:pPr>
      <w:r>
        <w:rPr/>
        <w:t>Hợp nhất có cổng hoặc chú ý chéo: mô hình học cách lựa chọn thông tin giữa hai nhánh theo thời điểm và ngữ cảnh. Cơ chế này có khả năng biểu đạt cao hơn và có thể giảm ảnh hưởng của tín hiệu nhiễu, nhưng yêu cầu nhiều dữ liệu hơn và dễ làm tăng phương sai.</w:t>
      </w:r>
    </w:p>
    <w:p>
      <w:pPr>
        <w:pStyle w:val="FirstParagraph"/>
        <w:rPr/>
      </w:pPr>
      <w:r>
        <w:rPr/>
        <w:t xml:space="preserve">Đề tài sử dụng phép nối sau hai nhánh LSTM làm cấu hình cơ sở vì cấu trúc này rõ ràng, dễ kiểm tra và phù hợp với phép loại bỏ đặc trưng. Nhánh giá xử lý cửa sổ OHLCV cùng các chỉ báo kỹ thuật, trong khi nhánh cảm xúc xử lý các thống kê xác suất được tổng hợp theo cùng lịch ngày. Hai vector sau đó được nối trước lớp phân loại. Hợp nhất có cổng, chú ý chéo hoặc Transformer hai luồng được dành cho các hướng phát triển tiếp theo. Transformer bậc cao là một hướng mở rộng khi cần xử lý tương tác giữa nhiều chuỗi trong cùng một Transformer </w:t>
      </w:r>
      <w:hyperlink w:anchor="ref-Omranpour2024_241210540v1">
        <w:r>
          <w:rPr>
            <w:rStyle w:val="Hyperlink"/>
          </w:rPr>
          <w:t>[17]</w:t>
        </w:r>
      </w:hyperlink>
      <w:r>
        <w:rPr/>
        <w:t>.</w:t>
      </w:r>
      <w:bookmarkEnd w:id="67"/>
    </w:p>
    <w:p>
      <w:pPr>
        <w:pStyle w:val="Heading3"/>
        <w:rPr/>
      </w:pPr>
      <w:bookmarkStart w:id="68" w:name="__RefHeading___Toc10970_2435329662"/>
      <w:bookmarkStart w:id="69" w:name="X0bb87b7e6a42107785aa011b343fc8ed200fb91"/>
      <w:bookmarkEnd w:id="68"/>
      <w:r>
        <w:rPr>
          <w:rFonts w:eastAsia="Times New Roman" w:cs="Times New Roman"/>
        </w:rPr>
        <w:t>2.3.5. Đánh giá đa phương thức và nguy cơ diễn giải quá mức</w:t>
      </w:r>
    </w:p>
    <w:p>
      <w:pPr>
        <w:pStyle w:val="FirstParagraph"/>
        <w:rPr/>
      </w:pPr>
      <w:r>
        <w:rPr/>
        <w:t>Một mô hình đa phương thức có thể đạt điểm cao do nhiều nguyên nhân. Cảm xúc có thể phản ánh lại giá đã xuất hiện trong cùng ngày; tin có thể được xếp sai thời điểm; bản sao của bài viết có thể xuất hiện trong cả hai tập; hoặc một chỉ báo kỹ thuật có thể đã mã hóa gần như toàn bộ tín hiệu được cho là do cảm xúc cung cấp. Vì vậy, việc chỉ so sánh một mô hình hợp nhất với một mô hình chỉ sử dụng giá nhưng có cấu hình khác là chưa đủ để kết luận về giá trị của văn bản.</w:t>
      </w:r>
    </w:p>
    <w:p>
      <w:pPr>
        <w:pStyle w:val="BodyText"/>
        <w:rPr/>
      </w:pPr>
      <w:r>
        <w:rPr/>
        <w:t xml:space="preserve">Thiết kế của đề tài yêu cầu bốn điều kiện. Thứ nhất, việc ánh xạ tin theo mốc thời gian phải được kiểm tra; trong đó, tin sau giờ đóng cửa, tin cuối tuần và tin ngày nghỉ được ánh xạ sang phiên đầu tiên mà nhà đầu tư có thể quan sát. Thứ hai, hai cấu hình loại bỏ đặc trưng phải sử dụng cùng cửa sổ, hạt giống, quy trình tiền xử lý, ngân sách huấn luyện và tập giữ lại. Thứ ba, các chỉ số phải được tính trên dự đoán ngoài mẫu theo thứ tự thời gian. Thứ tư, chênh lệch phải được báo cáo cùng độ bất định, chẳng hạn khoảng tin cậy được xác định bằng lấy mẫu lặp theo khối ngày. Mô phỏng giao dịch có thể được bổ sung sau, nhưng không thay thế việc kiểm tra phân loại ngoài mẫu </w:t>
      </w:r>
      <w:hyperlink w:anchor="ref-Chen2021_210708721v1">
        <w:r>
          <w:rPr>
            <w:rStyle w:val="Hyperlink"/>
          </w:rPr>
          <w:t>[4]</w:t>
        </w:r>
      </w:hyperlink>
      <w:r>
        <w:rPr/>
        <w:t xml:space="preserve">, </w:t>
      </w:r>
      <w:hyperlink w:anchor="ref-Feng2018_181009936v2">
        <w:r>
          <w:rPr>
            <w:rStyle w:val="Hyperlink"/>
          </w:rPr>
          <w:t>[7]</w:t>
        </w:r>
      </w:hyperlink>
      <w:r>
        <w:rPr/>
        <w:t>.</w:t>
      </w:r>
      <w:bookmarkEnd w:id="59"/>
      <w:bookmarkEnd w:id="69"/>
    </w:p>
    <w:p>
      <w:pPr>
        <w:pStyle w:val="Heading2"/>
        <w:rPr/>
      </w:pPr>
      <w:bookmarkStart w:id="70" w:name="__RefHeading___Toc10972_2435329662"/>
      <w:bookmarkEnd w:id="70"/>
      <w:r>
        <w:rPr>
          <w:rFonts w:eastAsia="Times New Roman" w:cs="Times New Roman" w:ascii="Times New Roman" w:hAnsi="Times New Roman"/>
        </w:rPr>
        <w:t>2.4. Khoảng trống nghiên cứu và định vị đề tài</w:t>
      </w:r>
    </w:p>
    <w:p>
      <w:pPr>
        <w:pStyle w:val="Heading3"/>
        <w:rPr/>
      </w:pPr>
      <w:bookmarkStart w:id="71" w:name="__RefHeading___Toc10974_2435329662"/>
      <w:bookmarkStart w:id="72" w:name="cơ-sở-xác-định-khoảng-trống"/>
      <w:bookmarkEnd w:id="71"/>
      <w:r>
        <w:rPr>
          <w:rFonts w:eastAsia="Times New Roman" w:cs="Times New Roman"/>
        </w:rPr>
        <w:t>2.4.1. Cơ sở xác định khoảng trống</w:t>
      </w:r>
    </w:p>
    <w:p>
      <w:pPr>
        <w:pStyle w:val="FirstParagraph"/>
        <w:rPr/>
      </w:pPr>
      <w:r>
        <w:rPr/>
        <w:t xml:space="preserve">Kết quả khảo sát cho thấy các thành phần riêng lẻ đã được nghiên cứu ở nhiều mức độ khác nhau. FinBERT cung cấp mô hình nền cho phân tích cảm xúc tài chính bằng tiếng Anh </w:t>
      </w:r>
      <w:hyperlink w:anchor="ref-Yang2020_200608097v2">
        <w:r>
          <w:rPr>
            <w:rStyle w:val="Hyperlink"/>
          </w:rPr>
          <w:t>[24]</w:t>
        </w:r>
      </w:hyperlink>
      <w:r>
        <w:rPr/>
        <w:t xml:space="preserve">, trong khi PhoBERT cung cấp mô hình nền đơn ngữ tiếng Việt </w:t>
      </w:r>
      <w:hyperlink w:anchor="ref-Nguyen2020_200300744v3">
        <w:r>
          <w:rPr>
            <w:rStyle w:val="Hyperlink"/>
          </w:rPr>
          <w:t>[16]</w:t>
        </w:r>
      </w:hyperlink>
      <w:r>
        <w:rPr/>
        <w:t xml:space="preserve">. Các quy trình FinBERT-LSTM kết hợp tin tức với chuỗi giá đã được Halder và Gu trình bày </w:t>
      </w:r>
      <w:hyperlink w:anchor="ref-Gu2024_240716150v1">
        <w:r>
          <w:rPr>
            <w:rStyle w:val="Hyperlink"/>
          </w:rPr>
          <w:t>[8]</w:t>
        </w:r>
      </w:hyperlink>
      <w:r>
        <w:rPr/>
        <w:t xml:space="preserve">, </w:t>
      </w:r>
      <w:hyperlink w:anchor="ref-Halder2022_221107392v1">
        <w:r>
          <w:rPr>
            <w:rStyle w:val="Hyperlink"/>
          </w:rPr>
          <w:t>[9]</w:t>
        </w:r>
      </w:hyperlink>
      <w:r>
        <w:rPr/>
        <w:t xml:space="preserve">. Các biểu diễn ngữ cảnh và sự kiện mở rộng tín hiệu văn bản </w:t>
      </w:r>
      <w:hyperlink w:anchor="ref-Chen2019_191005078v1">
        <w:r>
          <w:rPr>
            <w:rStyle w:val="Hyperlink"/>
          </w:rPr>
          <w:t>[3]</w:t>
        </w:r>
      </w:hyperlink>
      <w:r>
        <w:rPr/>
        <w:t xml:space="preserve">, </w:t>
      </w:r>
      <w:hyperlink w:anchor="ref-Chen2021_210708721v1">
        <w:r>
          <w:rPr>
            <w:rStyle w:val="Hyperlink"/>
          </w:rPr>
          <w:t>[4]</w:t>
        </w:r>
      </w:hyperlink>
      <w:r>
        <w:rPr/>
        <w:t xml:space="preserve">, còn Transformer, đồ thị và học siêu tham số mở rộng phương pháp mô hình hóa chuỗi hoặc quan hệ liên mã </w:t>
      </w:r>
      <w:hyperlink w:anchor="ref-Boyle2023_230503835v1">
        <w:r>
          <w:rPr>
            <w:rStyle w:val="Hyperlink"/>
          </w:rPr>
          <w:t>[2]</w:t>
        </w:r>
      </w:hyperlink>
      <w:r>
        <w:rPr/>
        <w:t xml:space="preserve">, </w:t>
      </w:r>
      <w:hyperlink w:anchor="ref-Omranpour2024_241210540v1">
        <w:r>
          <w:rPr>
            <w:rStyle w:val="Hyperlink"/>
          </w:rPr>
          <w:t>[17]</w:t>
        </w:r>
      </w:hyperlink>
      <w:r>
        <w:rPr/>
        <w:t xml:space="preserve">, </w:t>
      </w:r>
      <w:hyperlink w:anchor="ref-Xu2021_211013716v2">
        <w:r>
          <w:rPr>
            <w:rStyle w:val="Hyperlink"/>
          </w:rPr>
          <w:t>[22]</w:t>
        </w:r>
      </w:hyperlink>
      <w:r>
        <w:rPr/>
        <w:t xml:space="preserve">, </w:t>
      </w:r>
      <w:hyperlink w:anchor="ref-Zhao2023_230609862v3">
        <w:r>
          <w:rPr>
            <w:rStyle w:val="Hyperlink"/>
          </w:rPr>
          <w:t>[25]</w:t>
        </w:r>
      </w:hyperlink>
      <w:r>
        <w:rPr/>
        <w:t>.</w:t>
      </w:r>
    </w:p>
    <w:p>
      <w:pPr>
        <w:pStyle w:val="BodyText"/>
        <w:rPr/>
      </w:pPr>
      <w:r>
        <w:rPr/>
        <w:t>Các tài liệu đã được xác minh khác nhau về nhiệm vụ, quy mô dữ liệu, đặc trưng đầu vào và giao thức đánh giá. Do đó, các kết quả công bố không được xem như những phép đo trên cùng một benchmark. Đồ án chỉ kế thừa những cơ sở phương pháp được mô tả rõ trong các tài liệu này và tiến hành kiểm chứng riêng trên dữ liệu, nhiệm vụ của đề tài.</w:t>
      </w:r>
      <w:bookmarkEnd w:id="72"/>
    </w:p>
    <w:p>
      <w:pPr>
        <w:pStyle w:val="Heading3"/>
        <w:rPr/>
      </w:pPr>
      <w:bookmarkStart w:id="73" w:name="__RefHeading___Toc10976_2435329662"/>
      <w:bookmarkStart w:id="74" w:name="các-khoảng-trống-nghiên-cứu"/>
      <w:bookmarkEnd w:id="73"/>
      <w:r>
        <w:rPr>
          <w:rFonts w:eastAsia="Times New Roman" w:cs="Times New Roman"/>
        </w:rPr>
        <w:t>2.4.2. Các khoảng trống nghiên cứu</w:t>
      </w:r>
    </w:p>
    <w:p>
      <w:pPr>
        <w:pStyle w:val="FirstParagraph"/>
        <w:rPr/>
      </w:pPr>
      <w:r>
        <w:rPr/>
        <w:t>Từ các công trình đã khảo sát, đề tài xác định năm khoảng trống cần tiếp tục nghiên cứu như sau.</w:t>
      </w:r>
    </w:p>
    <w:p>
      <w:pPr>
        <w:pStyle w:val="BodyText"/>
        <w:rPr/>
      </w:pPr>
      <w:r>
        <w:rPr/>
        <w:t xml:space="preserve">Thứ nhất, các tài liệu đã xác minh cho thấy tín hiệu văn bản có thể được biểu diễn bằng nhãn cảm xúc, biểu diễn ngữ cảnh hoặc thông tin sự kiện </w:t>
      </w:r>
      <w:hyperlink w:anchor="ref-Chen2019_191005078v1">
        <w:r>
          <w:rPr>
            <w:rStyle w:val="Hyperlink"/>
          </w:rPr>
          <w:t>[3]</w:t>
        </w:r>
      </w:hyperlink>
      <w:r>
        <w:rPr/>
        <w:t xml:space="preserve">, </w:t>
      </w:r>
      <w:hyperlink w:anchor="ref-Chen2021_210708721v1">
        <w:r>
          <w:rPr>
            <w:rStyle w:val="Hyperlink"/>
          </w:rPr>
          <w:t>[4]</w:t>
        </w:r>
      </w:hyperlink>
      <w:r>
        <w:rPr/>
        <w:t>. Các biểu diễn này có mức độ chi tiết khác nhau và đặt ra những yêu cầu khác nhau đối với dữ liệu gán nhãn. Đồ án lựa chọn xác suất của ba lớp cảm xúc ở mức sàn, đồng thời đánh giá riêng chất lượng phân loại trước khi sử dụng đầu ra làm đầu vào cho mô hình giá. Quy trình này cho phép tách biệt lỗi của bộ phân loại với lỗi của mô hình dự báo.</w:t>
      </w:r>
    </w:p>
    <w:p>
      <w:pPr>
        <w:pStyle w:val="BodyText"/>
        <w:rPr/>
      </w:pPr>
      <w:r>
        <w:rPr/>
        <w:t xml:space="preserve">Thứ hai, các phương pháp sử dụng mô hình ngôn ngữ lớn có thể tạo ra biểu diễn giàu ngữ cảnh, nhưng đồng thời làm tăng yêu cầu về điểm kiểm, phiên bản, chi phí suy luận và khả năng tái lập </w:t>
      </w:r>
      <w:hyperlink w:anchor="ref-Elahi2024_241101368v1">
        <w:r>
          <w:rPr>
            <w:rStyle w:val="Hyperlink"/>
          </w:rPr>
          <w:t>[6]</w:t>
        </w:r>
      </w:hyperlink>
      <w:r>
        <w:rPr/>
        <w:t xml:space="preserve">, </w:t>
      </w:r>
      <w:hyperlink w:anchor="ref-Liang2024_241210823v2">
        <w:r>
          <w:rPr>
            <w:rStyle w:val="Hyperlink"/>
          </w:rPr>
          <w:t>[12]</w:t>
        </w:r>
      </w:hyperlink>
      <w:r>
        <w:rPr/>
        <w:t xml:space="preserve">, </w:t>
      </w:r>
      <w:hyperlink w:anchor="ref-Siala2026_260200086v3">
        <w:r>
          <w:rPr>
            <w:rStyle w:val="Hyperlink"/>
          </w:rPr>
          <w:t>[18]</w:t>
        </w:r>
      </w:hyperlink>
      <w:r>
        <w:rPr/>
        <w:t>. Vì vậy, đồ án ưu tiên sử dụng một mô hình mở cho phép ghi nhận cấu hình và đầu ra. Mô hình phức tạp hơn không được xem là lựa chọn mặc định.</w:t>
      </w:r>
    </w:p>
    <w:p>
      <w:pPr>
        <w:pStyle w:val="BodyText"/>
        <w:rPr/>
      </w:pPr>
      <w:r>
        <w:rPr/>
        <w:t xml:space="preserve">Thứ ba, các công trình đã xác minh sử dụng những nhiệm vụ khác nhau, bao gồm dự báo giá, dự báo chuyển động và mô hình hóa chuỗi đa phương thức </w:t>
      </w:r>
      <w:hyperlink w:anchor="ref-Chen2021_210708721v1">
        <w:r>
          <w:rPr>
            <w:rStyle w:val="Hyperlink"/>
          </w:rPr>
          <w:t>[4]</w:t>
        </w:r>
      </w:hyperlink>
      <w:r>
        <w:rPr/>
        <w:t xml:space="preserve">, </w:t>
      </w:r>
      <w:hyperlink w:anchor="ref-Gu2024_240716150v1">
        <w:r>
          <w:rPr>
            <w:rStyle w:val="Hyperlink"/>
          </w:rPr>
          <w:t>[8]</w:t>
        </w:r>
      </w:hyperlink>
      <w:r>
        <w:rPr/>
        <w:t xml:space="preserve">, </w:t>
      </w:r>
      <w:hyperlink w:anchor="ref-Halder2022_221107392v1">
        <w:r>
          <w:rPr>
            <w:rStyle w:val="Hyperlink"/>
          </w:rPr>
          <w:t>[9]</w:t>
        </w:r>
      </w:hyperlink>
      <w:r>
        <w:rPr/>
        <w:t xml:space="preserve">, </w:t>
      </w:r>
      <w:hyperlink w:anchor="ref-Omranpour2024_241210540v1">
        <w:r>
          <w:rPr>
            <w:rStyle w:val="Hyperlink"/>
          </w:rPr>
          <w:t>[17]</w:t>
        </w:r>
      </w:hyperlink>
      <w:r>
        <w:rPr/>
        <w:t>. Sự khác biệt này làm hạn chế khả năng so sánh trực tiếp. Đề tài giới hạn nhiệm vụ ở dự báo hướng của phiên kế tiếp trên nhiều mã, đồng thời duy trì cùng một định nghĩa nhãn và giao thức để có thể so sánh giữa các mã.</w:t>
      </w:r>
    </w:p>
    <w:p>
      <w:pPr>
        <w:pStyle w:val="BodyText"/>
        <w:rPr/>
      </w:pPr>
      <w:r>
        <w:rPr/>
        <w:t>Thứ tư, các phương pháp đánh giá theo thời gian chưa được áp dụng nhất quán. Việc sử dụng kiểm định chéo mười nếp gấp cho dữ liệu thị trường có thể trộn lẫn các giai đoạn trước và sau nếu các nếp gấp không bảo toàn thứ tự thời gian. Trong trường hợp đó, các thống kê chuẩn hóa, ngưỡng tạo nhãn, lựa chọn đặc trưng hoặc thông tin về phân phối tương lai có thể vô tình được đưa vào quá trình huấn luyện. Bài toán dự báo thực tế đòi hỏi dữ liệu được phân chia theo thời điểm, mốc cắt của tin tức được xác định rõ và mọi tham số chỉ được ước lượng trên phần dữ liệu lịch sử mà nhà đầu tư có thể quan sát tại thời điểm đó. Quy trình cuốn chiếu theo thời gian được lựa chọn nhằm hạn chế rò rỉ và đánh giá tính ổn định qua các cửa sổ thời gian.</w:t>
      </w:r>
    </w:p>
    <w:p>
      <w:pPr>
        <w:pStyle w:val="BodyText"/>
        <w:rPr/>
      </w:pPr>
      <w:r>
        <w:rPr/>
        <w:t>Thứ năm, đóng góp riêng của tín hiệu cảm xúc chưa được đánh giá đầy đủ trong cùng một kiến trúc và cùng điều kiện huấn luyện. Việc so sánh một mô hình có tin tức, sử dụng XGBoost hoặc LLM, với một mô hình chỉ sử dụng giá, áp dụng LSTM hoặc một giao thức khác, không đủ để kết luận mức cải thiện bắt nguồn từ dữ liệu tin tức hay năng lực của mô hình. Do đó, thí nghiệm loại bỏ đặc trưng cần được thiết kế sao cho mô hình có cảm xúc và mô hình không có cảm xúc tương đương về cửa sổ dữ liệu, cấu trúc nhánh giá, quy trình tiền xử lý, hạt giống, ngân sách huấn luyện và tiêu chí lựa chọn. Chênh lệch giữa hai cấu hình là căn cứ phù hợp hơn để đo lường giá trị gia tăng của cảm xúc.</w:t>
      </w:r>
    </w:p>
    <w:p>
      <w:pPr>
        <w:pStyle w:val="BodyText"/>
        <w:rPr/>
      </w:pPr>
      <w:r>
        <w:rPr/>
        <w:t>Tóm lại, trong phạm vi tập tài liệu đã khảo sát và xác minh, các công trình được sử dụng trong báo cáo chưa cung cấp một thiết lập đánh giá đồng thời thỏa mãn năm điều kiện: trích xuất cảm xúc từ tin tức tài chính tiếng Việt; khảo sát nhiều mã trên HOSE; dự báo ba lớp cho phiên kế tiếp; khóa thông tin theo thời điểm quan sát và đánh giá cuốn chiếu ngoài mẫu; đo đóng góp biên của cảm xúc bằng đối chứng ghép cặp cùng độ bất định. Vì vậy, khoảng trống trung tâm của đề tài là thiếu bằng chứng thực nghiệm có kiểm soát cho tổ hợp dữ liệu, nhiệm vụ và giao thức này, không phải thiếu một kiến trúc có khả năng ghép văn bản với chuỗi giá. Cách phát biểu này giới hạn kết luận trong tập tài liệu đã khảo sát và không hàm ý rằng chưa từng có nghiên cứu kết hợp tin tức với giá cổ phiếu.</w:t>
      </w:r>
    </w:p>
    <w:p>
      <w:pPr>
        <w:pStyle w:val="BodyText"/>
        <w:rPr/>
      </w:pPr>
      <w:r>
        <w:rPr/>
        <w:t>Trên cơ sở năm khoảng trống nêu trên, đề tài tập trung xây dựng mô hình phân tích cảm xúc cho tin tức tài chính tiếng Việt bằng PhoBERT, tổng hợp xác suất cảm xúc theo từng mã cổ phiếu và ngày giao dịch, sau đó hợp nhất kết quả với dữ liệu thị trường trong mô hình học sâu dành cho chuỗi thời gian. Quy trình được đánh giá bằng phương pháp xác thực cuốn chiếu theo thời gian, kết hợp mô hình đối chứng và thí nghiệm loại bỏ đặc trưng nhằm xác định liệu tín hiệu cảm xúc có tạo ra giá trị bổ sung ổn định hay không.</w:t>
      </w:r>
      <w:bookmarkEnd w:id="74"/>
    </w:p>
    <w:p>
      <w:pPr>
        <w:pStyle w:val="Heading3"/>
        <w:rPr/>
      </w:pPr>
      <w:bookmarkStart w:id="75" w:name="__RefHeading___Toc10978_2435329662"/>
      <w:bookmarkStart w:id="76" w:name="so-sánh-các-hướng-nghiên-cứu"/>
      <w:bookmarkEnd w:id="75"/>
      <w:r>
        <w:rPr>
          <w:rFonts w:eastAsia="Times New Roman" w:cs="Times New Roman"/>
        </w:rPr>
        <w:t>2.4.3. So sánh các hướng nghiên cứu</w:t>
      </w:r>
    </w:p>
    <w:p>
      <w:pPr>
        <w:pStyle w:val="TableCaption"/>
        <w:rPr/>
      </w:pPr>
      <w:r>
        <w:rPr>
          <w:b/>
        </w:rPr>
        <w:t xml:space="preserve">Bảng 2.1: </w:t>
      </w:r>
      <w:r>
        <w:rPr/>
        <w:t>So sánh các nhóm nghiên cứu liên quan với phạm vi đề tài.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cantSplit/>
        </w:trPr>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Nhóm</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Đặc điểm chính</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Hạn chế khi áp dụng cho đề tài</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Vai trò</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Cảm xúc tài chính</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FinBERT và PhoBERT tạo nhãn hoặc xác suất cảm xúc cho văn bản </w:t>
            </w:r>
            <w:hyperlink w:anchor="ref-Nguyen2020_200300744v3">
              <w:r>
                <w:rPr>
                  <w:rStyle w:val="Hyperlink"/>
                  <w:kern w:val="0"/>
                  <w:szCs w:val="24"/>
                  <w:lang w:val="en-US" w:eastAsia="zh-CN" w:bidi="ar-SA"/>
                </w:rPr>
                <w:t>[16]</w:t>
              </w:r>
            </w:hyperlink>
            <w:r>
              <w:rPr>
                <w:kern w:val="0"/>
                <w:szCs w:val="24"/>
                <w:lang w:val="en-US" w:eastAsia="zh-CN" w:bidi="ar-SA"/>
              </w:rPr>
              <w:t xml:space="preserve">, </w:t>
            </w:r>
            <w:hyperlink w:anchor="ref-Yang2020_200608097v2">
              <w:r>
                <w:rPr>
                  <w:rStyle w:val="Hyperlink"/>
                  <w:kern w:val="0"/>
                  <w:szCs w:val="24"/>
                  <w:lang w:val="en-US" w:eastAsia="zh-CN" w:bidi="ar-SA"/>
                </w:rPr>
                <w:t>[24]</w:t>
              </w:r>
            </w:hyperlink>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Khác biệt về ngôn ngữ, miền, phương pháp gán nhãn và thời điểm của tin tức</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Mô hình nền, tầng tiền xử lý</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Chỉ giá LSTM</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Mô hình hóa cửa sổ OHLCV và các chỉ báo kỹ thuật theo thời gian </w:t>
            </w:r>
            <w:hyperlink w:anchor="ref-Halder2022_221107392v1">
              <w:r>
                <w:rPr>
                  <w:rStyle w:val="Hyperlink"/>
                  <w:kern w:val="0"/>
                  <w:szCs w:val="24"/>
                  <w:lang w:val="en-US" w:eastAsia="zh-CN" w:bidi="ar-SA"/>
                </w:rPr>
                <w:t>[9]</w:t>
              </w:r>
            </w:hyperlink>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Không đánh giá giá trị gia tăng của văn bản</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Đối chứng cơ sở học sâu</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Transformer dự báo biến động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Sử dụng cơ chế chú ý để mô hình hóa quan hệ phụ thuộc theo thời gian, đa phương thức hoặc liên mã </w:t>
            </w:r>
            <w:hyperlink w:anchor="ref-Boyle2023_230503835v1">
              <w:r>
                <w:rPr>
                  <w:rStyle w:val="Hyperlink"/>
                  <w:kern w:val="0"/>
                  <w:szCs w:val="24"/>
                  <w:lang w:val="en-US" w:eastAsia="zh-CN" w:bidi="ar-SA"/>
                </w:rPr>
                <w:t>[2]</w:t>
              </w:r>
            </w:hyperlink>
            <w:r>
              <w:rPr>
                <w:kern w:val="0"/>
                <w:szCs w:val="24"/>
                <w:lang w:val="en-US" w:eastAsia="zh-CN" w:bidi="ar-SA"/>
              </w:rPr>
              <w:t xml:space="preserve">, </w:t>
            </w:r>
            <w:hyperlink w:anchor="ref-Omranpour2024_241210540v1">
              <w:r>
                <w:rPr>
                  <w:rStyle w:val="Hyperlink"/>
                  <w:kern w:val="0"/>
                  <w:szCs w:val="24"/>
                  <w:lang w:val="en-US" w:eastAsia="zh-CN" w:bidi="ar-SA"/>
                </w:rPr>
                <w:t>[17]</w:t>
              </w:r>
            </w:hyperlink>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Có độ phức tạp cao, chưa có bằng chứng trực tiếp trên HOSE</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mở rộng</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Hợp nhất tin tức - giá</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Kết nối cảm xúc, biểu diễn, sự kiện hoặc LLM </w:t>
            </w:r>
            <w:hyperlink w:anchor="ref-Chen2021_210708721v1">
              <w:r>
                <w:rPr>
                  <w:rStyle w:val="Hyperlink"/>
                  <w:kern w:val="0"/>
                  <w:szCs w:val="24"/>
                  <w:lang w:val="en-US" w:eastAsia="zh-CN" w:bidi="ar-SA"/>
                </w:rPr>
                <w:t>[4]</w:t>
              </w:r>
            </w:hyperlink>
            <w:r>
              <w:rPr>
                <w:kern w:val="0"/>
                <w:szCs w:val="24"/>
                <w:lang w:val="en-US" w:eastAsia="zh-CN" w:bidi="ar-SA"/>
              </w:rPr>
              <w:t xml:space="preserve">, </w:t>
            </w:r>
            <w:hyperlink w:anchor="ref-Elahi2024_241101368v1">
              <w:r>
                <w:rPr>
                  <w:rStyle w:val="Hyperlink"/>
                  <w:kern w:val="0"/>
                  <w:szCs w:val="24"/>
                  <w:lang w:val="en-US" w:eastAsia="zh-CN" w:bidi="ar-SA"/>
                </w:rPr>
                <w:t>[6]</w:t>
              </w:r>
            </w:hyperlink>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Dễ trộn lẫn khác biệt về dữ liệu, rò rỉ và giả định thị trường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Mẫu kiến trúc</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Đồ thị và học siêu tham số</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Khai thác quan hệ liên mã và hiện tượng trôi dạt khái niệm </w:t>
            </w:r>
            <w:hyperlink w:anchor="ref-Xu2021_211013716v2">
              <w:r>
                <w:rPr>
                  <w:rStyle w:val="Hyperlink"/>
                  <w:kern w:val="0"/>
                  <w:szCs w:val="24"/>
                  <w:lang w:val="en-US" w:eastAsia="zh-CN" w:bidi="ar-SA"/>
                </w:rPr>
                <w:t>[22]</w:t>
              </w:r>
            </w:hyperlink>
            <w:r>
              <w:rPr>
                <w:kern w:val="0"/>
                <w:szCs w:val="24"/>
                <w:lang w:val="en-US" w:eastAsia="zh-CN" w:bidi="ar-SA"/>
              </w:rPr>
              <w:t xml:space="preserve">, </w:t>
            </w:r>
            <w:hyperlink w:anchor="ref-Zhao2023_230609862v3">
              <w:r>
                <w:rPr>
                  <w:rStyle w:val="Hyperlink"/>
                  <w:kern w:val="0"/>
                  <w:szCs w:val="24"/>
                  <w:lang w:val="en-US" w:eastAsia="zh-CN" w:bidi="ar-SA"/>
                </w:rPr>
                <w:t>[25]</w:t>
              </w:r>
            </w:hyperlink>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Nằm ngoài phạm vi 10 mã độc lập và ngân sách của đồ án</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Bối cảnh tương lai</w:t>
            </w:r>
            <w:bookmarkStart w:id="77" w:name="tab%2525253Atq-so-sanh"/>
            <w:bookmarkEnd w:id="77"/>
          </w:p>
        </w:tc>
      </w:tr>
    </w:tbl>
    <w:p>
      <w:pPr>
        <w:pStyle w:val="BodyText"/>
        <w:rPr/>
      </w:pPr>
      <w:r>
        <w:rPr>
          <w:i/>
          <w:iCs/>
        </w:rPr>
        <w:t>Nguồn: Tác giả xây dựng từ các tài liệu được trích dẫn.</w:t>
      </w:r>
      <w:bookmarkEnd w:id="76"/>
    </w:p>
    <w:p>
      <w:pPr>
        <w:pStyle w:val="Heading3"/>
        <w:rPr/>
      </w:pPr>
      <w:bookmarkStart w:id="78" w:name="__RefHeading___Toc10980_2435329662"/>
      <w:bookmarkEnd w:id="78"/>
      <w:r>
        <w:rPr>
          <w:rFonts w:eastAsia="Times New Roman" w:cs="Times New Roman"/>
        </w:rPr>
        <w:t>2.4.4. Định vị và giả thuyết kiểm chứng</w:t>
      </w:r>
    </w:p>
    <w:p>
      <w:pPr>
        <w:pStyle w:val="FirstParagraph"/>
        <w:rPr/>
      </w:pPr>
      <w:r>
        <w:rPr/>
        <w:t xml:space="preserve">Đề tài được định vị là một nghiên cứu thực nghiệm đa phương thức trên dữ liệu tiếng Việt. Đề tài không phải cuộc thi tìm kiến trúc mới. Mức sàn gồm đối chứng lớp phổ biến, đối chứng ngẫu nhiên, các mô hình cổ điển chỉ sử dụng giá, LSTM chỉ sử dụng giá và LSTM hai nhánh với phép nối. TFT chỉ được triển khai sau khi mức sàn đã có số liệu, đầu ra được cấu hình cho bài toán phân loại và tập giữ lại đã được khóa. Cách tổ chức theo tầng này giúp phân tách câu hỏi về chất lượng dữ liệu và đặc trưng khỏi câu hỏi về độ phức tạp của mô hình. Huấn luyện đối kháng trong các benchmark chuyển động quốc tế cũng cho thấy việc xây dựng đối chứng cơ sở và kiểm tra độ bền quan trọng không kém việc thêm tầng mô hình </w:t>
      </w:r>
      <w:hyperlink w:anchor="ref-Feng2018_181009936v2">
        <w:r>
          <w:rPr>
            <w:rStyle w:val="Hyperlink"/>
          </w:rPr>
          <w:t>[7]</w:t>
        </w:r>
      </w:hyperlink>
      <w:r>
        <w:rPr/>
        <w:t>.</w:t>
      </w:r>
    </w:p>
    <w:p>
      <w:pPr>
        <w:pStyle w:val="BodyText"/>
        <w:rPr/>
      </w:pPr>
      <w:r>
        <w:rPr>
          <w:b w:val="false"/>
          <w:i w:val="false"/>
        </w:rPr>
        <w:t>Giả thuyết chính cho rằng vector xác suất cảm xúc tổng hợp có thể cung cấp thông tin gia tăng sau khi đã kiểm soát lịch sử giá và các chỉ báo kỹ thuật. Giả thuyết này được kiểm tra bằng phép loại bỏ đặc trưng và đối chứng trung tính, không được trình bày như khẳng định rằng tin tức luôn gây ra biến động. Quá trình kiểm tra cũng cần phân biệt trường hợp chưa phát hiện đóng góp dự báo của cảm xúc với trường hợp quy trình gặp lỗi ánh xạ thời gian hoặc nhãn không đáng tin cậy.</w:t>
      </w:r>
    </w:p>
    <w:p>
      <w:pPr>
        <w:pStyle w:val="Heading3"/>
        <w:rPr/>
      </w:pPr>
      <w:bookmarkStart w:id="79" w:name="__RefHeading___Toc10982_2435329662"/>
      <w:bookmarkEnd w:id="79"/>
      <w:r>
        <w:rPr>
          <w:rFonts w:eastAsia="Times New Roman" w:cs="Times New Roman"/>
        </w:rPr>
        <w:t>2.4.5. Tiêu chí để tuyên bố đóng góp</w:t>
      </w:r>
    </w:p>
    <w:p>
      <w:pPr>
        <w:pStyle w:val="FirstParagraph"/>
        <w:rPr/>
      </w:pPr>
      <w:r>
        <w:rPr/>
        <w:t>Một tuyên bố đóng góp chỉ được đưa ra khi thỏa mãn các điều kiện sau:</w:t>
      </w:r>
    </w:p>
    <w:p>
      <w:pPr>
        <w:pStyle w:val="Normal"/>
        <w:numPr>
          <w:ilvl w:val="0"/>
          <w:numId w:val="1"/>
        </w:numPr>
        <w:rPr/>
      </w:pPr>
      <w:r>
        <w:rPr/>
        <w:t>Dữ liệu và phạm vi mã được mô tả rõ ràng, bao gồm các bản ghi thiếu hoặc bị loại;</w:t>
      </w:r>
    </w:p>
    <w:p>
      <w:pPr>
        <w:pStyle w:val="Normal"/>
        <w:numPr>
          <w:ilvl w:val="0"/>
          <w:numId w:val="1"/>
        </w:numPr>
        <w:rPr/>
      </w:pPr>
      <w:r>
        <w:rPr/>
        <w:t>Mốc cắt, công thức nhãn, phép chia theo thời gian và quy trình ước lượng tham số được ghi nhận trong bản kê;</w:t>
      </w:r>
    </w:p>
    <w:p>
      <w:pPr>
        <w:pStyle w:val="Normal"/>
        <w:numPr>
          <w:ilvl w:val="0"/>
          <w:numId w:val="1"/>
        </w:numPr>
        <w:rPr/>
      </w:pPr>
      <w:r>
        <w:rPr/>
        <w:t>Kết quả cảm xúc và kết quả dự báo được trình bày thành hai tầng;</w:t>
      </w:r>
    </w:p>
    <w:p>
      <w:pPr>
        <w:pStyle w:val="Normal"/>
        <w:numPr>
          <w:ilvl w:val="0"/>
          <w:numId w:val="1"/>
        </w:numPr>
        <w:rPr/>
      </w:pPr>
      <w:r>
        <w:rPr/>
        <w:t>Mô hình có cảm xúc và mô hình chỉ sử dụng giá áp dụng cùng giao thức, hạt giống hoặc tập hạt giống;</w:t>
      </w:r>
    </w:p>
    <w:p>
      <w:pPr>
        <w:pStyle w:val="Normal"/>
        <w:numPr>
          <w:ilvl w:val="0"/>
          <w:numId w:val="1"/>
        </w:numPr>
        <w:rPr/>
      </w:pPr>
      <w:r>
        <w:rPr/>
        <w:t>F1 vĩ mô, độ chính xác cân bằng, AUC-ROC một-chống-còn-lại và các chỉ số theo lớp được báo cáo cùng khoảng tin cậy khi có thể;</w:t>
      </w:r>
    </w:p>
    <w:p>
      <w:pPr>
        <w:pStyle w:val="Normal"/>
        <w:numPr>
          <w:ilvl w:val="0"/>
          <w:numId w:val="1"/>
        </w:numPr>
        <w:rPr/>
      </w:pPr>
      <w:r>
        <w:rPr/>
        <w:t>Kết luận nêu rõ phạm vi các mã thuộc VN30 được chọn và không suy rộng sang thị trường khác.</w:t>
      </w:r>
    </w:p>
    <w:p>
      <w:pPr>
        <w:pStyle w:val="FirstParagraph"/>
        <w:rPr/>
      </w:pPr>
      <w:r>
        <w:rPr>
          <w:b w:val="false"/>
          <w:i w:val="false"/>
        </w:rPr>
        <w:t>Theo đó, tuyên bố đóng góp thận trọng nhất của đề tài là xây dựng một quy trình có thể tái lập để đo lường phần đóng góp biên của cảm xúc tiếng Việt thông qua đánh giá cuốn chiếu theo thời gian có kiểm soát. Nếu thí nghiệm loại bỏ đặc trưng không cho thấy sự cải thiện, kết quả này vẫn trả lời câu hỏi nghiên cứu và giúp tránh đưa ra kết luận quá mức từ một mô hình phức tạp.</w:t>
      </w:r>
    </w:p>
    <w:p>
      <w:pPr>
        <w:pStyle w:val="Heading1"/>
        <w:rPr/>
      </w:pPr>
      <w:bookmarkStart w:id="80" w:name="__RefHeading___Toc10984_2435329662"/>
      <w:bookmarkStart w:id="81" w:name="ch%2525253Aphuong-phap"/>
      <w:bookmarkEnd w:id="80"/>
      <w:r>
        <w:rPr>
          <w:rFonts w:eastAsia="Times New Roman" w:cs="Times New Roman" w:ascii="Times New Roman" w:hAnsi="Times New Roman"/>
        </w:rPr>
        <w:t>Chương 3. CƠ SỞ LÝ THUYẾT VÀ PHƯƠNG PHÁP NGHIÊN CỨU</w:t>
      </w:r>
    </w:p>
    <w:p>
      <w:pPr>
        <w:pStyle w:val="FirstParagraph"/>
        <w:rPr/>
      </w:pPr>
      <w:r>
        <w:rPr/>
        <w:t>Chương này trình bày cơ sở lý thuyết, dữ liệu, kiến trúc hệ thống và giao thức đánh giá của đề tài. Quy trình được thiết kế để kết nối hai nguồn thông tin có bản chất khác nhau: tin tức tài chính tiếng Việt phản ánh các sự kiện và kỳ vọng, trong khi dữ liệu thị trường ghi nhận kết quả giao dịch theo thời gian. Do đó, các bước thu thập, làm sạch, gắn mã cổ phiếu, ánh xạ thời điểm, tạo nhãn và phân chia tập dữ liệu được mô tả trước phần huấn luyện mô hình.</w:t>
      </w:r>
    </w:p>
    <w:p>
      <w:pPr>
        <w:pStyle w:val="BodyText"/>
        <w:rPr/>
      </w:pPr>
      <w:r>
        <w:rPr/>
        <w:t>Phương pháp nghiên cứu được tổ chức thành hai tầng. Tầng bắt buộc khóa mức sàn, bao gồm đối chứng cơ sở, mô hình chỉ sử dụng dữ liệu giá, mô hình hai nhánh, phép loại bỏ đặc trưng và đánh giá cuốn chiếu theo thời gian. Tầng mở rộng chỉ được xem xét sau đó, bao gồm các mô hình phức tạp hơn như Bộ biến đổi hợp nhất theo thời gian, hợp nhất có cổng hoặc biểu diễn sự kiện. Cấu trúc này cho phép lần lượt đánh giá tính đầy đủ và hợp lệ của dữ liệu, khả năng học tín hiệu của mô hình giá, và cảm xúc có bổ sung thông tin hay không. Khi một tầng trước chưa được kiểm tra, điểm số của tầng sau không được dùng để che lấp vấn đề ở tầng dữ liệu.</w:t>
      </w:r>
    </w:p>
    <w:p>
      <w:pPr>
        <w:pStyle w:val="Heading2"/>
        <w:rPr/>
      </w:pPr>
      <w:bookmarkStart w:id="82" w:name="__RefHeading___Toc10986_2435329662"/>
      <w:bookmarkStart w:id="83" w:name="sec%2525253App-kien-truc"/>
      <w:bookmarkEnd w:id="82"/>
      <w:r>
        <w:rPr>
          <w:rFonts w:eastAsia="Times New Roman" w:cs="Times New Roman" w:ascii="Times New Roman" w:hAnsi="Times New Roman"/>
        </w:rPr>
        <w:t>3.1. Tổng quan kiến trúc hệ thống</w:t>
      </w:r>
    </w:p>
    <w:p>
      <w:pPr>
        <w:pStyle w:val="FirstParagraph"/>
        <w:rPr/>
      </w:pPr>
      <w:r>
        <w:rPr/>
        <w:t>Hệ thống gồm hai nhánh xử lý riêng trước khi hợp nhất. Nhánh cảm xúc tiếp nhận tiêu đề và nội dung tin tức tiếng Việt trong phạm vi được phép sử dụng. PhoBERT được tinh chỉnh để sinh xác suất cho ba lớp tích cực, trung tính và tiêu cực; các tín hiệu này sau đó được tổng hợp theo mã cổ phiếu và ngày giao dịch. Nhánh giá tiếp nhận dữ liệu OHLCV điều chỉnh để tính lợi suất, độ biến động, khối lượng và các chỉ báo kỹ thuật theo lịch phiên. Sau khi áp dụng quy tắc mốc cắt, hai nhánh được căn chỉnh theo khóa gồm mã cổ phiếu và ngày giao dịch.</w:t>
      </w:r>
    </w:p>
    <w:p>
      <w:pPr>
        <w:pStyle w:val="BodyText"/>
        <w:rPr/>
      </w:pPr>
      <w:r>
        <w:rPr/>
        <w:t>Mỗi dòng trong bảng đặc trưng phải kèm theo các trạng thái dữ liệu cần thiết, chẳng hạn trạng thái có tin trong ngày, tính hợp lệ của mốc thời gian của tin và giá có đủ lịch sử hay không. Bảng đặc trưng thu được được sử dụng để dự báo lớp UP, FLAT hoặc DOWN của phiên kế tiếp. Giá của phiên kế tiếp chỉ được đưa vào cột nhãn sau khi dữ liệu đầu vào đã được khóa và không được sử dụng ngược để tạo đặc trưng cho ngày quan sát.</w:t>
      </w:r>
    </w:p>
    <w:p>
      <w:pPr>
        <w:pStyle w:val="Heading3"/>
        <w:rPr/>
      </w:pPr>
      <w:bookmarkStart w:id="84" w:name="__RefHeading___Toc10988_2435329662"/>
      <w:bookmarkStart w:id="85" w:name="nguyên-tắc-thiết-kế"/>
      <w:bookmarkEnd w:id="84"/>
      <w:r>
        <w:rPr>
          <w:rFonts w:eastAsia="Times New Roman" w:cs="Times New Roman"/>
        </w:rPr>
        <w:t>3.1.1. Nguyên tắc thiết kế</w:t>
      </w:r>
    </w:p>
    <w:p>
      <w:pPr>
        <w:pStyle w:val="FirstParagraph"/>
        <w:rPr/>
      </w:pPr>
      <w:r>
        <w:rPr/>
        <w:t>Kiến trúc được xây dựng dựa trên năm nguyên tắc. Thứ nhất, mỗi bản ghi phải có mốc thời gian, nguồn gốc và trạng thái ánh xạ để kiểm tra khả năng sử dụng tại thời điểm dự báo. Thứ hai, tín hiệu cảm xúc được lưu dưới dạng xác suất thay vì chỉ sử dụng một nhãn cứng. Cách biểu diễn này duy trì thông tin về mức độ không chắc chắn và cho phép tính các đại lượng tổng hợp khác nhau. Thứ ba, mô hình sử dụng cảm xúc phải được so sánh với mô hình chỉ sử dụng giá trong cùng điều kiện; nếu không, phần chênh lệch không thể được quy cho thông tin văn bản. Thứ tư, mọi phép biến đổi có tham số cần học phải được ước lượng trong cửa sổ huấn luyện tương ứng. Thứ năm, mô hình mở rộng chỉ được triển khai sau khi mức sàn đã vượt qua các kiểm tra về dữ liệu, rò rỉ và độ ổn định. Năm nguyên tắc này đồng thời là tiêu chí xác định một kết quả được đưa vào phân tích chính hay chỉ được trình bày trong phần bổ sung.</w:t>
      </w:r>
      <w:bookmarkEnd w:id="85"/>
    </w:p>
    <w:p>
      <w:pPr>
        <w:pStyle w:val="Heading3"/>
        <w:rPr/>
      </w:pPr>
      <w:bookmarkStart w:id="86" w:name="__RefHeading___Toc10990_2435329662"/>
      <w:bookmarkStart w:id="87" w:name="Xf1b012f60ec7806034acb80d1a801db4fee21b0"/>
      <w:bookmarkEnd w:id="86"/>
      <w:r>
        <w:rPr>
          <w:rFonts w:eastAsia="Times New Roman" w:cs="Times New Roman"/>
        </w:rPr>
        <w:t>3.1.2. Cơ sở lý thuyết của Transformer và cơ chế chú ý</w:t>
      </w:r>
    </w:p>
    <w:p>
      <w:pPr>
        <w:pStyle w:val="FirstParagraph"/>
        <w:rPr/>
      </w:pPr>
      <w:r>
        <w:rPr/>
        <w:t xml:space="preserve">Transformer biểu diễn chuỗi token bằng các vector và sử dụng cơ chế chú ý để xác định mức độ liên quan giữa các vị trí </w:t>
      </w:r>
      <w:hyperlink w:anchor="ref-Vaswani2017_attention">
        <w:r>
          <w:rPr>
            <w:rStyle w:val="Hyperlink"/>
          </w:rPr>
          <w:t>[19]</w:t>
        </w:r>
      </w:hyperlink>
      <w:r>
        <w:rPr/>
        <w:t xml:space="preserve">. Với ma trận truy vấn </w:t>
      </w:r>
      <w:r>
        <w:rPr/>
      </w:r>
      <m:oMath xmlns:m="http://schemas.openxmlformats.org/officeDocument/2006/math">
        <m:r>
          <w:rPr>
            <w:rFonts w:ascii="Cambria Math" w:hAnsi="Cambria Math"/>
          </w:rPr>
          <m:t xml:space="preserve">Q</m:t>
        </m:r>
      </m:oMath>
      <w:r>
        <w:rPr/>
        <w:t xml:space="preserve">, khóa </w:t>
      </w:r>
      <w:r>
        <w:rPr/>
      </w:r>
      <m:oMath xmlns:m="http://schemas.openxmlformats.org/officeDocument/2006/math">
        <m:r>
          <w:rPr>
            <w:rFonts w:ascii="Cambria Math" w:hAnsi="Cambria Math"/>
          </w:rPr>
          <m:t xml:space="preserve">K</m:t>
        </m:r>
      </m:oMath>
      <w:r>
        <w:rPr/>
        <w:t xml:space="preserve"> và giá trị </w:t>
      </w:r>
      <w:r>
        <w:rPr/>
      </w:r>
      <m:oMath xmlns:m="http://schemas.openxmlformats.org/officeDocument/2006/math">
        <m:r>
          <w:rPr>
            <w:rFonts w:ascii="Cambria Math" w:hAnsi="Cambria Math"/>
          </w:rPr>
          <m:t xml:space="preserve">V</m:t>
        </m:r>
      </m:oMath>
      <w:r>
        <w:rPr/>
        <w:t>, phép chú ý tích vô hướng có điều chỉnh được xác định như sau:</w:t>
      </w:r>
    </w:p>
    <w:p>
      <w:pPr>
        <w:pStyle w:val="BodyText"/>
        <w:jc w:val="center"/>
        <w:rPr/>
      </w:pPr>
      <w:bookmarkStart w:id="88" w:name="eq%2525253Ascaled-attention"/>
      <w:r>
        <w:rPr/>
      </w:r>
      <m:oMathPara xmlns:m="http://schemas.openxmlformats.org/officeDocument/2006/math">
        <m:oMathParaPr>
          <m:jc m:val="center"/>
        </m:oMathParaPr>
        <m:oMath>
          <m:r>
            <w:rPr>
              <w:rFonts w:ascii="Cambria Math" w:hAnsi="Cambria Math"/>
            </w:rPr>
            <m:t xml:space="preserve">Attention</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softmax</m:t>
          </m:r>
          <m:d>
            <m:dPr>
              <m:begChr m:val="("/>
              <m:endChr m:val=")"/>
            </m:dPr>
            <m:e>
              <m:f>
                <m:num>
                  <m:r>
                    <w:rPr>
                      <w:rFonts w:ascii="Cambria Math" w:hAnsi="Cambria Math"/>
                    </w:rPr>
                    <m:t xml:space="preserve">Q</m:t>
                  </m:r>
                  <m:sSup>
                    <m:e>
                      <m:r>
                        <w:rPr>
                          <w:rFonts w:ascii="Cambria Math" w:hAnsi="Cambria Math"/>
                        </w:rPr>
                        <m:t xml:space="preserve">K</m:t>
                      </m:r>
                    </m:e>
                    <m:sup>
                      <m:r>
                        <w:rPr>
                          <w:rFonts w:ascii="Cambria Math" w:hAnsi="Cambria Math"/>
                        </w:rPr>
                        <m:t xml:space="preserve">T</m:t>
                      </m:r>
                    </m:sup>
                  </m:sSup>
                </m:num>
                <m:den>
                  <m:rad>
                    <m:radPr>
                      <m:degHide m:val="1"/>
                    </m:radPr>
                    <m:deg/>
                    <m:e>
                      <m:sSub>
                        <m:e>
                          <m:r>
                            <w:rPr>
                              <w:rFonts w:ascii="Cambria Math" w:hAnsi="Cambria Math"/>
                            </w:rPr>
                            <m:t xml:space="preserve">d</m:t>
                          </m:r>
                        </m:e>
                        <m:sub>
                          <m:r>
                            <w:rPr>
                              <w:rFonts w:ascii="Cambria Math" w:hAnsi="Cambria Math"/>
                            </w:rPr>
                            <m:t xml:space="preserve">k</m:t>
                          </m:r>
                        </m:sub>
                      </m:sSub>
                    </m:e>
                  </m:rad>
                </m:den>
              </m:f>
            </m:e>
          </m:d>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3.1</m:t>
          </m:r>
          <m:r>
            <w:rPr>
              <w:rFonts w:ascii="Cambria Math" w:hAnsi="Cambria Math"/>
            </w:rPr>
            <m:t xml:space="preserve">)</m:t>
          </m:r>
        </m:oMath>
      </m:oMathPara>
      <w:bookmarkEnd w:id="88"/>
    </w:p>
    <w:p>
      <w:pPr>
        <w:pStyle w:val="FirstParagraph"/>
        <w:rPr/>
      </w:pPr>
      <w:r>
        <w:rPr/>
        <w:t xml:space="preserve">trong đó </w:t>
      </w:r>
      <w:r>
        <w:rPr/>
      </w:r>
      <m:oMath xmlns:m="http://schemas.openxmlformats.org/officeDocument/2006/math">
        <m:sSub>
          <m:e>
            <m:r>
              <w:rPr>
                <w:rFonts w:ascii="Cambria Math" w:hAnsi="Cambria Math"/>
              </w:rPr>
              <m:t xml:space="preserve">d</m:t>
            </m:r>
          </m:e>
          <m:sub>
            <m:r>
              <w:rPr>
                <w:rFonts w:ascii="Cambria Math" w:hAnsi="Cambria Math"/>
              </w:rPr>
              <m:t xml:space="preserve">k</m:t>
            </m:r>
          </m:sub>
        </m:sSub>
      </m:oMath>
      <w:r>
        <w:rPr/>
        <w:t xml:space="preserve"> là số chiều của khóa. Phép chia cho </w:t>
      </w:r>
      <w:r>
        <w:rPr/>
      </w:r>
      <m:oMath xmlns:m="http://schemas.openxmlformats.org/officeDocument/2006/math">
        <m:rad>
          <m:radPr>
            <m:degHide m:val="1"/>
          </m:radPr>
          <m:deg/>
          <m:e>
            <m:sSub>
              <m:e>
                <m:r>
                  <w:rPr>
                    <w:rFonts w:ascii="Cambria Math" w:hAnsi="Cambria Math"/>
                  </w:rPr>
                  <m:t xml:space="preserve">d</m:t>
                </m:r>
              </m:e>
              <m:sub>
                <m:r>
                  <w:rPr>
                    <w:rFonts w:ascii="Cambria Math" w:hAnsi="Cambria Math"/>
                  </w:rPr>
                  <m:t xml:space="preserve">k</m:t>
                </m:r>
              </m:sub>
            </m:sSub>
          </m:e>
        </m:rad>
      </m:oMath>
      <w:r>
        <w:rPr/>
        <w:t xml:space="preserve"> giúp duy trì độ lớn của tích vô hướng trong khoảng ổn định trước khi áp dụng hàm softmax. Cơ chế chú ý nhiều đầu thực hiện đồng thời nhiều phép chiếu và ghép các kết quả, qua đó cho phép mô hình học những dạng quan hệ khác nhau giữa các token. Trong mô hình ngôn ngữ, mỗi token được biểu diễn theo ngữ cảnh của toàn bộ câu. Điều này đặc biệt hữu ích với tin tài chính vì ý nghĩa của một con số hoặc động từ thường phụ thuộc vào doanh nghiệp, chủ thể và câu đứng trước hoặc sau nó. FinBERT và PhoBERT là hai ví dụ về việc sử dụng mô hình nền thuộc họ BERT cho miền tài chính hoặc tiếng Việt </w:t>
      </w:r>
      <w:hyperlink w:anchor="ref-Devlin2019_bert">
        <w:r>
          <w:rPr>
            <w:rStyle w:val="Hyperlink"/>
          </w:rPr>
          <w:t>[5]</w:t>
        </w:r>
      </w:hyperlink>
      <w:r>
        <w:rPr/>
        <w:t xml:space="preserve">, </w:t>
      </w:r>
      <w:hyperlink w:anchor="ref-Nguyen2020_200300744v3">
        <w:r>
          <w:rPr>
            <w:rStyle w:val="Hyperlink"/>
          </w:rPr>
          <w:t>[16]</w:t>
        </w:r>
      </w:hyperlink>
      <w:r>
        <w:rPr/>
        <w:t xml:space="preserve">, </w:t>
      </w:r>
      <w:hyperlink w:anchor="ref-Yang2020_200608097v2">
        <w:r>
          <w:rPr>
            <w:rStyle w:val="Hyperlink"/>
          </w:rPr>
          <w:t>[24]</w:t>
        </w:r>
      </w:hyperlink>
      <w:r>
        <w:rPr/>
        <w:t>.</w:t>
      </w:r>
    </w:p>
    <w:p>
      <w:pPr>
        <w:pStyle w:val="BodyText"/>
        <w:rPr/>
      </w:pPr>
      <w:r>
        <w:rPr/>
        <w:t xml:space="preserve">Một bộ mã hóa Transformer thường bao gồm cơ chế chú ý nhiều đầu, mạng truyền thẳng theo từng vị trí, kết nối tắt và phép chuẩn hóa. Do cơ chế chú ý không tự chứa thông tin về thứ tự, mô hình cần sử dụng biểu diễn vị trí hoặc một phương thức mã hóa tương đương. Các khối này cho phép mô hình học quan hệ giữa các vị trí cách xa nhau, đồng thời duy trì đường truyền gradient ổn định. PhoBERT cung cấp sẵn bộ tách từ và cách biểu diễn theo thiết kế của mô hình nền. Khi sử dụng TFT, thứ tự ngày được duy trì trong </w:t>
      </w:r>
      <w:r>
        <w:rPr>
          <w:rStyle w:val="VerbatimChar"/>
        </w:rPr>
        <w:t>TimeSeriesDataSet</w:t>
      </w:r>
      <w:r>
        <w:rPr/>
        <w:t>; quy tắc khai báo biến theo thời điểm có thể quan sát được được trình bày trong tiểu mục về mô hình này.</w:t>
      </w:r>
      <w:bookmarkEnd w:id="87"/>
    </w:p>
    <w:p>
      <w:pPr>
        <w:pStyle w:val="Heading3"/>
        <w:rPr/>
      </w:pPr>
      <w:bookmarkStart w:id="89" w:name="__RefHeading___Toc10992_2435329662"/>
      <w:bookmarkStart w:id="90" w:name="cơ-sở-lý-thuyết-của-phobert"/>
      <w:bookmarkEnd w:id="89"/>
      <w:r>
        <w:rPr>
          <w:rFonts w:eastAsia="Times New Roman" w:cs="Times New Roman"/>
        </w:rPr>
        <w:t>3.1.3. Cơ sở lý thuyết của PhoBERT</w:t>
      </w:r>
    </w:p>
    <w:p>
      <w:pPr>
        <w:pStyle w:val="FirstParagraph"/>
        <w:rPr/>
      </w:pPr>
      <w:r>
        <w:rPr/>
        <w:t xml:space="preserve">PhoBERT là mô hình ngôn ngữ tiền huấn luyện dành cho tiếng Việt. Văn bản được tách từ theo quy ước phù hợp, sau đó được xử lý bằng bộ tách từ BPE để tạo chuỗi đơn vị từ con. Khi tinh chỉnh cho bài toán cảm xúc, biểu diễn từ bộ mã hóa được đưa vào tầng phân loại. Với ba lớp, điểm logit </w:t>
      </w:r>
      <w:r>
        <w:rPr/>
      </w:r>
      <m:oMath xmlns:m="http://schemas.openxmlformats.org/officeDocument/2006/math">
        <m:r>
          <w:rPr>
            <w:rFonts w:ascii="Cambria Math" w:hAnsi="Cambria Math"/>
          </w:rPr>
          <m:t xml:space="preserve">z</m:t>
        </m:r>
      </m:oMath>
      <w:r>
        <w:rPr/>
        <w:t xml:space="preserve"> được chuyển thành xác suất như sau:</w:t>
      </w:r>
    </w:p>
    <w:p>
      <w:pPr>
        <w:pStyle w:val="BodyText"/>
        <w:jc w:val="center"/>
        <w:rPr/>
      </w:pPr>
      <w:bookmarkStart w:id="91" w:name="eq%2525253Asentiment-softmax"/>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exp</m:t>
              </m:r>
              <m:r>
                <w:rPr>
                  <w:rFonts w:ascii="Cambria Math" w:hAnsi="Cambria Math"/>
                </w:rPr>
                <m:t xml:space="preserve">(</m:t>
              </m:r>
              <m:sSub>
                <m:e>
                  <m:r>
                    <w:rPr>
                      <w:rFonts w:ascii="Cambria Math" w:hAnsi="Cambria Math"/>
                    </w:rPr>
                    <m:t xml:space="preserve">z</m:t>
                  </m:r>
                </m:e>
                <m:sub>
                  <m:r>
                    <w:rPr>
                      <w:rFonts w:ascii="Cambria Math" w:hAnsi="Cambria Math"/>
                    </w:rPr>
                    <m:t xml:space="preserve">c</m:t>
                  </m:r>
                </m:sub>
              </m:sSub>
              <m:r>
                <w:rPr>
                  <w:rFonts w:ascii="Cambria Math" w:hAnsi="Cambria Math"/>
                </w:rPr>
                <m:t xml:space="preserve">)</m:t>
              </m:r>
            </m:num>
            <m:den>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3</m:t>
                  </m:r>
                </m:sup>
                <m:e>
                  <m:r>
                    <w:rPr>
                      <w:rFonts w:ascii="Cambria Math" w:hAnsi="Cambria Math"/>
                    </w:rPr>
                    <m:t xml:space="preserve">exp</m:t>
                  </m:r>
                </m:e>
              </m:nary>
              <m:r>
                <w:rPr>
                  <w:rFonts w:ascii="Cambria Math" w:hAnsi="Cambria Math"/>
                </w:rPr>
                <m:t xml:space="preserve">(</m:t>
              </m:r>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den>
          </m:f>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E</m:t>
          </m:r>
          <m:r>
            <w:rPr>
              <w:rFonts w:ascii="Cambria Math" w:hAnsi="Cambria Math"/>
            </w:rPr>
            <m:t xml:space="preserve">G</m:t>
          </m:r>
          <m:r>
            <w:rPr>
              <w:rFonts w:ascii="Cambria Math" w:hAnsi="Cambria Math"/>
            </w:rPr>
            <m:t xml:space="preserve">,</m:t>
          </m:r>
          <m:r>
            <w:rPr>
              <w:rFonts w:ascii="Cambria Math" w:hAnsi="Cambria Math"/>
            </w:rPr>
            <m:t xml:space="preserve">N</m:t>
          </m:r>
          <m:r>
            <w:rPr>
              <w:rFonts w:ascii="Cambria Math" w:hAnsi="Cambria Math"/>
            </w:rPr>
            <m:t xml:space="preserve">E</m:t>
          </m:r>
          <m:r>
            <w:rPr>
              <w:rFonts w:ascii="Cambria Math" w:hAnsi="Cambria Math"/>
            </w:rPr>
            <m:t xml:space="preserve">U</m:t>
          </m:r>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3.2</m:t>
          </m:r>
          <m:r>
            <w:rPr>
              <w:rFonts w:ascii="Cambria Math" w:hAnsi="Cambria Math"/>
            </w:rPr>
            <m:t xml:space="preserve">)</m:t>
          </m:r>
        </m:oMath>
      </m:oMathPara>
      <w:bookmarkEnd w:id="91"/>
    </w:p>
    <w:p>
      <w:pPr>
        <w:pStyle w:val="FirstParagraph"/>
        <w:rPr/>
      </w:pPr>
      <w:r>
        <w:rPr/>
        <w:t>Việc lựa chọn PhoBERT không thay thế yêu cầu thích nghi mô hình với miền tài chính. Tên công ty, mã cổ phiếu, thuật ngữ chuyên ngành và cách biểu diễn phần trăm có thể khác với ngữ liệu tiền huấn luyện. Vì vậy, tập tinh chỉnh phải quy định rõ cách tách từ, giới hạn độ dài, phương pháp xử lý thực thể và quy tắc loại trùng. Phần dữ liệu được sử dụng để sinh đặc trưng dự báo cũng phải được xử lý bằng điểm kiểm đã được khóa theo quy tắc thời gian. Mô hình được kiểm tra trên tập dữ liệu trong miền đã khóa thay vì chỉ dựa trên độ chính xác của tập hạt giống. Kết quả phân loại cảm xúc cần được báo cáo riêng với kết quả dự báo để tránh đồng nhất chất lượng của hai nhiệm vụ.</w:t>
      </w:r>
      <w:bookmarkEnd w:id="90"/>
    </w:p>
    <w:p>
      <w:pPr>
        <w:pStyle w:val="Heading3"/>
        <w:rPr/>
      </w:pPr>
      <w:bookmarkStart w:id="92" w:name="__RefHeading___Toc10994_2435329662"/>
      <w:bookmarkStart w:id="93" w:name="cơ-sở-lý-thuyết-của-lstm"/>
      <w:bookmarkEnd w:id="92"/>
      <w:r>
        <w:rPr>
          <w:rFonts w:eastAsia="Times New Roman" w:cs="Times New Roman"/>
        </w:rPr>
        <w:t>3.1.4. Cơ sở lý thuyết của LSTM</w:t>
      </w:r>
    </w:p>
    <w:p>
      <w:pPr>
        <w:pStyle w:val="FirstParagraph"/>
        <w:rPr/>
      </w:pPr>
      <w:r>
        <w:rPr/>
        <w:t xml:space="preserve">LSTM xử lý chuỗi theo thứ tự thời gian và duy trì trạng thái ẩn </w:t>
      </w:r>
      <w:r>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t xml:space="preserve"> cùng trạng thái ô nhớ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w:t>
      </w:r>
      <w:hyperlink w:anchor="ref-Hochreiter1997_lstm">
        <w:r>
          <w:rPr>
            <w:rStyle w:val="Hyperlink"/>
          </w:rPr>
          <w:t>[10]</w:t>
        </w:r>
      </w:hyperlink>
      <w:r>
        <w:rPr/>
        <w:t xml:space="preserve">. Với đầu vào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một bước cập nhật được mô tả như sau:</w:t>
      </w:r>
    </w:p>
    <w:p>
      <w:pPr>
        <w:pStyle w:val="BodyText"/>
        <w:jc w:val="center"/>
        <w:rPr/>
      </w:pPr>
      <w:bookmarkStart w:id="94" w:name="eq%2525253Alstm-update"/>
      <w:r>
        <w:rPr/>
      </w:r>
      <m:oMathPara xmlns:m="http://schemas.openxmlformats.org/officeDocument/2006/math">
        <m:oMathParaPr>
          <m:jc m:val="center"/>
        </m:oMathParaPr>
        <m:oMath>
          <m:eqArr>
            <m:e>
              <m:sSub>
                <m:e>
                  <m:r>
                    <w:rPr>
                      <w:rFonts w:ascii="Cambria Math" w:hAnsi="Cambria Math"/>
                    </w:rPr>
                    <m:t xml:space="preserve">i</m:t>
                  </m:r>
                </m:e>
                <m:sub>
                  <m:r>
                    <w:rPr>
                      <w:rFonts w:ascii="Cambria Math" w:hAnsi="Cambria Math"/>
                    </w:rPr>
                    <m:t xml:space="preserve">t</m:t>
                  </m:r>
                </m:sub>
              </m:sSub>
              <m:r>
                <m:rPr>
                  <m:lit/>
                  <m:nor/>
                </m:rPr>
                <w:rPr>
                  <w:rFonts w:ascii="Cambria Math" w:hAnsi="Cambria Math"/>
                </w:rPr>
                <m:t xml:space="preserve">&amp;</m:t>
              </m:r>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W</m:t>
                  </m:r>
                </m:e>
                <m:sub>
                  <m:r>
                    <w:rPr>
                      <w:rFonts w:ascii="Cambria Math" w:hAnsi="Cambria Math"/>
                    </w:rPr>
                    <m:t xml:space="preserve">i</m:t>
                  </m:r>
                </m:sub>
              </m:sSub>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w:rPr>
                  <w:rFonts w:ascii="Cambria Math" w:hAnsi="Cambria Math"/>
                </w:rPr>
                <m:t xml:space="preserve">,</m:t>
              </m:r>
            </m:e>
            <m:e>
              <m:sSub>
                <m:e>
                  <m:r>
                    <w:rPr>
                      <w:rFonts w:ascii="Cambria Math" w:hAnsi="Cambria Math"/>
                    </w:rPr>
                    <m:t xml:space="preserve">f</m:t>
                  </m:r>
                </m:e>
                <m:sub>
                  <m:r>
                    <w:rPr>
                      <w:rFonts w:ascii="Cambria Math" w:hAnsi="Cambria Math"/>
                    </w:rPr>
                    <m:t xml:space="preserve">t</m:t>
                  </m:r>
                </m:sub>
              </m:sSub>
              <m:r>
                <m:rPr>
                  <m:lit/>
                  <m:nor/>
                </m:rPr>
                <w:rPr>
                  <w:rFonts w:ascii="Cambria Math" w:hAnsi="Cambria Math"/>
                </w:rPr>
                <m:t xml:space="preserve">&amp;</m:t>
              </m:r>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f</m:t>
                  </m:r>
                </m:sub>
              </m:sSub>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m:t>
              </m:r>
            </m:e>
            <m:e>
              <m:sSub>
                <m:e>
                  <m:r>
                    <w:rPr>
                      <w:rFonts w:ascii="Cambria Math" w:hAnsi="Cambria Math"/>
                    </w:rPr>
                    <m:t xml:space="preserve">o</m:t>
                  </m:r>
                </m:e>
                <m:sub>
                  <m:r>
                    <w:rPr>
                      <w:rFonts w:ascii="Cambria Math" w:hAnsi="Cambria Math"/>
                    </w:rPr>
                    <m:t xml:space="preserve">t</m:t>
                  </m:r>
                </m:sub>
              </m:sSub>
              <m:r>
                <m:rPr>
                  <m:lit/>
                  <m:nor/>
                </m:rPr>
                <w:rPr>
                  <w:rFonts w:ascii="Cambria Math" w:hAnsi="Cambria Math"/>
                </w:rPr>
                <m:t xml:space="preserve">&amp;</m:t>
              </m:r>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W</m:t>
                  </m:r>
                </m:e>
                <m:sub>
                  <m:r>
                    <w:rPr>
                      <w:rFonts w:ascii="Cambria Math" w:hAnsi="Cambria Math"/>
                    </w:rPr>
                    <m:t xml:space="preserve">o</m:t>
                  </m:r>
                </m:sub>
              </m:sSub>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o</m:t>
                  </m:r>
                </m:sub>
              </m:sSub>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o</m:t>
                  </m:r>
                </m:sub>
              </m:sSub>
              <m:r>
                <w:rPr>
                  <w:rFonts w:ascii="Cambria Math" w:hAnsi="Cambria Math"/>
                </w:rPr>
                <m:t xml:space="preserve">)</m:t>
              </m:r>
              <m:r>
                <w:rPr>
                  <w:rFonts w:ascii="Cambria Math" w:hAnsi="Cambria Math"/>
                </w:rPr>
                <m:t xml:space="preserve">,</m:t>
              </m:r>
            </m:e>
            <m:e>
              <m:sSub>
                <m:e>
                  <m:acc>
                    <m:accPr>
                      <m:chr m:val="~"/>
                    </m:accPr>
                    <m:e>
                      <m:r>
                        <w:rPr>
                          <w:rFonts w:ascii="Cambria Math" w:hAnsi="Cambria Math"/>
                        </w:rPr>
                        <m:t xml:space="preserve">c</m:t>
                      </m:r>
                    </m:e>
                  </m:acc>
                </m:e>
                <m:sub>
                  <m:r>
                    <w:rPr>
                      <w:rFonts w:ascii="Cambria Math" w:hAnsi="Cambria Math"/>
                    </w:rPr>
                    <m:t xml:space="preserve">t</m:t>
                  </m:r>
                </m:sub>
              </m:sSub>
              <m:r>
                <m:rPr>
                  <m:lit/>
                  <m:nor/>
                </m:rPr>
                <w:rPr>
                  <w:rFonts w:ascii="Cambria Math" w:hAnsi="Cambria Math"/>
                </w:rPr>
                <m:t xml:space="preserve">&amp;</m:t>
              </m:r>
              <m:r>
                <w:rPr>
                  <w:rFonts w:ascii="Cambria Math" w:hAnsi="Cambria Math"/>
                </w:rPr>
                <m:t xml:space="preserve">=</m:t>
              </m:r>
              <m:r>
                <w:rPr>
                  <w:rFonts w:ascii="Cambria Math" w:hAnsi="Cambria Math"/>
                </w:rPr>
                <m:t xml:space="preserve">tanh</m:t>
              </m:r>
              <m:r>
                <w:rPr>
                  <w:rFonts w:ascii="Cambria Math" w:hAnsi="Cambria Math"/>
                </w:rPr>
                <m:t xml:space="preserve">(</m:t>
              </m:r>
              <m:sSub>
                <m:e>
                  <m:r>
                    <w:rPr>
                      <w:rFonts w:ascii="Cambria Math" w:hAnsi="Cambria Math"/>
                    </w:rPr>
                    <m:t xml:space="preserve">W</m:t>
                  </m:r>
                </m:e>
                <m:sub>
                  <m:r>
                    <w:rPr>
                      <w:rFonts w:ascii="Cambria Math" w:hAnsi="Cambria Math"/>
                    </w:rPr>
                    <m:t xml:space="preserve">c</m:t>
                  </m:r>
                </m:sub>
              </m:sSub>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c</m:t>
                  </m:r>
                </m:sub>
              </m:sSub>
              <m:sSub>
                <m:e>
                  <m:r>
                    <w:rPr>
                      <w:rFonts w:ascii="Cambria Math" w:hAnsi="Cambria Math"/>
                    </w:rPr>
                    <m:t xml:space="preserve">h</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r>
                <w:rPr>
                  <w:rFonts w:ascii="Cambria Math" w:hAnsi="Cambria Math"/>
                </w:rPr>
                <m:t xml:space="preserve">,</m:t>
              </m:r>
            </m:e>
            <m:e>
              <m:sSub>
                <m:e>
                  <m:r>
                    <w:rPr>
                      <w:rFonts w:ascii="Cambria Math" w:hAnsi="Cambria Math"/>
                    </w:rPr>
                    <m:t xml:space="preserve">c</m:t>
                  </m:r>
                </m:e>
                <m:sub>
                  <m:r>
                    <w:rPr>
                      <w:rFonts w:ascii="Cambria Math" w:hAnsi="Cambria Math"/>
                    </w:rPr>
                    <m:t xml:space="preserve">t</m:t>
                  </m:r>
                </m:sub>
              </m:sSub>
              <m:r>
                <m:rPr>
                  <m:lit/>
                  <m:nor/>
                </m:rPr>
                <w:rPr>
                  <w:rFonts w:ascii="Cambria Math" w:hAnsi="Cambria Math"/>
                </w:rPr>
                <m:t xml:space="preserve">&amp;</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acc>
                    <m:accPr>
                      <m:chr m:val="~"/>
                    </m:accPr>
                    <m:e>
                      <m:r>
                        <w:rPr>
                          <w:rFonts w:ascii="Cambria Math" w:hAnsi="Cambria Math"/>
                        </w:rPr>
                        <m:t xml:space="preserve">c</m:t>
                      </m:r>
                    </m:e>
                  </m:acc>
                </m:e>
                <m:sub>
                  <m:r>
                    <w:rPr>
                      <w:rFonts w:ascii="Cambria Math" w:hAnsi="Cambria Math"/>
                    </w:rPr>
                    <m:t xml:space="preserve">t</m:t>
                  </m:r>
                </m:sub>
              </m:sSub>
              <m:r>
                <w:rPr>
                  <w:rFonts w:ascii="Cambria Math" w:hAnsi="Cambria Math"/>
                </w:rPr>
                <m:t xml:space="preserve">,</m:t>
              </m:r>
            </m:e>
            <m:e>
              <m:sSub>
                <m:e>
                  <m:r>
                    <w:rPr>
                      <w:rFonts w:ascii="Cambria Math" w:hAnsi="Cambria Math"/>
                    </w:rPr>
                    <m:t xml:space="preserve">h</m:t>
                  </m:r>
                </m:e>
                <m:sub>
                  <m:r>
                    <w:rPr>
                      <w:rFonts w:ascii="Cambria Math" w:hAnsi="Cambria Math"/>
                    </w:rPr>
                    <m:t xml:space="preserve">t</m:t>
                  </m:r>
                </m:sub>
              </m:sSub>
              <m:r>
                <m:rPr>
                  <m:lit/>
                  <m:nor/>
                </m:rPr>
                <w:rPr>
                  <w:rFonts w:ascii="Cambria Math" w:hAnsi="Cambria Math"/>
                </w:rPr>
                <m:t xml:space="preserve">&amp;</m:t>
              </m:r>
              <m:r>
                <w:rPr>
                  <w:rFonts w:ascii="Cambria Math" w:hAnsi="Cambria Math"/>
                </w:rPr>
                <m:t xml:space="preserve">=</m:t>
              </m:r>
              <m:sSub>
                <m:e>
                  <m:r>
                    <w:rPr>
                      <w:rFonts w:ascii="Cambria Math" w:hAnsi="Cambria Math"/>
                    </w:rPr>
                    <m:t xml:space="preserve">o</m:t>
                  </m:r>
                </m:e>
                <m:sub>
                  <m:r>
                    <w:rPr>
                      <w:rFonts w:ascii="Cambria Math" w:hAnsi="Cambria Math"/>
                    </w:rPr>
                    <m:t xml:space="preserve">t</m:t>
                  </m:r>
                </m:sub>
              </m:sSub>
              <m:r>
                <w:rPr>
                  <w:rFonts w:ascii="Cambria Math" w:hAnsi="Cambria Math"/>
                </w:rPr>
                <m:t xml:space="preserve">⊙</m:t>
              </m:r>
              <m:r>
                <w:rPr>
                  <w:rFonts w:ascii="Cambria Math" w:hAnsi="Cambria Math"/>
                </w:rPr>
                <m:t xml:space="preserve">tanh</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3.8</m:t>
              </m:r>
              <m:r>
                <w:rPr>
                  <w:rFonts w:ascii="Cambria Math" w:hAnsi="Cambria Math"/>
                </w:rPr>
                <m:t xml:space="preserve">)</m:t>
              </m:r>
            </m:e>
          </m:eqArr>
        </m:oMath>
      </m:oMathPara>
      <w:bookmarkEnd w:id="94"/>
    </w:p>
    <w:p>
      <w:pPr>
        <w:pStyle w:val="FirstParagraph"/>
        <w:rPr/>
      </w:pPr>
      <w:r>
        <w:rPr/>
        <w:t xml:space="preserve">Trong đó,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 và </w:t>
      </w:r>
      <w:r>
        <w:rPr/>
      </w:r>
      <m:oMath xmlns:m="http://schemas.openxmlformats.org/officeDocument/2006/math">
        <m:sSub>
          <m:e>
            <m:r>
              <w:rPr>
                <w:rFonts w:ascii="Cambria Math" w:hAnsi="Cambria Math"/>
              </w:rPr>
              <m:t xml:space="preserve">o</m:t>
            </m:r>
          </m:e>
          <m:sub>
            <m:r>
              <w:rPr>
                <w:rFonts w:ascii="Cambria Math" w:hAnsi="Cambria Math"/>
              </w:rPr>
              <m:t xml:space="preserve">t</m:t>
            </m:r>
          </m:sub>
        </m:sSub>
      </m:oMath>
      <w:r>
        <w:rPr/>
        <w:t xml:space="preserve"> lần lượt là cổng vào, cổng quên và cổng ra. Cổng quên xác định phần thông tin cũ được giữ lại, cổng vào điều chỉnh lượng thông tin mới được đưa vào ô nhớ, còn cổng ra tạo trạng thái ẩn cho bước tiếp theo. Cơ chế này cho phép LSTM duy trì các quan hệ phụ thuộc kéo dài qua nhiều phiên mà không cần đưa toàn bộ chuỗi vào một phép tổng hợp đơn giản.</w:t>
      </w:r>
    </w:p>
    <w:p>
      <w:pPr>
        <w:pStyle w:val="BodyText"/>
        <w:rPr/>
      </w:pPr>
      <w:r>
        <w:rPr/>
        <w:t>LSTM phù hợp với mức sàn vì có thể mô hình hóa cửa sổ giá hoặc cửa sổ cảm xúc mà không yêu cầu đồ thị liên mã. Trong hệ thống, hai nhánh LSTM sử dụng cùng số ngày quan sát, cùng quy tắc đệm chuỗi hoặc loại mẫu và cùng điều kiện dừng để phép so sánh có ý nghĩa. Việc bổ sung nhánh cảm xúc làm tăng số tham số; do đó, số chiều trạng thái và thời gian huấn luyện cũng cần được ghi nhận khi phân tích chênh lệch.</w:t>
      </w:r>
      <w:bookmarkEnd w:id="93"/>
    </w:p>
    <w:p>
      <w:pPr>
        <w:pStyle w:val="Heading3"/>
        <w:rPr/>
      </w:pPr>
      <w:bookmarkStart w:id="95" w:name="__RefHeading___Toc10996_2435329662"/>
      <w:bookmarkStart w:id="96" w:name="Xf142b72e47b59455c6baf872e587af69f0b9284"/>
      <w:bookmarkEnd w:id="95"/>
      <w:r>
        <w:rPr>
          <w:rFonts w:eastAsia="Times New Roman" w:cs="Times New Roman"/>
        </w:rPr>
        <w:t>3.1.5. Cơ sở lý thuyết của Bộ biến đổi hợp nhất theo thời gian</w:t>
      </w:r>
    </w:p>
    <w:p>
      <w:pPr>
        <w:pStyle w:val="FirstParagraph"/>
        <w:rPr/>
      </w:pPr>
      <w:r>
        <w:rPr/>
        <w:t xml:space="preserve">TFT được đưa vào như mô hình mở rộng cho chuỗi nhiều biến </w:t>
      </w:r>
      <w:hyperlink w:anchor="ref-Lim2021_tft">
        <w:r>
          <w:rPr>
            <w:rStyle w:val="Hyperlink"/>
          </w:rPr>
          <w:t>[13]</w:t>
        </w:r>
      </w:hyperlink>
      <w:r>
        <w:rPr/>
        <w:t>. Mô hình kết hợp bộ mã hóa chuỗi với cơ chế chọn biến, các khối có cổng và cơ chế chú ý. Cấu trúc này cho phép mức độ quan trọng của một biến thay đổi theo thời điểm và trạng thái dự báo. Trong bài toán này, động lượng, độ biến động, tỷ lệ cảm xúc và cờ có tin là các nhóm biến cần được phân biệt.</w:t>
      </w:r>
    </w:p>
    <w:p>
      <w:pPr>
        <w:pStyle w:val="BodyText"/>
        <w:rPr/>
      </w:pPr>
      <w:r>
        <w:rPr/>
        <w:t>Nếu được triển khai, TFT phải được cấu hình cho bài toán phân loại. Đầu ra cuối cùng là điểm logit kích thước 3 và hàm mất mát là entropy chéo. Cấu hình hồi quy phân vị có sẵn trong thư viện không được sử dụng thay cho mục tiêu này. Các biến cũng phải được khai báo rõ theo trạng thái: biết trước, biến tĩnh hoặc chỉ quan sát được tại thời điểm dự báo. Tin tức sau mốc cắt không được đưa vào nhóm biến đã biết tại ngày trước đó.</w:t>
      </w:r>
    </w:p>
    <w:p>
      <w:pPr>
        <w:pStyle w:val="BodyText"/>
        <w:rPr/>
      </w:pPr>
      <w:r>
        <w:rPr/>
        <w:t xml:space="preserve">Tầm quan trọng của biến và thành phần chú ý chỉ được lưu như bằng chứng mô tả cách mô hình sử dụng các biến, không được diễn giải là ảnh hưởng nhân quả. Các nghiên cứu sử dụng Transformer cho biến động và chuỗi đa phương thức cho thấy tiềm năng của hướng tiếp cận này. Tuy nhiên, độ phức tạp, số lượng tham số, khả năng quá khớp và sự khác biệt giữa các thị trường vẫn cần được kiểm tra riêng </w:t>
      </w:r>
      <w:hyperlink w:anchor="ref-Boyle2023_230503835v1">
        <w:r>
          <w:rPr>
            <w:rStyle w:val="Hyperlink"/>
          </w:rPr>
          <w:t>[2]</w:t>
        </w:r>
      </w:hyperlink>
      <w:r>
        <w:rPr/>
        <w:t xml:space="preserve">, </w:t>
      </w:r>
      <w:hyperlink w:anchor="ref-Omranpour2024_241210540v1">
        <w:r>
          <w:rPr>
            <w:rStyle w:val="Hyperlink"/>
          </w:rPr>
          <w:t>[17]</w:t>
        </w:r>
      </w:hyperlink>
      <w:r>
        <w:rPr/>
        <w:t>.</w:t>
      </w:r>
      <w:bookmarkEnd w:id="96"/>
    </w:p>
    <w:p>
      <w:pPr>
        <w:pStyle w:val="Heading3"/>
        <w:rPr/>
      </w:pPr>
      <w:bookmarkStart w:id="97" w:name="__RefHeading___Toc10998_2435329662"/>
      <w:bookmarkStart w:id="98" w:name="luồng-xử-lý-tổng-thể"/>
      <w:bookmarkEnd w:id="97"/>
      <w:r>
        <w:rPr>
          <w:rFonts w:eastAsia="Times New Roman" w:cs="Times New Roman"/>
        </w:rPr>
        <w:t>3.1.6. Luồng xử lý tổng thể</w:t>
      </w:r>
    </w:p>
    <w:p>
      <w:pPr>
        <w:pStyle w:val="FirstParagraph"/>
        <w:rPr/>
      </w:pPr>
      <w:r>
        <w:rPr/>
        <w:t>Luồng xử lý tổng thể của hệ thống gồm các bước sau:</w:t>
      </w:r>
    </w:p>
    <w:p>
      <w:pPr>
        <w:pStyle w:val="Normal"/>
        <w:numPr>
          <w:ilvl w:val="0"/>
          <w:numId w:val="17"/>
        </w:numPr>
        <w:rPr/>
      </w:pPr>
      <w:r>
        <w:rPr/>
        <w:t>Khóa phạm vi mã, khoảng thời gian, mốc cắt, công thức nhãn và hạt giống;</w:t>
      </w:r>
    </w:p>
    <w:p>
      <w:pPr>
        <w:pStyle w:val="Normal"/>
        <w:numPr>
          <w:ilvl w:val="0"/>
          <w:numId w:val="3"/>
        </w:numPr>
        <w:rPr/>
      </w:pPr>
      <w:r>
        <w:rPr/>
        <w:t>Thu thập tin tức, OHLCV và lịch giao dịch, đồng thời lưu nguồn gốc và khả năng truy xuất;</w:t>
      </w:r>
    </w:p>
    <w:p>
      <w:pPr>
        <w:pStyle w:val="Normal"/>
        <w:numPr>
          <w:ilvl w:val="0"/>
          <w:numId w:val="3"/>
        </w:numPr>
        <w:rPr/>
      </w:pPr>
      <w:r>
        <w:rPr/>
        <w:t>Làm sạch, loại trùng, kiểm tra mốc thời gian và ánh xạ bài viết theo mã;</w:t>
      </w:r>
    </w:p>
    <w:p>
      <w:pPr>
        <w:pStyle w:val="Normal"/>
        <w:numPr>
          <w:ilvl w:val="0"/>
          <w:numId w:val="3"/>
        </w:numPr>
        <w:rPr/>
      </w:pPr>
      <w:r>
        <w:rPr/>
        <w:t>Tạo nhánh cảm xúc và nhánh giá bằng các phép biến đổi độc lập;</w:t>
      </w:r>
    </w:p>
    <w:p>
      <w:pPr>
        <w:pStyle w:val="Normal"/>
        <w:numPr>
          <w:ilvl w:val="0"/>
          <w:numId w:val="3"/>
        </w:numPr>
        <w:rPr/>
      </w:pPr>
      <w:r>
        <w:rPr/>
        <w:t>Căn chỉnh hai nhánh theo mã và ngày giao dịch, sau đó tạo nhãn ở thời điểm hợp lệ;</w:t>
      </w:r>
    </w:p>
    <w:p>
      <w:pPr>
        <w:pStyle w:val="Normal"/>
        <w:numPr>
          <w:ilvl w:val="0"/>
          <w:numId w:val="3"/>
        </w:numPr>
        <w:rPr/>
      </w:pPr>
      <w:r>
        <w:rPr/>
        <w:t>Chạy thang mô hình từ đối chứng cơ sở đến LSTM hai nhánh, chỉ chạy TFT khi đủ điều kiện;</w:t>
      </w:r>
    </w:p>
    <w:p>
      <w:pPr>
        <w:pStyle w:val="Normal"/>
        <w:numPr>
          <w:ilvl w:val="0"/>
          <w:numId w:val="3"/>
        </w:numPr>
        <w:rPr/>
      </w:pPr>
      <w:r>
        <w:rPr/>
        <w:t>Đánh giá bằng cuốn chiếu theo thời gian, loại bỏ đặc trưng và lấy mẫu lặp, rồi lưu bản kê kết quả.</w:t>
      </w:r>
    </w:p>
    <w:p>
      <w:pPr>
        <w:pStyle w:val="FirstParagraph"/>
        <w:rPr/>
      </w:pPr>
      <w:r>
        <w:rPr/>
        <w:t>Hình </w:t>
      </w:r>
      <w:hyperlink w:anchor="fig%2525253Akien-truc">
        <w:r>
          <w:rPr>
            <w:rStyle w:val="Hyperlink"/>
          </w:rPr>
          <w:t>3.1</w:t>
        </w:r>
      </w:hyperlink>
      <w:r>
        <w:rPr/>
        <w:t xml:space="preserve"> minh họa các bước chính của quy trình xử lý. Các khối TFT và chú ý chéo có cổng được xác định là phần mở rộng, trong khi mô hình LSTM hai nhánh là cấu hình cơ sở. Sự phân biệt này làm rõ các thành phần bắt buộc và các thành phần chỉ được triển khai khi điều kiện dữ liệu và thời gian cho phép.</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3960"/>
        <w:gridCol w:w="3960"/>
      </w:tblGrid>
      <w:tr>
        <w:trPr>
          <w:tblHeader w:val="true"/>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jc w:val="center"/>
              <w:rPr/>
            </w:pPr>
            <w:bookmarkStart w:id="99" w:name="fig%2525253Akien-truc"/>
            <w:r>
              <w:rPr/>
              <w:drawing>
                <wp:inline distT="0" distB="0" distL="0" distR="0">
                  <wp:extent cx="2508885" cy="315595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0"/>
                          <a:stretch>
                            <a:fillRect/>
                          </a:stretch>
                        </pic:blipFill>
                        <pic:spPr bwMode="auto">
                          <a:xfrm>
                            <a:off x="0" y="0"/>
                            <a:ext cx="2508885" cy="3155950"/>
                          </a:xfrm>
                          <a:prstGeom prst="rect">
                            <a:avLst/>
                          </a:prstGeom>
                          <a:noFill/>
                        </pic:spPr>
                      </pic:pic>
                    </a:graphicData>
                  </a:graphic>
                </wp:inline>
              </w:drawing>
            </w:r>
          </w:p>
        </w:tc>
        <w:tc>
          <w:tcPr>
            <w:tcW w:w="3960" w:type="dxa"/>
            <w:tcBorders>
              <w:top w:val="single" w:sz="4" w:space="0" w:color="000000"/>
              <w:left w:val="single" w:sz="4" w:space="0" w:color="000000"/>
              <w:bottom w:val="single" w:sz="4" w:space="0" w:color="000000"/>
              <w:right w:val="single" w:sz="4" w:space="0" w:color="000000"/>
            </w:tcBorders>
          </w:tcPr>
          <w:p>
            <w:pPr>
              <w:pStyle w:val="Normal"/>
              <w:jc w:val="center"/>
              <w:rPr/>
            </w:pPr>
            <w:r>
              <w:rPr>
                <w:i/>
                <w:iCs/>
              </w:rPr>
              <w:t>Nguồn: Tác giả xây dựng.</w:t>
            </w:r>
          </w:p>
        </w:tc>
      </w:tr>
    </w:tbl>
    <w:p>
      <w:pPr>
        <w:pStyle w:val="ImageCaption"/>
        <w:rPr/>
      </w:pPr>
      <w:r>
        <w:rPr>
          <w:b/>
        </w:rPr>
        <w:t xml:space="preserve">Hình 3.1: </w:t>
      </w:r>
      <w:r>
        <w:rPr/>
        <w:t>Kiến trúc tổng thể của quy trình dự báo xu hướng giá. Khối xanh dương thể hiện mô hình cảm xúc PhoBERT, khối xanh lá là mức sàn tốt nghiệp, khối nét đứt là phần mở rộng.</w:t>
      </w:r>
      <w:bookmarkEnd w:id="83"/>
      <w:bookmarkEnd w:id="98"/>
      <w:bookmarkEnd w:id="99"/>
    </w:p>
    <w:p>
      <w:pPr>
        <w:pStyle w:val="Heading2"/>
        <w:rPr/>
      </w:pPr>
      <w:bookmarkStart w:id="100" w:name="__RefHeading___Toc11000_2435329662"/>
      <w:bookmarkStart w:id="101" w:name="sec%2525253App-du-lieu"/>
      <w:bookmarkEnd w:id="100"/>
      <w:r>
        <w:rPr>
          <w:rFonts w:eastAsia="Times New Roman" w:cs="Times New Roman" w:ascii="Times New Roman" w:hAnsi="Times New Roman"/>
        </w:rPr>
        <w:t>3.2. Thu thập và tiền xử lý dữ liệu</w:t>
      </w:r>
    </w:p>
    <w:p>
      <w:pPr>
        <w:pStyle w:val="Heading3"/>
        <w:rPr/>
      </w:pPr>
      <w:bookmarkStart w:id="102" w:name="__RefHeading___Toc11002_2435329662"/>
      <w:bookmarkStart w:id="103" w:name="phạm-vi-dữ-liệu-và-nguồn-thu-thập"/>
      <w:bookmarkEnd w:id="102"/>
      <w:r>
        <w:rPr>
          <w:rFonts w:eastAsia="Times New Roman" w:cs="Times New Roman"/>
        </w:rPr>
        <w:t>3.2.1. Phạm vi dữ liệu và nguồn thu thập</w:t>
      </w:r>
    </w:p>
    <w:p>
      <w:pPr>
        <w:pStyle w:val="FirstParagraph"/>
        <w:rPr/>
      </w:pPr>
      <w:r>
        <w:rPr/>
        <w:t>Dữ liệu gồm hai bảng chính. Bảng tin tức lưu mã bản ghi, URL, nguồn, tiêu đề, nội dung nếu có, thời điểm đăng hoặc cập nhật, thời điểm thu thập và mã cổ phiếu liên quan. Bảng giá lưu mã cổ phiếu, ngày giao dịch, dữ liệu OHLCV điều chỉnh và cờ chất lượng. Theo thiết kế hiện hành, giai đoạn thực nghiệm được cố định từ năm 2020 đến hết năm 2025, với danh sách 10 mã HOSE thuộc VN30 được ghi trong bản kê. Nếu phạm vi thực tế thay đổi do mức độ bao phủ của dữ liệu, bản kê phải ghi rõ mốc bắt đầu, mốc kết thúc và lý do thay đổi, thay vì chỉ trình bày phạm vi trong phần mô tả.</w:t>
      </w:r>
    </w:p>
    <w:p>
      <w:pPr>
        <w:pStyle w:val="BodyText"/>
        <w:rPr/>
      </w:pPr>
      <w:r>
        <w:rPr/>
        <w:t xml:space="preserve">Nguồn tin được ưu tiên hiện nay là Vietstock theo từng mã cổ phiếu, do cách tổ chức này giúp giảm sự mơ hồ khi ánh xạ bài viết với cổ phiếu. CafeF, VnEconomy hoặc Stockbiz chỉ được bổ sung sau khi đã kiểm tra độ phủ, nội dung, mốc thời gian và điều kiện sử dụng. Theo đề cương, đây là các nguồn dự kiến và có thể được điều chỉnh khi khả năng truy cập hoặc cấu trúc trang thay đổi. Dữ liệu giá được thu thập thông qua thư viện </w:t>
      </w:r>
      <w:r>
        <w:rPr>
          <w:rStyle w:val="VerbatimChar"/>
        </w:rPr>
        <w:t>vnstock</w:t>
      </w:r>
      <w:r>
        <w:rPr/>
        <w:t xml:space="preserve">, sử dụng nguồn VCI theo cấu hình của đề tài. Nguồn khác như </w:t>
      </w:r>
      <w:r>
        <w:rPr>
          <w:rStyle w:val="VerbatimChar"/>
        </w:rPr>
        <w:t>vnquant</w:t>
      </w:r>
      <w:r>
        <w:rPr/>
        <w:t xml:space="preserve"> chỉ được sử dụng để đối chiếu sau khi đã so sánh ngữ nghĩa của giá điều chỉnh, độ bao phủ và lược đồ; dữ liệu từ nguồn này không được tự động trộn vào tập dữ liệu chính. Việc phân tách nguồn chính và nguồn đối chiếu hỗ trợ phát hiện sai lệch nhưng không làm tăng số lượng quan sát bằng cách ghép các bản ghi chưa thống nhất về quy ước.</w:t>
      </w:r>
      <w:bookmarkEnd w:id="103"/>
    </w:p>
    <w:p>
      <w:pPr>
        <w:pStyle w:val="Heading3"/>
        <w:rPr/>
      </w:pPr>
      <w:bookmarkStart w:id="104" w:name="__RefHeading___Toc11004_2435329662"/>
      <w:bookmarkStart w:id="105" w:name="X63e369f13eee73fc8901831bea1f647b2bc73c9"/>
      <w:bookmarkEnd w:id="104"/>
      <w:r>
        <w:rPr>
          <w:rFonts w:eastAsia="Times New Roman" w:cs="Times New Roman"/>
        </w:rPr>
        <w:t>3.2.2. Kiểm tra chất lượng, nguồn gốc và khả năng truy xuất</w:t>
      </w:r>
    </w:p>
    <w:p>
      <w:pPr>
        <w:pStyle w:val="FirstParagraph"/>
        <w:rPr/>
      </w:pPr>
      <w:r>
        <w:rPr/>
        <w:t>Mỗi bản ghi tin tức được gắn mã băm của văn bản đã chuẩn hóa, cùng với nguồn và URL. Các bản ghi trùng tiêu đề, trùng nội dung hoặc có mốc thời gian gần nhau được đánh dấu để kiểm tra trước khi loại bỏ. Quá trình loại trùng được thực hiện trước khi chia tập dữ liệu cảm xúc và trước khi tổng hợp đặc trưng, vì việc một bản sao xuất hiện trong hai phần chia có thể làm tăng kết quả một cách giả tạo. Nếu một bài viết được gắn với nhiều mã hợp lệ, hệ thống giữ nguyên quan hệ nhiều mã và ghi rõ phương thức mở rộng bản ghi. Một bài viết có thể được tính cho nhiều mã trong bảng liên kết, nhưng không được xem là nhiều bài độc lập khi đánh giá độ không chắc chắn.</w:t>
      </w:r>
    </w:p>
    <w:p>
      <w:pPr>
        <w:pStyle w:val="BodyText"/>
        <w:rPr/>
      </w:pPr>
      <w:r>
        <w:rPr/>
        <w:t>Nếu không xác định được mã cổ phiếu hoặc thời điểm, bản ghi không được đưa vào bảng đặc trưng chính. Các bản ghi bị loại vẫn được thống kê theo nguồn và lý do loại để người đọc có thể đánh giá độ bao phủ. Khi thời điểm đăng và thời điểm cập nhật khác nhau, cả hai trường phải được giữ lại nếu có; quy tắc lựa chọn thời điểm sử dụng phải được khóa trước khi tạo mẫu.</w:t>
      </w:r>
    </w:p>
    <w:p>
      <w:pPr>
        <w:pStyle w:val="BodyText"/>
        <w:rPr/>
      </w:pPr>
      <w:r>
        <w:rPr/>
        <w:t>Các thống kê phải bao gồm số lượng bài viết theo nguồn, mã cổ phiếu và năm; tỷ lệ thiếu nội dung; tỷ lệ thiếu mốc thời gian; số bản ghi trùng; độ phủ của các ngày có tin; và số phiên giá hợp lệ. Báo cáo cũng cần ghi số bài gắn với một mã và nhiều mã, số ngày không có tin, số bản ghi được chuyển sang phiên kế tiếp và số bản ghi không thể xác minh. Bản kê đồng thời lưu thời điểm thu thập, phiên bản mã nguồn, mã băm của tệp dữ liệu và quy tắc làm sạch. Bước này nhằm bảo đảm khả năng truy nguyên của kho ngữ liệu, thay vì chỉ tạo một tập dữ liệu có quy mô lớn nhưng khó kiểm tra.</w:t>
      </w:r>
      <w:bookmarkEnd w:id="105"/>
    </w:p>
    <w:p>
      <w:pPr>
        <w:pStyle w:val="Heading3"/>
        <w:rPr/>
      </w:pPr>
      <w:bookmarkStart w:id="106" w:name="__RefHeading___Toc11006_2435329662"/>
      <w:bookmarkStart w:id="107" w:name="dữ-liệu-giá"/>
      <w:bookmarkEnd w:id="106"/>
      <w:r>
        <w:rPr>
          <w:rFonts w:eastAsia="Times New Roman" w:cs="Times New Roman"/>
        </w:rPr>
        <w:t>3.2.3. Dữ liệu giá</w:t>
      </w:r>
    </w:p>
    <w:p>
      <w:pPr>
        <w:pStyle w:val="FirstParagraph"/>
        <w:rPr/>
      </w:pPr>
      <w:r>
        <w:rPr/>
        <w:t xml:space="preserve">Dữ liệu OHLCV được sử dụng theo giá điều chỉnh để tính lợi suất và hạn chế các điểm đứt gãy do chia tách, cổ tức hoặc sự kiện doanh nghiệp. Với giá đóng cửa điều chỉnh </w:t>
      </w:r>
      <w:r>
        <w:rPr/>
      </w:r>
      <m:oMath xmlns:m="http://schemas.openxmlformats.org/officeDocument/2006/math">
        <m:sSubSup>
          <m:e>
            <m:r>
              <w:rPr>
                <w:rFonts w:ascii="Cambria Math" w:hAnsi="Cambria Math"/>
              </w:rPr>
              <m:t xml:space="preserve">C</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a</m:t>
            </m:r>
            <m:r>
              <w:rPr>
                <w:rFonts w:ascii="Cambria Math" w:hAnsi="Cambria Math"/>
              </w:rPr>
              <m:t xml:space="preserve">d</m:t>
            </m:r>
            <m:r>
              <w:rPr>
                <w:rFonts w:ascii="Cambria Math" w:hAnsi="Cambria Math"/>
              </w:rPr>
              <m:t xml:space="preserve">j</m:t>
            </m:r>
          </m:sup>
        </m:sSubSup>
      </m:oMath>
      <w:r>
        <w:rPr/>
        <w:t xml:space="preserve"> của mã </w:t>
      </w:r>
      <w:r>
        <w:rPr/>
      </w:r>
      <m:oMath xmlns:m="http://schemas.openxmlformats.org/officeDocument/2006/math">
        <m:r>
          <w:rPr>
            <w:rFonts w:ascii="Cambria Math" w:hAnsi="Cambria Math"/>
          </w:rPr>
          <m:t xml:space="preserve">i</m:t>
        </m:r>
      </m:oMath>
      <w:r>
        <w:rPr/>
        <w:t xml:space="preserve"> tại ngày </w:t>
      </w:r>
      <w:r>
        <w:rPr/>
      </w:r>
      <m:oMath xmlns:m="http://schemas.openxmlformats.org/officeDocument/2006/math">
        <m:r>
          <w:rPr>
            <w:rFonts w:ascii="Cambria Math" w:hAnsi="Cambria Math"/>
          </w:rPr>
          <m:t xml:space="preserve">t</m:t>
        </m:r>
      </m:oMath>
      <w:r>
        <w:rPr/>
        <w:t>, lợi suất mục tiêu được định nghĩa như sau:</w:t>
      </w:r>
    </w:p>
    <w:p>
      <w:pPr>
        <w:pStyle w:val="BodyText"/>
        <w:jc w:val="center"/>
        <w:rPr/>
      </w:pPr>
      <w:bookmarkStart w:id="108" w:name="eq%2525253Anext-return"/>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sSubSup>
                <m:e>
                  <m:r>
                    <w:rPr>
                      <w:rFonts w:ascii="Cambria Math" w:hAnsi="Cambria Math"/>
                    </w:rPr>
                    <m:t xml:space="preserve">C</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a</m:t>
                  </m:r>
                  <m:r>
                    <w:rPr>
                      <w:rFonts w:ascii="Cambria Math" w:hAnsi="Cambria Math"/>
                    </w:rPr>
                    <m:t xml:space="preserve">d</m:t>
                  </m:r>
                  <m:r>
                    <w:rPr>
                      <w:rFonts w:ascii="Cambria Math" w:hAnsi="Cambria Math"/>
                    </w:rPr>
                    <m:t xml:space="preserve">j</m:t>
                  </m:r>
                </m:sup>
              </m:sSubSup>
            </m:num>
            <m:den>
              <m:sSubSup>
                <m:e>
                  <m:r>
                    <w:rPr>
                      <w:rFonts w:ascii="Cambria Math" w:hAnsi="Cambria Math"/>
                    </w:rPr>
                    <m:t xml:space="preserve">C</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a</m:t>
                  </m:r>
                  <m:r>
                    <w:rPr>
                      <w:rFonts w:ascii="Cambria Math" w:hAnsi="Cambria Math"/>
                    </w:rPr>
                    <m:t xml:space="preserve">d</m:t>
                  </m:r>
                  <m:r>
                    <w:rPr>
                      <w:rFonts w:ascii="Cambria Math" w:hAnsi="Cambria Math"/>
                    </w:rPr>
                    <m:t xml:space="preserve">j</m:t>
                  </m:r>
                </m:sup>
              </m:sSubSup>
            </m:den>
          </m:f>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3.9</m:t>
          </m:r>
          <m:r>
            <w:rPr>
              <w:rFonts w:ascii="Cambria Math" w:hAnsi="Cambria Math"/>
            </w:rPr>
            <m:t xml:space="preserve">)</m:t>
          </m:r>
        </m:oMath>
      </m:oMathPara>
      <w:bookmarkEnd w:id="108"/>
    </w:p>
    <w:p>
      <w:pPr>
        <w:pStyle w:val="FirstParagraph"/>
        <w:rPr/>
      </w:pPr>
      <w:r>
        <w:rPr/>
        <w:t>Các kiểm tra cơ bản bao gồm thứ tự thời gian, ngày trùng, giá không dương, khối lượng không hợp lệ và phiên bị thiếu. Dữ liệu từ nguồn chính được đối chiếu với nguồn thay thế trong phạm vi cần thiết nhằm phát hiện ngày thiếu, bản ghi bất thường hoặc sai lệch do thay đổi đơn vị. Các sự kiện chia tách, trả cổ tức bằng cổ phiếu hoặc điều chỉnh giá được xem xét khi xây dựng chuỗi, vì việc sử dụng dữ liệu không nhất quán có thể tạo ra lợi suất bất thường không phản ánh giao dịch thực tế.</w:t>
      </w:r>
    </w:p>
    <w:p>
      <w:pPr>
        <w:pStyle w:val="BodyText"/>
        <w:rPr/>
      </w:pPr>
      <w:r>
        <w:rPr/>
        <w:t xml:space="preserve">Giá trị tại ngày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m:t>
        </m:r>
      </m:oMath>
      <w:r>
        <w:rPr/>
        <w:t xml:space="preserve"> chỉ được sử dụng để tạo nhãn, không được dùng để tạo đặc trưng tại ngày </w:t>
      </w:r>
      <w:r>
        <w:rPr/>
      </w:r>
      <m:oMath xmlns:m="http://schemas.openxmlformats.org/officeDocument/2006/math">
        <m:r>
          <w:rPr>
            <w:rFonts w:ascii="Cambria Math" w:hAnsi="Cambria Math"/>
          </w:rPr>
          <m:t xml:space="preserve">t</m:t>
        </m:r>
      </m:oMath>
      <w:r>
        <w:rPr/>
        <w:t>. Các ngày đầu chuỗi chưa có đủ dữ liệu để tính trung bình động hoặc độ biến động được loại khỏi mẫu hoặc được xử lý theo quy tắc ghi trong bản kê. Mọi khác biệt giữa giá đóng cửa gốc và giá điều chỉnh phải được giải thích trong báo cáo dữ liệu; một chuỗi không được tự động xem là sai chỉ vì hai nguồn áp dụng phương pháp điều chỉnh khác nhau.</w:t>
      </w:r>
      <w:bookmarkEnd w:id="107"/>
    </w:p>
    <w:p>
      <w:pPr>
        <w:pStyle w:val="Heading3"/>
        <w:rPr/>
      </w:pPr>
      <w:bookmarkStart w:id="109" w:name="__RefHeading___Toc11008_2435329662"/>
      <w:bookmarkStart w:id="110" w:name="dữ-liệu-tin-tức-và-ánh-xạ-theo-phiên"/>
      <w:bookmarkEnd w:id="109"/>
      <w:r>
        <w:rPr>
          <w:rFonts w:eastAsia="Times New Roman" w:cs="Times New Roman"/>
        </w:rPr>
        <w:t>3.2.4. Dữ liệu tin tức và ánh xạ theo phiên</w:t>
      </w:r>
    </w:p>
    <w:p>
      <w:pPr>
        <w:pStyle w:val="FirstParagraph"/>
        <w:rPr/>
      </w:pPr>
      <w:r>
        <w:rPr/>
        <w:t>Mỗi bản tin giữ lại cả tiêu đề và nội dung để phục vụ kiểm tra, nhưng chính sách lựa chọn đầu vào phải được khóa trước khi huấn luyện. Cấu hình cơ sở ưu tiên sử dụng tiêu đề vì phù hợp với tập hạt giống công khai và làm giảm khác biệt về độ dài. Nội dung được lưu để kiểm tra và chỉ được sử dụng trong phân tích độ nhạy khi đã được gán nhãn, tách theo thời gian và báo cáo riêng. Khi một bài viết chỉ có tiêu đề, hệ thống không tự suy diễn phần nội dung còn thiếu; trường dữ liệu thiếu phải được lưu lại để phân tích độ bao phủ.</w:t>
      </w:r>
    </w:p>
    <w:p>
      <w:pPr>
        <w:pStyle w:val="BodyText"/>
        <w:rPr/>
      </w:pPr>
      <w:r>
        <w:rPr/>
        <w:t xml:space="preserve">Tất cả mốc thời gian được chuyển về múi giờ Việt Nam. Đối với mỗi ngày giao dịch </w:t>
      </w:r>
      <w:r>
        <w:rPr/>
      </w:r>
      <m:oMath xmlns:m="http://schemas.openxmlformats.org/officeDocument/2006/math">
        <m:r>
          <w:rPr>
            <w:rFonts w:ascii="Cambria Math" w:hAnsi="Cambria Math"/>
          </w:rPr>
          <m:t xml:space="preserve">t</m:t>
        </m:r>
      </m:oMath>
      <w:r>
        <w:rPr/>
        <w:t>, chỉ những tin có mốc thời gian không muộn hơn 15 giờ trong ngày mới được xem là có thể quan sát tại thời điểm ra quyết định. Tin sau 15 giờ được chuyển sang phiên giao dịch kế tiếp theo quy tắc bảo thủ và không được dùng để tạo đặc trưng cho phiên đã đóng. Tin xuất hiện vào cuối tuần, ngày nghỉ hoặc ngày không giao dịch cũng được gán cho phiên hợp lệ kế tiếp. Quy tắc này có thể làm trễ một phần tín hiệu, nhưng giúp giảm nguy cơ đánh giá lạc quan do sử dụng tin xuất hiện sau mốc cắt.</w:t>
      </w:r>
    </w:p>
    <w:p>
      <w:pPr>
        <w:pStyle w:val="BodyText"/>
        <w:rPr/>
      </w:pPr>
      <w:r>
        <w:rPr/>
        <w:t>Quá trình ánh xạ được thực hiện sau khi chuẩn hóa múi giờ và sắp xếp lịch giao dịch, không chỉ dựa trên ngày được ghi trong URL. Đối với tin có cả thời điểm đăng và thời điểm cập nhật, trường thời gian được sử dụng cho dự báo phải được ghi trong bản kê. Các bản ghi có mốc thời gian bị thiếu, mâu thuẫn hoặc chỉ có ngày mà không có giờ không được gán một giờ mặc định rồi đưa trực tiếp vào tập dữ liệu chính; các bản ghi này phải được đánh dấu để loại bỏ hoặc phân tích riêng.</w:t>
      </w:r>
      <w:bookmarkEnd w:id="110"/>
    </w:p>
    <w:p>
      <w:pPr>
        <w:pStyle w:val="Heading3"/>
        <w:rPr/>
      </w:pPr>
      <w:bookmarkStart w:id="111" w:name="__RefHeading___Toc11010_2435329662"/>
      <w:bookmarkStart w:id="112" w:name="tiền-xử-lý-văn-bản-tiếng-việt"/>
      <w:bookmarkEnd w:id="111"/>
      <w:r>
        <w:rPr>
          <w:rFonts w:eastAsia="Times New Roman" w:cs="Times New Roman"/>
        </w:rPr>
        <w:t>3.2.5. Tiền xử lý văn bản tiếng Việt</w:t>
      </w:r>
    </w:p>
    <w:p>
      <w:pPr>
        <w:pStyle w:val="FirstParagraph"/>
        <w:rPr/>
      </w:pPr>
      <w:r>
        <w:rPr/>
        <w:t>Quy trình tiền xử lý văn bản gồm các bước sau:</w:t>
      </w:r>
    </w:p>
    <w:p>
      <w:pPr>
        <w:pStyle w:val="Normal"/>
        <w:numPr>
          <w:ilvl w:val="0"/>
          <w:numId w:val="18"/>
        </w:numPr>
        <w:rPr/>
      </w:pPr>
      <w:r>
        <w:rPr/>
        <w:t>Chuẩn hóa Unicode, khoảng trắng, ký hiệu phần trăm và cách biểu diễn số, nhưng giữ lại các ký hiệu có thể mang ý nghĩa tài chính;</w:t>
      </w:r>
    </w:p>
    <w:p>
      <w:pPr>
        <w:pStyle w:val="Normal"/>
        <w:numPr>
          <w:ilvl w:val="0"/>
          <w:numId w:val="3"/>
        </w:numPr>
        <w:rPr/>
      </w:pPr>
      <w:r>
        <w:rPr/>
        <w:t>Tách từ bằng công cụ phù hợp với PhoBERT, giữ nguyên dấu tiếng Việt và các đơn vị từ tài chính có ý nghĩa như mã cổ phiếu, tên công ty và đơn vị tiền tệ;</w:t>
      </w:r>
    </w:p>
    <w:p>
      <w:pPr>
        <w:pStyle w:val="Normal"/>
        <w:numPr>
          <w:ilvl w:val="0"/>
          <w:numId w:val="3"/>
        </w:numPr>
        <w:rPr/>
      </w:pPr>
      <w:r>
        <w:rPr/>
        <w:t>Nhận diện và che một số thực thể như tổ chức, địa danh hoặc mã cổ phiếu khi mục tiêu là học ngữ cảnh, đồng thời giữ bản gốc trong các trường nguồn gốc và truy xuất;</w:t>
      </w:r>
    </w:p>
    <w:p>
      <w:pPr>
        <w:pStyle w:val="Normal"/>
        <w:numPr>
          <w:ilvl w:val="0"/>
          <w:numId w:val="3"/>
        </w:numPr>
        <w:rPr/>
      </w:pPr>
      <w:r>
        <w:rPr/>
        <w:t>Loại bỏ HTML, quảng cáo, phần điều hướng, bài rỗng và nội dung không thuộc văn bản tin theo quy tắc đã xác định, không tự tạo câu thay thế;</w:t>
      </w:r>
    </w:p>
    <w:p>
      <w:pPr>
        <w:pStyle w:val="Normal"/>
        <w:numPr>
          <w:ilvl w:val="0"/>
          <w:numId w:val="3"/>
        </w:numPr>
        <w:rPr/>
      </w:pPr>
      <w:r>
        <w:rPr/>
        <w:t>Giới hạn độ dài theo điểm kiểm, sử dụng bộ tách từ BPE của PhoBERT và ghi lại chiều dài cùng số đơn vị từ bị cắt trong từng bản ghi.</w:t>
      </w:r>
    </w:p>
    <w:p>
      <w:pPr>
        <w:pStyle w:val="FirstParagraph"/>
        <w:rPr/>
      </w:pPr>
      <w:r>
        <w:rPr/>
        <w:t>Số liệu, dấu phần trăm và ký hiệu tăng giảm không bị loại bỏ một cách máy móc vì có thể chứa tín hiệu tài chính. Nếu áp dụng phép loại dấu câu hoặc che thực thể, quy tắc này phải được duy trì nhất quán giữa các phần chia. Mọi phép biến đổi sử dụng thông tin từ toàn bộ kho ngữ liệu, chẳng hạn vốn từ mới hoặc thống kê lựa chọn token, phải được loại khỏi thực nghiệm chính hoặc chỉ được ước lượng trên phần huấn luyện.</w:t>
      </w:r>
      <w:bookmarkEnd w:id="112"/>
    </w:p>
    <w:p>
      <w:pPr>
        <w:pStyle w:val="Heading3"/>
        <w:rPr/>
      </w:pPr>
      <w:bookmarkStart w:id="113" w:name="__RefHeading___Toc11012_2435329662"/>
      <w:bookmarkStart w:id="114" w:name="tạo-tập-cảm-xúc-và-gán-nhãn"/>
      <w:bookmarkEnd w:id="113"/>
      <w:r>
        <w:rPr>
          <w:rFonts w:eastAsia="Times New Roman" w:cs="Times New Roman"/>
        </w:rPr>
        <w:t>3.2.6. Tạo tập cảm xúc và gán nhãn</w:t>
      </w:r>
    </w:p>
    <w:p>
      <w:pPr>
        <w:pStyle w:val="FirstParagraph"/>
        <w:rPr/>
      </w:pPr>
      <w:r>
        <w:rPr/>
        <w:t>Tập hạt giống gồm các tiêu đề tài chính đã được gán nhãn theo ba lớp và được sử dụng để kiểm tra nhanh quy trình. Tập dữ liệu trong miền được mở rộng theo một hướng dẫn gán nhãn cố định. Người gán nhãn đọc phần nội dung được phép sử dụng, xác định chủ thể chính, sự kiện và hướng tác động kỳ vọng đối với giá trong ngắn hạn; nội dung đầy đủ chỉ được đọc khi thuộc thời điểm và phạm vi được phép sử dụng. Các quy tắc cơ bản gồm:</w:t>
      </w:r>
    </w:p>
    <w:p>
      <w:pPr>
        <w:pStyle w:val="Normal"/>
        <w:numPr>
          <w:ilvl w:val="0"/>
          <w:numId w:val="1"/>
        </w:numPr>
        <w:rPr/>
      </w:pPr>
      <w:r>
        <w:rPr/>
        <w:t>Tích cực nếu thông tin hàm ý triển vọng hoặc tác động có lợi rõ ràng;</w:t>
      </w:r>
    </w:p>
    <w:p>
      <w:pPr>
        <w:pStyle w:val="Normal"/>
        <w:numPr>
          <w:ilvl w:val="0"/>
          <w:numId w:val="1"/>
        </w:numPr>
        <w:rPr/>
      </w:pPr>
      <w:r>
        <w:rPr/>
        <w:t>Tiêu cực nếu thông tin hàm ý rủi ro, suy giảm hoặc tác động bất lợi rõ ràng;</w:t>
      </w:r>
    </w:p>
    <w:p>
      <w:pPr>
        <w:pStyle w:val="Normal"/>
        <w:numPr>
          <w:ilvl w:val="0"/>
          <w:numId w:val="1"/>
        </w:numPr>
        <w:rPr/>
      </w:pPr>
      <w:r>
        <w:rPr/>
        <w:t>Trung tính nếu thông tin chỉ mang tính thông báo, mô tả hoặc chưa có đủ bằng chứng để xác định chiều tác động.</w:t>
      </w:r>
    </w:p>
    <w:p>
      <w:pPr>
        <w:pStyle w:val="FirstParagraph"/>
        <w:rPr/>
      </w:pPr>
      <w:r>
        <w:rPr/>
        <w:t>Tin chứa hai chiều tác động trái ngược được gán nhãn theo tác động nổi trội nếu hướng dẫn cho phép, hoặc được đánh dấu để rà soát. Tin không xác định được chủ thể hoặc hướng tác động rõ ràng được giữ lại với nhãn trung tính khi có đủ căn cứ; nếu không, mẫu được loại khỏi tập huấn luyện và lý do loại được lưu lại.</w:t>
      </w:r>
    </w:p>
    <w:p>
      <w:pPr>
        <w:pStyle w:val="BodyText"/>
        <w:rPr/>
      </w:pPr>
      <w:r>
        <w:rPr/>
        <w:t>Mỗi mẫu được gán một trong ba lớp NEGATIVE, NEUTRAL hoặc POSITIVE theo hướng dẫn đã khóa. Báo cáo gán nhãn phải ghi số lượng mẫu, tiêu chí, phiên bản hướng dẫn, số mẫu đã được rà soát và phân bố lớp. Mô hình ngôn ngữ lớn chỉ được sử dụng để tạo nhãn sơ bộ; một người duy nhất rà soát toàn bộ nhãn trước khi huấn luyện chính thức. Do không có người gán nhãn thứ hai, không thể tính Cohen’s hoặc Fleiss’ kappa. Các mẫu dùng để đánh giá dự báo phải được tách theo thời gian khỏi dữ liệu dùng để tinh chỉnh cảm xúc trong phần chia tương ứng.</w:t>
      </w:r>
      <w:bookmarkEnd w:id="101"/>
      <w:bookmarkEnd w:id="114"/>
    </w:p>
    <w:p>
      <w:pPr>
        <w:pStyle w:val="Heading2"/>
        <w:rPr/>
      </w:pPr>
      <w:bookmarkStart w:id="115" w:name="__RefHeading___Toc11014_2435329662"/>
      <w:bookmarkStart w:id="116" w:name="sec%2525253App-phobert"/>
      <w:bookmarkEnd w:id="115"/>
      <w:r>
        <w:rPr>
          <w:rFonts w:eastAsia="Times New Roman" w:cs="Times New Roman" w:ascii="Times New Roman" w:hAnsi="Times New Roman"/>
        </w:rPr>
        <w:t>3.3. Nhánh cảm xúc: tinh chỉnh PhoBERT</w:t>
      </w:r>
    </w:p>
    <w:p>
      <w:pPr>
        <w:pStyle w:val="Heading3"/>
        <w:rPr/>
      </w:pPr>
      <w:bookmarkStart w:id="117" w:name="__RefHeading___Toc11016_2435329662"/>
      <w:bookmarkStart w:id="118" w:name="thiết-lập-bài-toán-phân-loại"/>
      <w:bookmarkEnd w:id="117"/>
      <w:r>
        <w:rPr>
          <w:rFonts w:eastAsia="Times New Roman" w:cs="Times New Roman"/>
        </w:rPr>
        <w:t>3.3.1. Thiết lập bài toán phân loại</w:t>
      </w:r>
    </w:p>
    <w:p>
      <w:pPr>
        <w:pStyle w:val="FirstParagraph"/>
        <w:rPr/>
      </w:pPr>
      <w:r>
        <w:rPr/>
        <w:t xml:space="preserve">Mỗi bài viết hợp lệ được xem là một mẫu có nhãn </w:t>
      </w:r>
      <w:r>
        <w:rPr/>
      </w:r>
      <m:oMath xmlns:m="http://schemas.openxmlformats.org/officeDocument/2006/math">
        <m:sSub>
          <m:e>
            <m:r>
              <w:rPr>
                <w:rFonts w:ascii="Cambria Math" w:hAnsi="Cambria Math"/>
              </w:rPr>
              <m:t xml:space="preserve">y</m:t>
            </m:r>
          </m:e>
          <m:sub>
            <m:r>
              <w:rPr>
                <w:rFonts w:ascii="Cambria Math" w:hAnsi="Cambria Math"/>
              </w:rPr>
              <m:t xml:space="preserve">j</m:t>
            </m:r>
          </m:sub>
        </m:sSub>
      </m:oMath>
      <w:r>
        <w:rPr/>
        <w:t xml:space="preserve"> thuộc một trong ba lớp NEGATIVE, NEUTRAL hoặc POSITIVE. Nhãn biểu thị tác động tiềm năng của nội dung đối với doanh nghiệp hoặc cổ phiếu liên quan, thay vì chỉ phản ánh cảm xúc chung của người viết. Mô hình sử dụng điểm kiểm </w:t>
      </w:r>
      <w:r>
        <w:rPr>
          <w:rStyle w:val="VerbatimChar"/>
        </w:rPr>
        <w:t>vinai/phobert-base</w:t>
      </w:r>
      <w:r>
        <w:rPr/>
        <w:t xml:space="preserve"> làm bộ mã hóa, sau đó là tầng bỏ ngẫu nhiên và tầng phân loại tuyến tính. Điểm logit được chuyển thành xác suất theo Phương trình </w:t>
      </w:r>
      <w:hyperlink w:anchor="eq%2525253Asentiment-softmax">
        <w:r>
          <w:rPr>
            <w:rStyle w:val="Hyperlink"/>
          </w:rPr>
          <w:t>3.2</w:t>
        </w:r>
      </w:hyperlink>
      <w:r>
        <w:rPr/>
        <w:t>. Tầng phân loại tuyến tính được chọn làm cấu hình chính do có ít tham số bổ sung và thuận tiện cho việc tái lập.</w:t>
      </w:r>
    </w:p>
    <w:p>
      <w:pPr>
        <w:pStyle w:val="BodyText"/>
        <w:rPr/>
      </w:pPr>
      <w:r>
        <w:rPr/>
        <w:t xml:space="preserve">PhoBERT được lựa chọn phù hợp với ngôn ngữ của dữ liệu, trong khi FinBERT được sử dụng để đối chiếu về mặt khái niệm trong miền tiếng Anh </w:t>
      </w:r>
      <w:hyperlink w:anchor="ref-Nguyen2020_200300744v3">
        <w:r>
          <w:rPr>
            <w:rStyle w:val="Hyperlink"/>
          </w:rPr>
          <w:t>[16]</w:t>
        </w:r>
      </w:hyperlink>
      <w:r>
        <w:rPr/>
        <w:t xml:space="preserve">, </w:t>
      </w:r>
      <w:hyperlink w:anchor="ref-Yang2020_200608097v2">
        <w:r>
          <w:rPr>
            <w:rStyle w:val="Hyperlink"/>
          </w:rPr>
          <w:t>[24]</w:t>
        </w:r>
      </w:hyperlink>
      <w:r>
        <w:rPr/>
        <w:t>. Cấu hình mức sàn không dịch toàn bộ tin sang tiếng Anh vì dịch máy có thể làm thay đổi sắc thái, tên riêng và số liệu. Nếu thực hiện thí nghiệm dịch, thí nghiệm này phải được xem là một đối chứng cơ sở riêng, với phiên bản công cụ và cấu hình được ghi lại.</w:t>
      </w:r>
      <w:bookmarkEnd w:id="118"/>
    </w:p>
    <w:p>
      <w:pPr>
        <w:pStyle w:val="Heading3"/>
        <w:rPr/>
      </w:pPr>
      <w:bookmarkStart w:id="119" w:name="__RefHeading___Toc11018_2435329662"/>
      <w:bookmarkStart w:id="120" w:name="chia-dữ-liệu-và-huấn-luyện"/>
      <w:bookmarkEnd w:id="119"/>
      <w:r>
        <w:rPr>
          <w:rFonts w:eastAsia="Times New Roman" w:cs="Times New Roman"/>
        </w:rPr>
        <w:t>3.3.2. Chia dữ liệu và huấn luyện</w:t>
      </w:r>
    </w:p>
    <w:p>
      <w:pPr>
        <w:pStyle w:val="FirstParagraph"/>
        <w:rPr/>
      </w:pPr>
      <w:r>
        <w:rPr/>
        <w:t xml:space="preserve">Quy trình xác thực chéo của PhoBERT sử dụng </w:t>
      </w:r>
      <w:r>
        <w:rPr>
          <w:rStyle w:val="VerbatimChar"/>
        </w:rPr>
        <w:t>StratifiedKFold</w:t>
      </w:r>
      <w:r>
        <w:rPr/>
        <w:t xml:space="preserve"> ngẫu nhiên với năm phần chia và duy trì tỷ lệ của ba lớp trong từng tập kiểm thử ngoài. Phép đo này chỉ phản ánh hiệu năng phân loại trong miền dữ liệu, không phải là đánh giá theo đúng thời điểm của nhánh dự báo. Một phần của tập huấn luyện ngoài được lấy ngẫu nhiên theo tỷ lệ lớp để lựa chọn điểm kiểm; tập kiểm thử ngoài không tham gia vào quá trình lựa chọn này. Các bài có đầu vào trùng khớp hoàn toàn được loại bỏ trước khi chia tập nhằm hạn chế khả năng mô hình ghi nhớ câu chữ và tạo ra kết quả đánh giá lạc quan. Các bản gần trùng hoặc bài viết cùng nguồn chưa được phát hiện tự động, vì vậy đây vẫn là một giới hạn của giao thức.</w:t>
      </w:r>
    </w:p>
    <w:p>
      <w:pPr>
        <w:pStyle w:val="BodyText"/>
        <w:rPr/>
      </w:pPr>
      <w:r>
        <w:rPr/>
        <w:t>Khi mô hình cảm xúc được sử dụng trong quy trình cuốn chiếu theo thời gian, có hai cách triển khai hợp lệ: tinh chỉnh lại trong từng phần chia bằng nhãn của dữ liệu quá khứ, hoặc sử dụng một điểm kiểm đóng băng được huấn luyện hoàn toàn trước giai đoạn kiểm thử. Phương án được chọn phải được ghi trong bản kê và áp dụng nhất quán cho tất cả mô hình so sánh. Không được tinh chỉnh mô hình bằng nhãn hoặc văn bản của tương lai rồi xem đầu ra là ngoài mẫu. Nếu dữ liệu gán nhãn không đủ để tinh chỉnh lại trong từng phần chia, giới hạn này phải được nêu rõ cùng với phạm vi diễn giải.</w:t>
      </w:r>
    </w:p>
    <w:p>
      <w:pPr>
        <w:pStyle w:val="BodyText"/>
        <w:rPr/>
      </w:pPr>
      <w:r>
        <w:rPr/>
        <w:t>Hàm mất mát cơ bản là entropy chéo:</w:t>
      </w:r>
    </w:p>
    <w:p>
      <w:pPr>
        <w:pStyle w:val="BodyText"/>
        <w:jc w:val="center"/>
        <w:rPr/>
      </w:pPr>
      <w:bookmarkStart w:id="121" w:name="eq%2525253Asentiment-loss"/>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C</m:t>
              </m:r>
              <m:r>
                <w:rPr>
                  <w:rFonts w:ascii="Cambria Math" w:hAnsi="Cambria Math"/>
                </w:rPr>
                <m:t xml:space="preserve">E</m:t>
              </m:r>
            </m:sub>
          </m:sSub>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log</m:t>
              </m:r>
            </m:e>
          </m:nary>
          <m:sSub>
            <m:e>
              <m:r>
                <w:rPr>
                  <w:rFonts w:ascii="Cambria Math" w:hAnsi="Cambria Math"/>
                </w:rPr>
                <m:t xml:space="preserve">p</m:t>
              </m:r>
            </m:e>
            <m:sub>
              <m:r>
                <w:rPr>
                  <w:rFonts w:ascii="Cambria Math" w:hAnsi="Cambria Math"/>
                </w:rPr>
                <m:t xml:space="preserve">j</m:t>
              </m:r>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sub>
          </m:sSub>
          <m:r>
            <w:rPr>
              <w:rFonts w:ascii="Cambria Math" w:hAnsi="Cambria Math"/>
            </w:rPr>
            <m:t xml:space="preserve">.</m:t>
          </m:r>
          <m:r>
            <w:rPr>
              <w:rFonts w:ascii="Cambria Math" w:hAnsi="Cambria Math"/>
            </w:rPr>
            <m:t xml:space="preserve">(</m:t>
          </m:r>
          <m:r>
            <w:rPr>
              <w:rFonts w:ascii="Cambria Math" w:hAnsi="Cambria Math"/>
            </w:rPr>
            <m:t xml:space="preserve">3.10</m:t>
          </m:r>
          <m:r>
            <w:rPr>
              <w:rFonts w:ascii="Cambria Math" w:hAnsi="Cambria Math"/>
            </w:rPr>
            <m:t xml:space="preserve">)</m:t>
          </m:r>
        </m:oMath>
      </m:oMathPara>
      <w:bookmarkEnd w:id="121"/>
    </w:p>
    <w:p>
      <w:pPr>
        <w:pStyle w:val="FirstParagraph"/>
        <w:rPr/>
      </w:pPr>
      <w:r>
        <w:rPr/>
        <w:t xml:space="preserve">Nếu các lớp mất cân bằng, trọng số </w:t>
      </w:r>
      <w:r>
        <w:rPr/>
      </w:r>
      <m:oMath xmlns:m="http://schemas.openxmlformats.org/officeDocument/2006/math">
        <m:sSub>
          <m:e>
            <m:r>
              <w:rPr>
                <w:rFonts w:ascii="Cambria Math" w:hAnsi="Cambria Math"/>
              </w:rPr>
              <m:t xml:space="preserve">w</m:t>
            </m:r>
          </m:e>
          <m:sub>
            <m:r>
              <w:rPr>
                <w:rFonts w:ascii="Cambria Math" w:hAnsi="Cambria Math"/>
              </w:rPr>
              <m:t xml:space="preserve">c</m:t>
            </m:r>
          </m:sub>
        </m:sSub>
      </m:oMath>
      <w:r>
        <w:rPr/>
        <w:t xml:space="preserve"> được tính từ phần tập huấn luyện và được sử dụng như sau:</w:t>
      </w:r>
    </w:p>
    <w:p>
      <w:pPr>
        <w:pStyle w:val="BodyText"/>
        <w:jc w:val="center"/>
        <w:rPr/>
      </w:pPr>
      <w:bookmarkStart w:id="122" w:name="eq%2525253Aweighted-sentiment-loss"/>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W</m:t>
              </m:r>
              <m:r>
                <w:rPr>
                  <w:rFonts w:ascii="Cambria Math" w:hAnsi="Cambria Math"/>
                </w:rPr>
                <m:t xml:space="preserve">C</m:t>
              </m:r>
              <m:r>
                <w:rPr>
                  <w:rFonts w:ascii="Cambria Math" w:hAnsi="Cambria Math"/>
                </w:rPr>
                <m:t xml:space="preserve">E</m:t>
              </m:r>
            </m:sub>
          </m:sSub>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sSub>
                    <m:e>
                      <m:r>
                        <w:rPr>
                          <w:rFonts w:ascii="Cambria Math" w:hAnsi="Cambria Math"/>
                        </w:rPr>
                        <m:t xml:space="preserve">y</m:t>
                      </m:r>
                    </m:e>
                    <m:sub>
                      <m:r>
                        <w:rPr>
                          <w:rFonts w:ascii="Cambria Math" w:hAnsi="Cambria Math"/>
                        </w:rPr>
                        <m:t xml:space="preserve">j</m:t>
                      </m:r>
                    </m:sub>
                  </m:sSub>
                </m:sub>
              </m:sSub>
            </m:e>
          </m:nary>
          <m:r>
            <w:rPr>
              <w:rFonts w:ascii="Cambria Math" w:hAnsi="Cambria Math"/>
            </w:rPr>
            <m:t xml:space="preserve">log</m:t>
          </m:r>
          <m:sSub>
            <m:e>
              <m:r>
                <w:rPr>
                  <w:rFonts w:ascii="Cambria Math" w:hAnsi="Cambria Math"/>
                </w:rPr>
                <m:t xml:space="preserve">p</m:t>
              </m:r>
            </m:e>
            <m:sub>
              <m:r>
                <w:rPr>
                  <w:rFonts w:ascii="Cambria Math" w:hAnsi="Cambria Math"/>
                </w:rPr>
                <m:t xml:space="preserve">j</m:t>
              </m:r>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sub>
          </m:sSub>
          <m:r>
            <w:rPr>
              <w:rFonts w:ascii="Cambria Math" w:hAnsi="Cambria Math"/>
            </w:rPr>
            <m:t xml:space="preserve">.</m:t>
          </m:r>
          <m:r>
            <w:rPr>
              <w:rFonts w:ascii="Cambria Math" w:hAnsi="Cambria Math"/>
            </w:rPr>
            <m:t xml:space="preserve">(</m:t>
          </m:r>
          <m:r>
            <w:rPr>
              <w:rFonts w:ascii="Cambria Math" w:hAnsi="Cambria Math"/>
            </w:rPr>
            <m:t xml:space="preserve">3.11</m:t>
          </m:r>
          <m:r>
            <w:rPr>
              <w:rFonts w:ascii="Cambria Math" w:hAnsi="Cambria Math"/>
            </w:rPr>
            <m:t xml:space="preserve">)</m:t>
          </m:r>
        </m:oMath>
      </m:oMathPara>
      <w:bookmarkEnd w:id="122"/>
    </w:p>
    <w:p>
      <w:pPr>
        <w:pStyle w:val="FirstParagraph"/>
        <w:rPr/>
      </w:pPr>
      <w:r>
        <w:rPr/>
        <w:t>Trọng số, phương pháp lấy mẫu lại, hạt giống, kích thước lô, số vòng huấn luyện, bộ tách từ và điểm kiểm đều được ghi trong bản kê. Điểm kiểm không được lựa chọn dựa trên kết quả của tập kiểm thử. Bên cạnh các điểm số tổng hợp, cần lưu ma trận nhầm lẫn và các mẫu dự đoán sai đại diện để phân tích các trường hợp chứa phủ định, số liệu, tên riêng, tin có nhiều sự kiện và bài trung tính.</w:t>
      </w:r>
      <w:bookmarkEnd w:id="120"/>
    </w:p>
    <w:p>
      <w:pPr>
        <w:pStyle w:val="Heading3"/>
        <w:rPr/>
      </w:pPr>
      <w:bookmarkStart w:id="123" w:name="__RefHeading___Toc11020_2435329662"/>
      <w:bookmarkStart w:id="124" w:name="đầu-ra-xác-suất-và-tổng-hợp-theo-mã-ngày"/>
      <w:bookmarkEnd w:id="123"/>
      <w:r>
        <w:rPr>
          <w:rFonts w:eastAsia="Times New Roman" w:cs="Times New Roman"/>
        </w:rPr>
        <w:t>3.3.3. Đầu ra xác suất và tổng hợp theo mã, ngày</w:t>
      </w:r>
    </w:p>
    <w:p>
      <w:pPr>
        <w:pStyle w:val="FirstParagraph"/>
        <w:rPr/>
      </w:pPr>
      <w:r>
        <w:rPr/>
        <w:t xml:space="preserve">Gọi </w:t>
      </w:r>
      <w:r>
        <w:rPr/>
      </w:r>
      <m:oMath xmlns:m="http://schemas.openxmlformats.org/officeDocument/2006/math">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t xml:space="preserve"> là tập hợp các tin hợp lệ của mã </w:t>
      </w:r>
      <w:r>
        <w:rPr/>
      </w:r>
      <m:oMath xmlns:m="http://schemas.openxmlformats.org/officeDocument/2006/math">
        <m:r>
          <w:rPr>
            <w:rFonts w:ascii="Cambria Math" w:hAnsi="Cambria Math"/>
          </w:rPr>
          <m:t xml:space="preserve">i</m:t>
        </m:r>
      </m:oMath>
      <w:r>
        <w:rPr/>
        <w:t xml:space="preserve"> được ánh xạ vào ngày </w:t>
      </w:r>
      <w:r>
        <w:rPr/>
      </w:r>
      <m:oMath xmlns:m="http://schemas.openxmlformats.org/officeDocument/2006/math">
        <m:r>
          <w:rPr>
            <w:rFonts w:ascii="Cambria Math" w:hAnsi="Cambria Math"/>
          </w:rPr>
          <m:t xml:space="preserve">t</m:t>
        </m:r>
      </m:oMath>
      <w:r>
        <w:rPr/>
        <w:t xml:space="preserve">, với </w:t>
      </w:r>
      <w:r>
        <w:rPr/>
      </w:r>
      <m:oMath xmlns:m="http://schemas.openxmlformats.org/officeDocument/2006/math">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m:t>
        </m:r>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m:rPr>
            <m:lit/>
            <m:nor/>
          </m:rPr>
          <w:rPr>
            <w:rFonts w:ascii="Cambria Math" w:hAnsi="Cambria Math"/>
          </w:rPr>
          <m:t xml:space="preserve">|</m:t>
        </m:r>
      </m:oMath>
      <w:r>
        <w:rPr/>
        <w:t xml:space="preserve">. Xác suất trung bình của lớp </w:t>
      </w:r>
      <w:r>
        <w:rPr/>
      </w:r>
      <m:oMath xmlns:m="http://schemas.openxmlformats.org/officeDocument/2006/math">
        <m:r>
          <w:rPr>
            <w:rFonts w:ascii="Cambria Math" w:hAnsi="Cambria Math"/>
          </w:rPr>
          <m:t xml:space="preserve">c</m:t>
        </m:r>
      </m:oMath>
      <w:r>
        <w:rPr/>
        <w:t xml:space="preserve"> được tính như sau:</w:t>
      </w:r>
    </w:p>
    <w:p>
      <w:pPr>
        <w:pStyle w:val="BodyText"/>
        <w:jc w:val="center"/>
        <w:rPr/>
      </w:pPr>
      <w:bookmarkStart w:id="125" w:name="eq%2525253Adaily-sentiment"/>
      <w:r>
        <w:rPr/>
      </w:r>
      <m:oMathPara xmlns:m="http://schemas.openxmlformats.org/officeDocument/2006/math">
        <m:oMathParaPr>
          <m:jc m:val="center"/>
        </m:oMathParaPr>
        <m:oMath>
          <m:sSub>
            <m:e>
              <m:acc>
                <m:accPr>
                  <m:chr m:val="´"/>
                </m:accPr>
                <m:e>
                  <m:r>
                    <w:rPr>
                      <w:rFonts w:ascii="Cambria Math" w:hAnsi="Cambria Math"/>
                    </w:rPr>
                    <m:t xml:space="preserve">p</m:t>
                  </m:r>
                </m:e>
              </m:acc>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ub>
            <m:sup/>
            <m:e>
              <m:sSub>
                <m:e>
                  <m:r>
                    <w:rPr>
                      <w:rFonts w:ascii="Cambria Math" w:hAnsi="Cambria Math"/>
                    </w:rPr>
                    <m:t xml:space="preserve">p</m:t>
                  </m:r>
                </m:e>
                <m:sub>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c</m:t>
                  </m:r>
                </m:sub>
              </m:sSub>
            </m:e>
          </m:nary>
          <m:r>
            <w:rPr>
              <w:rFonts w:ascii="Cambria Math" w:hAnsi="Cambria Math"/>
            </w:rPr>
            <m:t xml:space="preserve">,</m:t>
          </m:r>
          <m:sSub>
            <m:e>
              <m:r>
                <w:rPr>
                  <w:rFonts w:ascii="Cambria Math" w:hAnsi="Cambria Math"/>
                </w:rPr>
                <m:t xml:space="preserve">n</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3.12</m:t>
          </m:r>
          <m:r>
            <w:rPr>
              <w:rFonts w:ascii="Cambria Math" w:hAnsi="Cambria Math"/>
            </w:rPr>
            <m:t xml:space="preserve">)</m:t>
          </m:r>
        </m:oMath>
      </m:oMathPara>
      <w:bookmarkEnd w:id="125"/>
    </w:p>
    <w:p>
      <w:pPr>
        <w:pStyle w:val="FirstParagraph"/>
        <w:rPr/>
      </w:pPr>
      <w:r>
        <w:rPr/>
        <w:t xml:space="preserve">Vector đặc trưng cảm xúc bao gồm </w:t>
      </w:r>
      <w:r>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N</m:t>
            </m:r>
            <m:r>
              <w:rPr>
                <w:rFonts w:ascii="Cambria Math" w:hAnsi="Cambria Math"/>
              </w:rPr>
              <m:t xml:space="preserve">E</m:t>
            </m:r>
            <m:r>
              <w:rPr>
                <w:rFonts w:ascii="Cambria Math" w:hAnsi="Cambria Math"/>
              </w:rPr>
              <m:t xml:space="preserve">G</m:t>
            </m:r>
          </m:sub>
        </m:sSub>
      </m:oMath>
      <w:r>
        <w:rPr/>
        <w:t xml:space="preserve">, </w:t>
      </w:r>
      <w:r>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N</m:t>
            </m:r>
            <m:r>
              <w:rPr>
                <w:rFonts w:ascii="Cambria Math" w:hAnsi="Cambria Math"/>
              </w:rPr>
              <m:t xml:space="preserve">E</m:t>
            </m:r>
            <m:r>
              <w:rPr>
                <w:rFonts w:ascii="Cambria Math" w:hAnsi="Cambria Math"/>
              </w:rPr>
              <m:t xml:space="preserve">U</m:t>
            </m:r>
          </m:sub>
        </m:sSub>
      </m:oMath>
      <w:r>
        <w:rPr/>
        <w:t xml:space="preserve">, </w:t>
      </w:r>
      <w:r>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P</m:t>
            </m:r>
            <m:r>
              <w:rPr>
                <w:rFonts w:ascii="Cambria Math" w:hAnsi="Cambria Math"/>
              </w:rPr>
              <m:t xml:space="preserve">O</m:t>
            </m:r>
            <m:r>
              <w:rPr>
                <w:rFonts w:ascii="Cambria Math" w:hAnsi="Cambria Math"/>
              </w:rPr>
              <m:t xml:space="preserve">S</m:t>
            </m:r>
          </m:sub>
        </m:sSub>
      </m:oMath>
      <w:r>
        <w:rPr/>
        <w:t xml:space="preserve">, chênh lệch </w:t>
      </w:r>
      <w:r>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P</m:t>
            </m:r>
            <m:r>
              <w:rPr>
                <w:rFonts w:ascii="Cambria Math" w:hAnsi="Cambria Math"/>
              </w:rPr>
              <m:t xml:space="preserve">O</m:t>
            </m:r>
            <m:r>
              <w:rPr>
                <w:rFonts w:ascii="Cambria Math" w:hAnsi="Cambria Math"/>
              </w:rPr>
              <m:t xml:space="preserve">S</m:t>
            </m:r>
          </m:sub>
        </m:sSub>
        <m:r>
          <w:rPr>
            <w:rFonts w:ascii="Cambria Math" w:hAnsi="Cambria Math"/>
          </w:rPr>
          <m:t xml:space="preserve">−</m:t>
        </m:r>
        <m:sSub>
          <m:e>
            <m:acc>
              <m:accPr>
                <m:chr m:val="´"/>
              </m:accPr>
              <m:e>
                <m:r>
                  <w:rPr>
                    <w:rFonts w:ascii="Cambria Math" w:hAnsi="Cambria Math"/>
                  </w:rPr>
                  <m:t xml:space="preserve">p</m:t>
                </m:r>
              </m:e>
            </m:acc>
          </m:e>
          <m:sub>
            <m:r>
              <w:rPr>
                <w:rFonts w:ascii="Cambria Math" w:hAnsi="Cambria Math"/>
              </w:rPr>
              <m:t xml:space="preserve">N</m:t>
            </m:r>
            <m:r>
              <w:rPr>
                <w:rFonts w:ascii="Cambria Math" w:hAnsi="Cambria Math"/>
              </w:rPr>
              <m:t xml:space="preserve">E</m:t>
            </m:r>
            <m:r>
              <w:rPr>
                <w:rFonts w:ascii="Cambria Math" w:hAnsi="Cambria Math"/>
              </w:rPr>
              <m:t xml:space="preserve">G</m:t>
            </m:r>
          </m:sub>
        </m:sSub>
      </m:oMath>
      <w:r>
        <w:rPr/>
        <w:t xml:space="preserve">, số tin, độ lệch chuẩn của xác suất, tỷ lệ tin tích cực hoặc tiêu cực và biến nhị phân </w:t>
      </w:r>
      <w:r>
        <w:rPr>
          <w:rStyle w:val="VerbatimChar"/>
        </w:rPr>
        <w:t>has_news</w:t>
      </w:r>
      <w:r>
        <w:rPr/>
        <w:t>. Có thể bổ sung các cửa sổ tổng hợp ngắn hạn, chẳng hạn một ngày, ba ngày hoặc năm ngày giao dịch gần nhất, để kiểm tra khả năng tín hiệu tiếp tục kéo dài sau ngày công bố.</w:t>
      </w:r>
    </w:p>
    <w:p>
      <w:pPr>
        <w:pStyle w:val="BodyText"/>
        <w:rPr/>
      </w:pPr>
      <w:r>
        <w:rPr/>
        <w:t xml:space="preserve">Trong cấu hình mức sàn, ngày không có tin được gán vector xác suất theo tiên nghiệm trung tính; số tin và các tỷ lệ được đặt bằng không, đồng thời </w:t>
      </w:r>
      <w:r>
        <w:rPr>
          <w:rStyle w:val="VerbatimChar"/>
        </w:rPr>
        <w:t>has_news</w:t>
      </w:r>
      <w:r>
        <w:rPr/>
        <w:t xml:space="preserve">=0. Ngày chỉ có tin trung tính vẫn có số tin dương và </w:t>
      </w:r>
      <w:r>
        <w:rPr>
          <w:rStyle w:val="VerbatimChar"/>
        </w:rPr>
        <w:t>has_news</w:t>
      </w:r>
      <w:r>
        <w:rPr/>
        <w:t>=1, do đó hai trường hợp này được phân biệt. Ngoài cấu hình chính, có thể so sánh phương án đặt vector bằng không hoặc giữ giá trị gần nhất trong một giới hạn thời gian trên tập xác thực. Cách biểu diễn ngày không có tin không được lựa chọn dựa trên điểm của đoạn kiểm thử.</w:t>
      </w:r>
    </w:p>
    <w:p>
      <w:pPr>
        <w:pStyle w:val="BodyText"/>
        <w:rPr/>
      </w:pPr>
      <w:r>
        <w:rPr/>
        <w:t>Các đặc trưng được tổng hợp sau mốc cắt. Số tin hoặc xác suất của bài đăng sau mốc cắt không được sử dụng để mô tả ngày đã kết thúc. Nếu một bài được gắn với nhiều mã, phương pháp nhân bản đặc trưng phải được ghi rõ để tránh xem bài đó là nhiều quan sát độc lập khi phân tích độ không chắc chắn. Mức độ phủ tin, số lượng bài và tỷ lệ bản ghi bị loại cũng được lưu lại, qua đó giúp người đọc phân biệt giữa “không có tin” và “có tin nhưng mô hình không chắc chắn” khi diễn giải một ngày có ít tín hiệu.</w:t>
      </w:r>
      <w:bookmarkEnd w:id="116"/>
      <w:bookmarkEnd w:id="124"/>
    </w:p>
    <w:p>
      <w:pPr>
        <w:pStyle w:val="Heading2"/>
        <w:rPr/>
      </w:pPr>
      <w:bookmarkStart w:id="126" w:name="__RefHeading___Toc11022_2435329662"/>
      <w:bookmarkStart w:id="127" w:name="sec%2525253App-ghep"/>
      <w:bookmarkEnd w:id="126"/>
      <w:r>
        <w:rPr>
          <w:rFonts w:eastAsia="Times New Roman" w:cs="Times New Roman" w:ascii="Times New Roman" w:hAnsi="Times New Roman"/>
        </w:rPr>
        <w:t>3.4. Nhánh giá và ghép đặc trưng</w:t>
      </w:r>
    </w:p>
    <w:p>
      <w:pPr>
        <w:pStyle w:val="Heading3"/>
        <w:rPr/>
      </w:pPr>
      <w:bookmarkStart w:id="128" w:name="__RefHeading___Toc11024_2435329662"/>
      <w:bookmarkStart w:id="129" w:name="đặc-trưng-kỹ-thuật"/>
      <w:bookmarkEnd w:id="128"/>
      <w:r>
        <w:rPr>
          <w:rFonts w:eastAsia="Times New Roman" w:cs="Times New Roman"/>
        </w:rPr>
        <w:t>3.4.1. Đặc trưng kỹ thuật</w:t>
      </w:r>
    </w:p>
    <w:p>
      <w:pPr>
        <w:pStyle w:val="FirstParagraph"/>
        <w:rPr/>
      </w:pPr>
      <w:r>
        <w:rPr/>
        <w:t>Từ dữ liệu OHLCV đã điều chỉnh, hệ thống xây dựng các nhóm đặc trưng sau:</w:t>
      </w:r>
    </w:p>
    <w:p>
      <w:pPr>
        <w:pStyle w:val="Normal"/>
        <w:numPr>
          <w:ilvl w:val="0"/>
          <w:numId w:val="1"/>
        </w:numPr>
        <w:rPr/>
      </w:pPr>
      <w:r>
        <w:rPr/>
        <w:t>Lợi suất ngày và lợi suất log;</w:t>
      </w:r>
    </w:p>
    <w:p>
      <w:pPr>
        <w:pStyle w:val="Normal"/>
        <w:numPr>
          <w:ilvl w:val="0"/>
          <w:numId w:val="1"/>
        </w:numPr>
        <w:rPr/>
      </w:pPr>
      <w:r>
        <w:rPr/>
        <w:t>Tỷ lệ giữa giá đóng cửa và trung bình động năm phiên;</w:t>
      </w:r>
    </w:p>
    <w:p>
      <w:pPr>
        <w:pStyle w:val="Normal"/>
        <w:numPr>
          <w:ilvl w:val="0"/>
          <w:numId w:val="1"/>
        </w:numPr>
        <w:rPr/>
      </w:pPr>
      <w:r>
        <w:rPr/>
        <w:t>Mức thay đổi khối lượng trong một phiên;</w:t>
      </w:r>
    </w:p>
    <w:p>
      <w:pPr>
        <w:pStyle w:val="Normal"/>
        <w:numPr>
          <w:ilvl w:val="0"/>
          <w:numId w:val="1"/>
        </w:numPr>
        <w:rPr/>
      </w:pPr>
      <w:r>
        <w:rPr/>
        <w:t>Độ lệch chuẩn của lợi suất trong cửa sổ năm phiên để biểu diễn độ biến động;</w:t>
      </w:r>
    </w:p>
    <w:p>
      <w:pPr>
        <w:pStyle w:val="Normal"/>
        <w:numPr>
          <w:ilvl w:val="0"/>
          <w:numId w:val="1"/>
        </w:numPr>
        <w:rPr/>
      </w:pPr>
      <w:r>
        <w:rPr/>
        <w:t>Số lượng tin, xác suất cảm xúc tổng hợp, tỷ lệ lớp và biến chỉ báo có tin.</w:t>
      </w:r>
    </w:p>
    <w:p>
      <w:pPr>
        <w:pStyle w:val="FirstParagraph"/>
        <w:rPr/>
      </w:pPr>
      <w:r>
        <w:rPr/>
        <w:t xml:space="preserve">Các đặc trưng được tính từ dữ liệu có sẵn đến ngày quan sát </w:t>
      </w:r>
      <w:r>
        <w:rPr/>
      </w:r>
      <m:oMath xmlns:m="http://schemas.openxmlformats.org/officeDocument/2006/math">
        <m:r>
          <w:rPr>
            <w:rFonts w:ascii="Cambria Math" w:hAnsi="Cambria Math"/>
          </w:rPr>
          <m:t xml:space="preserve">t</m:t>
        </m:r>
      </m:oMath>
      <w:r>
        <w:rPr/>
        <w:t>. Nhằm giảm mức độ phụ thuộc vào giá tuyệt đối, các đại lượng có đơn vị giá được chuyển thành tỷ lệ hoặc sai khác tương đối. Mỗi đặc trưng chỉ sử dụng thông tin trong quá khứ và không sử dụng giá của phiên kế tiếp. Các hàng ở đầu chuỗi chưa có đủ dữ liệu lịch sử được giữ ở dạng khuyết và loại bỏ khi tạo cửa sổ. Bộ chuẩn hóa chỉ được ước lượng một lần trên phần huấn luyện, sau đó được áp dụng nguyên trạng cho các phần xác thực và kiểm thử.</w:t>
      </w:r>
      <w:bookmarkEnd w:id="129"/>
    </w:p>
    <w:p>
      <w:pPr>
        <w:pStyle w:val="Heading3"/>
        <w:rPr/>
      </w:pPr>
      <w:bookmarkStart w:id="130" w:name="__RefHeading___Toc11026_2435329662"/>
      <w:bookmarkStart w:id="131" w:name="căn-chỉnh-hai-nguồn-dữ-liệu"/>
      <w:bookmarkEnd w:id="130"/>
      <w:r>
        <w:rPr>
          <w:rFonts w:eastAsia="Times New Roman" w:cs="Times New Roman"/>
        </w:rPr>
        <w:t>3.4.2. Căn chỉnh hai nguồn dữ liệu</w:t>
      </w:r>
    </w:p>
    <w:p>
      <w:pPr>
        <w:pStyle w:val="FirstParagraph"/>
        <w:rPr/>
      </w:pPr>
      <w:r>
        <w:rPr/>
        <w:t xml:space="preserve">Mỗi dòng trong bảng đặc trưng có khóa </w:t>
      </w:r>
      <w:r>
        <w:rPr/>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oMath>
      <w:r>
        <w:rPr/>
        <w:t xml:space="preserve">, bao gồm vector giá </w:t>
      </w:r>
      <w:r>
        <w:rPr/>
      </w:r>
      <m:oMath xmlns:m="http://schemas.openxmlformats.org/officeDocument/2006/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p</m:t>
            </m:r>
          </m:sup>
        </m:sSubSup>
      </m:oMath>
      <w:r>
        <w:rPr/>
        <w:t xml:space="preserve">, vector cảm xúc </w:t>
      </w:r>
      <w:r>
        <w:rPr/>
      </w:r>
      <m:oMath xmlns:m="http://schemas.openxmlformats.org/officeDocument/2006/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s</m:t>
            </m:r>
          </m:sup>
        </m:sSubSup>
      </m:oMath>
      <w:r>
        <w:rPr/>
        <w:t xml:space="preserve">, cờ chất lượng, thông tin mã và nhãn mục tiêu. Với cửa sổ quan sát có độ dài </w:t>
      </w:r>
      <w:r>
        <w:rPr/>
      </w:r>
      <m:oMath xmlns:m="http://schemas.openxmlformats.org/officeDocument/2006/math">
        <m:r>
          <w:rPr>
            <w:rFonts w:ascii="Cambria Math" w:hAnsi="Cambria Math"/>
          </w:rPr>
          <m:t xml:space="preserve">L</m:t>
        </m:r>
      </m:oMath>
      <w:r>
        <w:rPr/>
        <w:t xml:space="preserve">, đầu vào của mô hình tại ngày </w:t>
      </w:r>
      <w:r>
        <w:rPr/>
      </w:r>
      <m:oMath xmlns:m="http://schemas.openxmlformats.org/officeDocument/2006/math">
        <m:r>
          <w:rPr>
            <w:rFonts w:ascii="Cambria Math" w:hAnsi="Cambria Math"/>
          </w:rPr>
          <m:t xml:space="preserve">t</m:t>
        </m:r>
      </m:oMath>
      <w:r>
        <w:rPr/>
        <w:t xml:space="preserve"> được xác định như sau:</w:t>
      </w:r>
    </w:p>
    <w:p>
      <w:pPr>
        <w:pStyle w:val="BodyText"/>
        <w:jc w:val="center"/>
        <w:rPr/>
      </w:pPr>
      <w:bookmarkStart w:id="132" w:name="eq%2525253Ainput-windows"/>
      <w:r>
        <w:rPr/>
      </w:r>
      <m:oMathPara xmlns:m="http://schemas.openxmlformats.org/officeDocument/2006/math">
        <m:oMathParaPr>
          <m:jc m:val="center"/>
        </m:oMathParaPr>
        <m:oMath>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p</m:t>
              </m:r>
            </m:sup>
          </m:sSubSup>
          <m:r>
            <w:rPr>
              <w:rFonts w:ascii="Cambria Math" w:hAnsi="Cambria Math"/>
            </w:rPr>
            <m:t xml:space="preserve">=</m:t>
          </m:r>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1</m:t>
              </m:r>
            </m:sub>
            <m:sup>
              <m:r>
                <w:rPr>
                  <w:rFonts w:ascii="Cambria Math" w:hAnsi="Cambria Math"/>
                </w:rPr>
                <m:t xml:space="preserve">p</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p</m:t>
              </m:r>
            </m:sup>
          </m:sSubSup>
          <m:r>
            <w:rPr>
              <w:rFonts w:ascii="Cambria Math" w:hAnsi="Cambria Math"/>
            </w:rPr>
            <m:t xml:space="preserve">]</m:t>
          </m:r>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s</m:t>
              </m:r>
            </m:sup>
          </m:sSubSup>
          <m:r>
            <w:rPr>
              <w:rFonts w:ascii="Cambria Math" w:hAnsi="Cambria Math"/>
            </w:rPr>
            <m:t xml:space="preserve">=</m:t>
          </m:r>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1</m:t>
              </m:r>
            </m:sub>
            <m:sup>
              <m:r>
                <w:rPr>
                  <w:rFonts w:ascii="Cambria Math" w:hAnsi="Cambria Math"/>
                </w:rPr>
                <m:t xml:space="preserve">s</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s</m:t>
              </m:r>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3.13</m:t>
          </m:r>
          <m:r>
            <w:rPr>
              <w:rFonts w:ascii="Cambria Math" w:hAnsi="Cambria Math"/>
            </w:rPr>
            <m:t xml:space="preserve">)</m:t>
          </m:r>
        </m:oMath>
      </m:oMathPara>
      <w:bookmarkEnd w:id="132"/>
    </w:p>
    <w:p>
      <w:pPr>
        <w:pStyle w:val="FirstParagraph"/>
        <w:rPr/>
      </w:pPr>
      <w:r>
        <w:rPr/>
        <w:t>Các mã được phân chia theo ngày nhằm bảo đảm rằng mọi mẫu trong cùng một phần chia sử dụng cùng mốc lịch. Đối với ngày không có tin, vector cảm xúc vẫn được tạo theo quy tắc nêu trên. Không loại bỏ ngày một cách có chọn lọc vì thao tác này có thể làm sai lệch phép so sánh giữa giai đoạn có nhiều tin và giai đoạn có ít tin. Đối với những ngày thiếu dữ liệu giá hoặc chưa có đủ lịch sử, lý do loại bỏ phải được ghi rõ; không loại riêng các ngày khó dự báo.</w:t>
      </w:r>
      <w:bookmarkEnd w:id="131"/>
    </w:p>
    <w:p>
      <w:pPr>
        <w:pStyle w:val="Heading3"/>
        <w:rPr/>
      </w:pPr>
      <w:bookmarkStart w:id="133" w:name="__RefHeading___Toc11028_2435329662"/>
      <w:bookmarkStart w:id="134" w:name="gán-nhãn-xu-hướng-phiên-kế-tiếp"/>
      <w:bookmarkEnd w:id="133"/>
      <w:r>
        <w:rPr>
          <w:rFonts w:eastAsia="Times New Roman" w:cs="Times New Roman"/>
        </w:rPr>
        <w:t>3.4.3. Gán nhãn xu hướng phiên kế tiếp</w:t>
      </w:r>
    </w:p>
    <w:p>
      <w:pPr>
        <w:pStyle w:val="FirstParagraph"/>
        <w:rPr/>
      </w:pPr>
      <w:r>
        <w:rPr/>
        <w:t>Lợi suất mục tiêu được tính theo Phương trình </w:t>
      </w:r>
      <w:hyperlink w:anchor="eq%2525253Anext-return">
        <w:r>
          <w:rPr>
            <w:rStyle w:val="Hyperlink"/>
          </w:rPr>
          <w:t>3.9</w:t>
        </w:r>
      </w:hyperlink>
      <w:r>
        <w:rPr/>
        <w:t xml:space="preserve">. Với cửa sổ huấn luyện </w:t>
      </w:r>
      <w:r>
        <w:rPr/>
      </w:r>
      <m:oMath xmlns:m="http://schemas.openxmlformats.org/officeDocument/2006/math">
        <m:r>
          <w:rPr>
            <w:rFonts w:ascii="Cambria Math" w:hAnsi="Cambria Math"/>
          </w:rPr>
          <m:t xml:space="preserve">w</m:t>
        </m:r>
      </m:oMath>
      <w:r>
        <w:rPr/>
        <w:t xml:space="preserve">, hai phân vị </w:t>
      </w:r>
      <w:r>
        <w:rPr/>
      </w:r>
      <m:oMath xmlns:m="http://schemas.openxmlformats.org/officeDocument/2006/math">
        <m:sSubSup>
          <m:e>
            <m:r>
              <w:rPr>
                <w:rFonts w:ascii="Cambria Math" w:hAnsi="Cambria Math"/>
              </w:rPr>
              <m:t xml:space="preserve">q</m:t>
            </m:r>
          </m:e>
          <m:sub>
            <m:r>
              <w:rPr>
                <w:rFonts w:ascii="Cambria Math" w:hAnsi="Cambria Math"/>
              </w:rPr>
              <m:t xml:space="preserve">w</m:t>
            </m:r>
          </m:sub>
          <m:sup>
            <m:r>
              <w:rPr>
                <w:rFonts w:ascii="Cambria Math" w:hAnsi="Cambria Math"/>
              </w:rPr>
              <m:t xml:space="preserve">−</m:t>
            </m:r>
          </m:sup>
        </m:sSubSup>
      </m:oMath>
      <w:r>
        <w:rPr/>
        <w:t xml:space="preserve"> và </w:t>
      </w:r>
      <w:r>
        <w:rPr/>
      </w:r>
      <m:oMath xmlns:m="http://schemas.openxmlformats.org/officeDocument/2006/math">
        <m:sSubSup>
          <m:e>
            <m:r>
              <w:rPr>
                <w:rFonts w:ascii="Cambria Math" w:hAnsi="Cambria Math"/>
              </w:rPr>
              <m:t xml:space="preserve">q</m:t>
            </m:r>
          </m:e>
          <m:sub>
            <m:r>
              <w:rPr>
                <w:rFonts w:ascii="Cambria Math" w:hAnsi="Cambria Math"/>
              </w:rPr>
              <m:t xml:space="preserve">w</m:t>
            </m:r>
          </m:sub>
          <m:sup>
            <m:r>
              <m:rPr>
                <m:lit/>
                <m:nor/>
              </m:rPr>
              <w:rPr>
                <w:rFonts w:ascii="Cambria Math" w:hAnsi="Cambria Math"/>
              </w:rPr>
              <m:t xml:space="preserve">+</m:t>
            </m:r>
          </m:sup>
        </m:sSubSup>
      </m:oMath>
      <w:r>
        <w:rPr/>
        <w:t xml:space="preserve"> được xác định từ lợi suất chỉ thuộc phần huấn luyện. Quy tắc phân lớp được xác định như sau:</w:t>
      </w:r>
    </w:p>
    <w:p>
      <w:pPr>
        <w:pStyle w:val="BodyText"/>
        <w:jc w:val="center"/>
        <w:rPr/>
      </w:pPr>
      <w:bookmarkStart w:id="135" w:name="eq%2525253Atrend-label"/>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m>
                <m:mr>
                  <m:e>
                    <m:r>
                      <w:rPr>
                        <w:rFonts w:ascii="Cambria Math" w:hAnsi="Cambria Math"/>
                      </w:rPr>
                      <m:t xml:space="preserve">D</m:t>
                    </m:r>
                    <m:r>
                      <w:rPr>
                        <w:rFonts w:ascii="Cambria Math" w:hAnsi="Cambria Math"/>
                      </w:rPr>
                      <m:t xml:space="preserve">O</m:t>
                    </m:r>
                    <m:r>
                      <w:rPr>
                        <w:rFonts w:ascii="Cambria Math" w:hAnsi="Cambria Math"/>
                      </w:rPr>
                      <m:t xml:space="preserve">W</m:t>
                    </m:r>
                    <m:r>
                      <w:rPr>
                        <w:rFonts w:ascii="Cambria Math" w:hAnsi="Cambria Math"/>
                      </w:rPr>
                      <m:t xml:space="preserve">N</m:t>
                    </m:r>
                    <m:r>
                      <w:rPr>
                        <w:rFonts w:ascii="Cambria Math" w:hAnsi="Cambria Math"/>
                      </w:rPr>
                      <m:t xml:space="preserve">,</m:t>
                    </m:r>
                  </m:e>
                  <m:e>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&lt;</m:t>
                    </m:r>
                    <m:sSubSup>
                      <m:e>
                        <m:r>
                          <w:rPr>
                            <w:rFonts w:ascii="Cambria Math" w:hAnsi="Cambria Math"/>
                          </w:rPr>
                          <m:t xml:space="preserve">q</m:t>
                        </m:r>
                      </m:e>
                      <m:sub>
                        <m:r>
                          <w:rPr>
                            <w:rFonts w:ascii="Cambria Math" w:hAnsi="Cambria Math"/>
                          </w:rPr>
                          <m:t xml:space="preserve">w</m:t>
                        </m:r>
                      </m:sub>
                      <m:sup>
                        <m:r>
                          <w:rPr>
                            <w:rFonts w:ascii="Cambria Math" w:hAnsi="Cambria Math"/>
                          </w:rPr>
                          <m:t xml:space="preserve">−</m:t>
                        </m:r>
                      </m:sup>
                    </m:sSubSup>
                    <m:r>
                      <w:rPr>
                        <w:rFonts w:ascii="Cambria Math" w:hAnsi="Cambria Math"/>
                      </w:rPr>
                      <m:t xml:space="preserve">,</m:t>
                    </m:r>
                  </m:e>
                </m:mr>
                <m:mr>
                  <m:e>
                    <m:r>
                      <w:rPr>
                        <w:rFonts w:ascii="Cambria Math" w:hAnsi="Cambria Math"/>
                      </w:rPr>
                      <m:t xml:space="preserve">F</m:t>
                    </m:r>
                    <m:r>
                      <w:rPr>
                        <w:rFonts w:ascii="Cambria Math" w:hAnsi="Cambria Math"/>
                      </w:rPr>
                      <m:t xml:space="preserve">L</m:t>
                    </m:r>
                    <m:r>
                      <w:rPr>
                        <w:rFonts w:ascii="Cambria Math" w:hAnsi="Cambria Math"/>
                      </w:rPr>
                      <m:t xml:space="preserve">A</m:t>
                    </m:r>
                    <m:r>
                      <w:rPr>
                        <w:rFonts w:ascii="Cambria Math" w:hAnsi="Cambria Math"/>
                      </w:rPr>
                      <m:t xml:space="preserve">T</m:t>
                    </m:r>
                    <m:r>
                      <w:rPr>
                        <w:rFonts w:ascii="Cambria Math" w:hAnsi="Cambria Math"/>
                      </w:rPr>
                      <m:t xml:space="preserve">,</m:t>
                    </m:r>
                  </m:e>
                  <m:e>
                    <m:sSubSup>
                      <m:e>
                        <m:r>
                          <w:rPr>
                            <w:rFonts w:ascii="Cambria Math" w:hAnsi="Cambria Math"/>
                          </w:rPr>
                          <m:t xml:space="preserve">q</m:t>
                        </m:r>
                      </m:e>
                      <m:sub>
                        <m:r>
                          <w:rPr>
                            <w:rFonts w:ascii="Cambria Math" w:hAnsi="Cambria Math"/>
                          </w:rPr>
                          <m:t xml:space="preserve">w</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q</m:t>
                        </m:r>
                      </m:e>
                      <m:sub>
                        <m:r>
                          <w:rPr>
                            <w:rFonts w:ascii="Cambria Math" w:hAnsi="Cambria Math"/>
                          </w:rPr>
                          <m:t xml:space="preserve">w</m:t>
                        </m:r>
                      </m:sub>
                      <m:sup>
                        <m:r>
                          <m:rPr>
                            <m:lit/>
                            <m:nor/>
                          </m:rPr>
                          <w:rPr>
                            <w:rFonts w:ascii="Cambria Math" w:hAnsi="Cambria Math"/>
                          </w:rPr>
                          <m:t xml:space="preserve">+</m:t>
                        </m:r>
                      </m:sup>
                    </m:sSubSup>
                    <m:r>
                      <w:rPr>
                        <w:rFonts w:ascii="Cambria Math" w:hAnsi="Cambria Math"/>
                      </w:rPr>
                      <m:t xml:space="preserve">,</m:t>
                    </m:r>
                  </m:e>
                </m:mr>
                <m:mr>
                  <m:e>
                    <m:r>
                      <w:rPr>
                        <w:rFonts w:ascii="Cambria Math" w:hAnsi="Cambria Math"/>
                      </w:rPr>
                      <m:t xml:space="preserve">U</m:t>
                    </m:r>
                    <m:r>
                      <w:rPr>
                        <w:rFonts w:ascii="Cambria Math" w:hAnsi="Cambria Math"/>
                      </w:rPr>
                      <m:t xml:space="preserve">P</m:t>
                    </m:r>
                    <m:r>
                      <w:rPr>
                        <w:rFonts w:ascii="Cambria Math" w:hAnsi="Cambria Math"/>
                      </w:rPr>
                      <m:t xml:space="preserve">,</m:t>
                    </m:r>
                  </m:e>
                  <m:e>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&gt;</m:t>
                    </m:r>
                    <m:sSubSup>
                      <m:e>
                        <m:r>
                          <w:rPr>
                            <w:rFonts w:ascii="Cambria Math" w:hAnsi="Cambria Math"/>
                          </w:rPr>
                          <m:t xml:space="preserve">q</m:t>
                        </m:r>
                      </m:e>
                      <m:sub>
                        <m:r>
                          <w:rPr>
                            <w:rFonts w:ascii="Cambria Math" w:hAnsi="Cambria Math"/>
                          </w:rPr>
                          <m:t xml:space="preserve">w</m:t>
                        </m:r>
                      </m:sub>
                      <m:sup>
                        <m:r>
                          <m:rPr>
                            <m:lit/>
                            <m:nor/>
                          </m:rPr>
                          <w:rPr>
                            <w:rFonts w:ascii="Cambria Math" w:hAnsi="Cambria Math"/>
                          </w:rPr>
                          <m:t xml:space="preserve">+</m:t>
                        </m:r>
                      </m:sup>
                    </m:sSubSup>
                    <m:r>
                      <w:rPr>
                        <w:rFonts w:ascii="Cambria Math" w:hAnsi="Cambria Math"/>
                      </w:rPr>
                      <m:t xml:space="preserve">.</m:t>
                    </m:r>
                  </m:e>
                </m:mr>
              </m:m>
            </m:e>
          </m:d>
          <m:r>
            <w:rPr>
              <w:rFonts w:ascii="Cambria Math" w:hAnsi="Cambria Math"/>
            </w:rPr>
            <m:t xml:space="preserve">(</m:t>
          </m:r>
          <m:r>
            <w:rPr>
              <w:rFonts w:ascii="Cambria Math" w:hAnsi="Cambria Math"/>
            </w:rPr>
            <m:t xml:space="preserve">3.14</m:t>
          </m:r>
          <m:r>
            <w:rPr>
              <w:rFonts w:ascii="Cambria Math" w:hAnsi="Cambria Math"/>
            </w:rPr>
            <m:t xml:space="preserve">)</m:t>
          </m:r>
        </m:oMath>
      </m:oMathPara>
      <w:bookmarkEnd w:id="135"/>
    </w:p>
    <w:p>
      <w:pPr>
        <w:pStyle w:val="FirstParagraph"/>
        <w:rPr/>
      </w:pPr>
      <w:r>
        <w:rPr/>
        <w:t xml:space="preserve">Trong giao thức chính, </w:t>
      </w:r>
      <w:r>
        <w:rPr/>
      </w:r>
      <m:oMath xmlns:m="http://schemas.openxmlformats.org/officeDocument/2006/math">
        <m:sSubSup>
          <m:e>
            <m:r>
              <w:rPr>
                <w:rFonts w:ascii="Cambria Math" w:hAnsi="Cambria Math"/>
              </w:rPr>
              <m:t xml:space="preserve">q</m:t>
            </m:r>
          </m:e>
          <m:sub>
            <m:r>
              <w:rPr>
                <w:rFonts w:ascii="Cambria Math" w:hAnsi="Cambria Math"/>
              </w:rPr>
              <m:t xml:space="preserve">w</m:t>
            </m:r>
          </m:sub>
          <m:sup>
            <m:r>
              <w:rPr>
                <w:rFonts w:ascii="Cambria Math" w:hAnsi="Cambria Math"/>
              </w:rPr>
              <m:t xml:space="preserve">−</m:t>
            </m:r>
          </m:sup>
        </m:sSubSup>
      </m:oMath>
      <w:r>
        <w:rPr/>
        <w:t xml:space="preserve"> và </w:t>
      </w:r>
      <w:r>
        <w:rPr/>
      </w:r>
      <m:oMath xmlns:m="http://schemas.openxmlformats.org/officeDocument/2006/math">
        <m:sSubSup>
          <m:e>
            <m:r>
              <w:rPr>
                <w:rFonts w:ascii="Cambria Math" w:hAnsi="Cambria Math"/>
              </w:rPr>
              <m:t xml:space="preserve">q</m:t>
            </m:r>
          </m:e>
          <m:sub>
            <m:r>
              <w:rPr>
                <w:rFonts w:ascii="Cambria Math" w:hAnsi="Cambria Math"/>
              </w:rPr>
              <m:t xml:space="preserve">w</m:t>
            </m:r>
          </m:sub>
          <m:sup>
            <m:r>
              <m:rPr>
                <m:lit/>
                <m:nor/>
              </m:rPr>
              <w:rPr>
                <w:rFonts w:ascii="Cambria Math" w:hAnsi="Cambria Math"/>
              </w:rPr>
              <m:t xml:space="preserve">+</m:t>
            </m:r>
          </m:sup>
        </m:sSubSup>
      </m:oMath>
      <w:r>
        <w:rPr/>
        <w:t xml:space="preserve"> được lấy từ hai phân vị thấp và cao đã được khóa trong cấu hình. Nếu sử dụng ngưỡng cố định, giá trị ngưỡng phải được ghi rõ và không được điều chỉnh dựa trên kết quả kiểm thử. Việc chọn ngưỡng cũng phải cân bằng hai yêu cầu: lớp đi ngang cần phản ánh các biến động nhỏ chưa có hướng rõ rệt, đồng thời phân bố ba lớp không nên mất cân bằng đến mức mô hình có thể đạt điểm cao chỉ bằng cách dự đoán lớp phổ biến. Việc ước lượng ngưỡng trên tập huấn luyện giúp tránh để phân phối lợi suất tương lai quyết định trước tỷ lệ lớp của giai đoạn quá khứ. Phân bố nhãn được báo cáo theo từng mã và từng giai đoạn để người đọc đánh giá độ khó của bài toán.</w:t>
      </w:r>
      <w:bookmarkEnd w:id="134"/>
    </w:p>
    <w:p>
      <w:pPr>
        <w:pStyle w:val="Heading3"/>
        <w:rPr/>
      </w:pPr>
      <w:bookmarkStart w:id="136" w:name="__RefHeading___Toc11030_2435329662"/>
      <w:bookmarkStart w:id="137" w:name="hợp-nhất-bằng-lstm-hai-nhánh"/>
      <w:bookmarkEnd w:id="136"/>
      <w:r>
        <w:rPr>
          <w:rFonts w:eastAsia="Times New Roman" w:cs="Times New Roman"/>
        </w:rPr>
        <w:t>3.4.4. Hợp nhất bằng LSTM hai nhánh</w:t>
      </w:r>
    </w:p>
    <w:p>
      <w:pPr>
        <w:pStyle w:val="FirstParagraph"/>
        <w:rPr/>
      </w:pPr>
      <w:r>
        <w:rPr/>
        <w:t>Nhánh giá và nhánh cảm xúc sử dụng hai bộ mã hóa LSTM độc lập:</w:t>
      </w:r>
    </w:p>
    <w:p>
      <w:pPr>
        <w:pStyle w:val="BodyText"/>
        <w:jc w:val="center"/>
        <w:rPr/>
      </w:pPr>
      <w:bookmarkStart w:id="138" w:name="eq%2525253Atwo-branch-encoders"/>
      <w:r>
        <w:rPr/>
      </w:r>
      <m:oMathPara xmlns:m="http://schemas.openxmlformats.org/officeDocument/2006/math">
        <m:oMathParaPr>
          <m:jc m:val="center"/>
        </m:oMathParaPr>
        <m:oMath>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p</m:t>
              </m:r>
            </m:sup>
          </m:sSubSup>
          <m:r>
            <w:rPr>
              <w:rFonts w:ascii="Cambria Math" w:hAnsi="Cambria Math"/>
            </w:rPr>
            <m:t xml:space="preserve">=</m:t>
          </m:r>
          <m:sSub>
            <m:e>
              <m:r>
                <w:rPr>
                  <w:rFonts w:ascii="Cambria Math" w:hAnsi="Cambria Math"/>
                </w:rPr>
                <m:t xml:space="preserve">LSTM</m:t>
              </m:r>
            </m:e>
            <m:sub>
              <m:r>
                <w:rPr>
                  <w:rFonts w:ascii="Cambria Math" w:hAnsi="Cambria Math"/>
                </w:rPr>
                <m:t xml:space="preserve">p</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p</m:t>
              </m:r>
            </m:sup>
          </m:sSubSup>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s</m:t>
              </m:r>
            </m:sup>
          </m:sSubSup>
          <m:r>
            <w:rPr>
              <w:rFonts w:ascii="Cambria Math" w:hAnsi="Cambria Math"/>
            </w:rPr>
            <m:t xml:space="preserve">=</m:t>
          </m:r>
          <m:sSub>
            <m:e>
              <m:r>
                <w:rPr>
                  <w:rFonts w:ascii="Cambria Math" w:hAnsi="Cambria Math"/>
                </w:rPr>
                <m:t xml:space="preserve">LSTM</m:t>
              </m:r>
            </m:e>
            <m:sub>
              <m:r>
                <w:rPr>
                  <w:rFonts w:ascii="Cambria Math" w:hAnsi="Cambria Math"/>
                </w:rPr>
                <m:t xml:space="preserve">s</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s</m:t>
              </m:r>
            </m:sup>
          </m:sSub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3.15</m:t>
          </m:r>
          <m:r>
            <w:rPr>
              <w:rFonts w:ascii="Cambria Math" w:hAnsi="Cambria Math"/>
            </w:rPr>
            <m:t xml:space="preserve">)</m:t>
          </m:r>
        </m:oMath>
      </m:oMathPara>
      <w:bookmarkEnd w:id="138"/>
    </w:p>
    <w:p>
      <w:pPr>
        <w:pStyle w:val="FirstParagraph"/>
        <w:rPr/>
      </w:pPr>
      <w:r>
        <w:rPr/>
        <w:t>Hai trạng thái cuối được nối với nhau và truyền qua tầng phân loại hợp nhất:</w:t>
      </w:r>
    </w:p>
    <w:p>
      <w:pPr>
        <w:pStyle w:val="BodyText"/>
        <w:jc w:val="center"/>
        <w:rPr/>
      </w:pPr>
      <w:bookmarkStart w:id="139" w:name="eq%2525253Afusion-classifie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d>
            <m:dPr>
              <m:begChr m:val="["/>
              <m:endChr m:val="]"/>
            </m:dPr>
            <m:e>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s</m:t>
                  </m:r>
                </m:sup>
              </m:sSubSup>
            </m:e>
          </m:d>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softmax</m:t>
          </m:r>
          <m:d>
            <m:dPr>
              <m:begChr m:val="("/>
              <m:endChr m:val=")"/>
            </m:dPr>
            <m:e>
              <m:sSub>
                <m:e>
                  <m:r>
                    <w:rPr>
                      <w:rFonts w:ascii="Cambria Math" w:hAnsi="Cambria Math"/>
                    </w:rPr>
                    <m:t xml:space="preserve">W</m:t>
                  </m:r>
                </m:e>
                <m:sub>
                  <m:r>
                    <w:rPr>
                      <w:rFonts w:ascii="Cambria Math" w:hAnsi="Cambria Math"/>
                    </w:rPr>
                    <m:t xml:space="preserve">2</m:t>
                  </m:r>
                </m:sub>
              </m:sSub>
              <m:r>
                <w:rPr>
                  <w:rFonts w:ascii="Cambria Math" w:hAnsi="Cambria Math"/>
                </w:rPr>
                <m:t xml:space="preserve">ϕ</m:t>
              </m:r>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e>
          </m:d>
          <m:r>
            <w:rPr>
              <w:rFonts w:ascii="Cambria Math" w:hAnsi="Cambria Math"/>
            </w:rPr>
            <m:t xml:space="preserve">,</m:t>
          </m:r>
          <m:r>
            <w:rPr>
              <w:rFonts w:ascii="Cambria Math" w:hAnsi="Cambria Math"/>
            </w:rPr>
            <m:t xml:space="preserve">(</m:t>
          </m:r>
          <m:r>
            <w:rPr>
              <w:rFonts w:ascii="Cambria Math" w:hAnsi="Cambria Math"/>
            </w:rPr>
            <m:t xml:space="preserve">3.16</m:t>
          </m:r>
          <m:r>
            <w:rPr>
              <w:rFonts w:ascii="Cambria Math" w:hAnsi="Cambria Math"/>
            </w:rPr>
            <m:t xml:space="preserve">)</m:t>
          </m:r>
        </m:oMath>
      </m:oMathPara>
      <w:bookmarkEnd w:id="139"/>
    </w:p>
    <w:p>
      <w:pPr>
        <w:pStyle w:val="FirstParagraph"/>
        <w:rPr/>
      </w:pPr>
      <w:r>
        <w:rPr/>
        <w:t xml:space="preserve">trong đó </w:t>
      </w:r>
      <w:r>
        <w:rPr/>
      </w:r>
      <m:oMath xmlns:m="http://schemas.openxmlformats.org/officeDocument/2006/math">
        <m:r>
          <w:rPr>
            <w:rFonts w:ascii="Cambria Math" w:hAnsi="Cambria Math"/>
          </w:rPr>
          <m:t xml:space="preserve">ϕ</m:t>
        </m:r>
      </m:oMath>
      <w:r>
        <w:rPr/>
        <w:t xml:space="preserve"> là hàm kích hoạt và </w:t>
      </w:r>
      <w:r>
        <w:rPr/>
      </w:r>
      <m:oMath xmlns:m="http://schemas.openxmlformats.org/officeDocument/2006/math">
        <m:acc>
          <m:accPr>
            <m:chr m:val="^"/>
          </m:accPr>
          <m:e>
            <m:r>
              <w:rPr>
                <w:rFonts w:ascii="Cambria Math" w:hAnsi="Cambria Math"/>
              </w:rPr>
              <m:t xml:space="preserve">y</m:t>
            </m:r>
          </m:e>
        </m:acc>
      </m:oMath>
      <w:r>
        <w:rPr/>
        <w:t xml:space="preserve"> biểu diễn xác suất của ba lớp. Mô hình chỉ sử dụng dữ liệu giá gồm nhánh giá và tầng phân loại tương ứng, nhưng không có </w:t>
      </w:r>
      <w:r>
        <w:rPr/>
      </w:r>
      <m:oMath xmlns:m="http://schemas.openxmlformats.org/officeDocument/2006/math">
        <m:sSup>
          <m:e>
            <m:r>
              <w:rPr>
                <w:rFonts w:ascii="Cambria Math" w:hAnsi="Cambria Math"/>
              </w:rPr>
              <m:t xml:space="preserve">h</m:t>
            </m:r>
          </m:e>
          <m:sup>
            <m:r>
              <w:rPr>
                <w:rFonts w:ascii="Cambria Math" w:hAnsi="Cambria Math"/>
              </w:rPr>
              <m:t xml:space="preserve">s</m:t>
            </m:r>
          </m:sup>
        </m:sSup>
      </m:oMath>
      <w:r>
        <w:rPr/>
        <w:t>. Khi so sánh hai mô hình, số chiều ẩn, cửa sổ, hạt giống, ngân sách huấn luyện, tiêu chí dừng sớm và cách ước lượng tiền xử lý phải gần như nhau. Chênh lệch về số lượng tham số do nhánh cảm xúc phải được báo cáo để người đọc đánh giá chính xác mức độ khác biệt giữa hai cấu hình. Nếu hai cấu hình còn có những khác biệt khác ngoài sự hiện diện của thông tin cảm xúc, các khác biệt này phải được xem là yếu tố gây nhiễu trong phép loại bỏ đặc trưng.</w:t>
      </w:r>
      <w:bookmarkEnd w:id="127"/>
      <w:bookmarkEnd w:id="137"/>
    </w:p>
    <w:p>
      <w:pPr>
        <w:pStyle w:val="Heading2"/>
        <w:rPr/>
      </w:pPr>
      <w:bookmarkStart w:id="140" w:name="__RefHeading___Toc11032_2435329662"/>
      <w:bookmarkStart w:id="141" w:name="sec%2525253App-mo-hinh"/>
      <w:bookmarkEnd w:id="140"/>
      <w:r>
        <w:rPr>
          <w:rFonts w:eastAsia="Times New Roman" w:cs="Times New Roman" w:ascii="Times New Roman" w:hAnsi="Times New Roman"/>
        </w:rPr>
        <w:t>3.5. Thang mô hình dự báo</w:t>
      </w:r>
    </w:p>
    <w:p>
      <w:pPr>
        <w:pStyle w:val="FirstParagraph"/>
        <w:rPr/>
      </w:pPr>
      <w:r>
        <w:rPr/>
        <w:t>Đồ án được tổ chức theo nguyên tắc thang tầng. Mỗi tầng giải quyết một câu hỏi kiểm chứng riêng và chỉ được mở rộng sau khi tầng trước đã có dữ liệu hợp lệ.</w:t>
      </w:r>
    </w:p>
    <w:p>
      <w:pPr>
        <w:pStyle w:val="Heading3"/>
        <w:rPr/>
      </w:pPr>
      <w:bookmarkStart w:id="142" w:name="__RefHeading___Toc11034_2435329662"/>
      <w:bookmarkStart w:id="143" w:name="tầng-đối-chứng-cơ-sở"/>
      <w:bookmarkEnd w:id="142"/>
      <w:r>
        <w:rPr>
          <w:rFonts w:eastAsia="Times New Roman" w:cs="Times New Roman"/>
        </w:rPr>
        <w:t>3.5.1. Tầng đối chứng cơ sở</w:t>
      </w:r>
    </w:p>
    <w:p>
      <w:pPr>
        <w:pStyle w:val="FirstParagraph"/>
        <w:rPr/>
      </w:pPr>
      <w:r>
        <w:rPr/>
        <w:t>Tầng đầu tiên gồm đối chứng lớp phổ biến nhất và đối chứng ngẫu nhiên. Đối chứng lớp phổ biến nhất cho biết mức điểm thu được khi mọi quan sát đều được dự đoán thuộc lớp phổ biến nhất trong tập huấn luyện. Đối chứng ngẫu nhiên được tạo theo quy tắc đã khóa, sử dụng hạt giống và được chạy trên cùng tập kiểm thử. Khi cần, đối chứng ngẫu nhiên đều có thể được báo cáo bổ sung để phân biệt ảnh hưởng của phân bố lớp với ảnh hưởng của mô hình. Hai mốc này không học quy luật từ dữ liệu, nhưng cần thiết để xác định liệu một kiến trúc có thực sự vượt qua phương pháp dự đoán đơn giản hay chỉ tận dụng sự mất cân bằng lớp.</w:t>
      </w:r>
      <w:bookmarkEnd w:id="143"/>
    </w:p>
    <w:p>
      <w:pPr>
        <w:pStyle w:val="Heading3"/>
        <w:rPr/>
      </w:pPr>
      <w:bookmarkStart w:id="144" w:name="__RefHeading___Toc11036_2435329662"/>
      <w:bookmarkStart w:id="145" w:name="tầng-mô-hình-cổ-điển-chỉ-giá"/>
      <w:bookmarkEnd w:id="144"/>
      <w:r>
        <w:rPr>
          <w:rFonts w:eastAsia="Times New Roman" w:cs="Times New Roman"/>
        </w:rPr>
        <w:t>3.5.2. Tầng mô hình cổ điển chỉ giá</w:t>
      </w:r>
    </w:p>
    <w:p>
      <w:pPr>
        <w:pStyle w:val="FirstParagraph"/>
        <w:rPr/>
      </w:pPr>
      <w:r>
        <w:rPr/>
        <w:t>Tầng này sử dụng một bộ phân loại phi tuần tự, nhận vector đặc trưng giá của phiên quan sát cuối cùng trong cửa sổ. Mục đích là thiết lập mốc so sánh nhằm đánh giá liệu dữ liệu có chứa tín hiệu đủ rõ trước khi áp dụng mô hình sâu hay không. Cấu hình đã được thực hiện là hồi quy logistic đa lớp. Rừng ngẫu nhiên và XGBoost được nêu trong đề cương nhưng không được chạy. Các mô hình này giải quyết cùng một câu hỏi như hồi quy logistic, trong khi câu hỏi trung tâm của đề tài là đóng góp của cảm xúc; do đó, ngân sách thực nghiệm được dành cho phép đối chứng này.</w:t>
      </w:r>
    </w:p>
    <w:p>
      <w:pPr>
        <w:pStyle w:val="BodyText"/>
        <w:rPr/>
      </w:pPr>
      <w:r>
        <w:rPr/>
        <w:t>Tầng cổ điển được chạy ở cả hai dạng, chỉ giá và giá kèm cảm xúc, trên đúng các dòng dữ liệu mà mô hình tuần tự sử dụng, qua đó bảo đảm hai họ mô hình được đánh giá trên cùng tập mẫu. Dạng chỉ giá không nhận bất kỳ cột cảm xúc nào, bao gồm số tin, cờ có tin và siêu dữ liệu phát sinh từ văn bản.</w:t>
      </w:r>
      <w:bookmarkEnd w:id="145"/>
    </w:p>
    <w:p>
      <w:pPr>
        <w:pStyle w:val="Heading3"/>
        <w:rPr/>
      </w:pPr>
      <w:bookmarkStart w:id="146" w:name="__RefHeading___Toc11038_2435329662"/>
      <w:bookmarkStart w:id="147" w:name="tầng-lstm-chỉ-giá"/>
      <w:bookmarkEnd w:id="146"/>
      <w:r>
        <w:rPr>
          <w:rFonts w:eastAsia="Times New Roman" w:cs="Times New Roman"/>
        </w:rPr>
        <w:t>3.5.3. Tầng LSTM chỉ giá</w:t>
      </w:r>
    </w:p>
    <w:p>
      <w:pPr>
        <w:pStyle w:val="FirstParagraph"/>
        <w:rPr/>
      </w:pPr>
      <w:r>
        <w:rPr/>
        <w:t xml:space="preserve">LSTM chỉ giá nhận </w:t>
      </w:r>
      <w:r>
        <w:rPr/>
      </w:r>
      <m:oMath xmlns:m="http://schemas.openxmlformats.org/officeDocument/2006/math">
        <m:sSup>
          <m:e>
            <m:r>
              <w:rPr>
                <w:rFonts w:ascii="Cambria Math" w:hAnsi="Cambria Math"/>
              </w:rPr>
              <m:t xml:space="preserve">X</m:t>
            </m:r>
          </m:e>
          <m:sup>
            <m:r>
              <w:rPr>
                <w:rFonts w:ascii="Cambria Math" w:hAnsi="Cambria Math"/>
              </w:rPr>
              <m:t xml:space="preserve">p</m:t>
            </m:r>
          </m:sup>
        </m:sSup>
      </m:oMath>
      <w:r>
        <w:rPr/>
        <w:t xml:space="preserve"> trong một cửa sổ cố định và dự báo ba lớp. Đây là đối chứng cơ sở theo hướng học sâu, được sử dụng để tách biệt câu hỏi “LSTM có khai thác được lịch sử giá hay không” với câu hỏi “cảm xúc có bổ sung thông tin hay không”. Siêu tham số được lựa chọn trên tập xác thực và được giữ nguyên khi thực hiện loại bỏ đặc trưng. Đầu vào chỉ bao gồm các đặc trưng có thể quan sát đến ngày </w:t>
      </w:r>
      <w:r>
        <w:rPr/>
      </w:r>
      <m:oMath xmlns:m="http://schemas.openxmlformats.org/officeDocument/2006/math">
        <m:r>
          <w:rPr>
            <w:rFonts w:ascii="Cambria Math" w:hAnsi="Cambria Math"/>
          </w:rPr>
          <m:t xml:space="preserve">t</m:t>
        </m:r>
      </m:oMath>
      <w:r>
        <w:rPr/>
        <w:t>, trong khi nhãn được tạo từ lợi suất của phiên kế tiếp.</w:t>
      </w:r>
      <w:bookmarkEnd w:id="147"/>
    </w:p>
    <w:p>
      <w:pPr>
        <w:pStyle w:val="Heading3"/>
        <w:rPr/>
      </w:pPr>
      <w:bookmarkStart w:id="148" w:name="__RefHeading___Toc11040_2435329662"/>
      <w:bookmarkStart w:id="149" w:name="tầng-lstm-hai-nhánh-có-cảm-xúc"/>
      <w:bookmarkEnd w:id="148"/>
      <w:r>
        <w:rPr>
          <w:rFonts w:eastAsia="Times New Roman" w:cs="Times New Roman"/>
        </w:rPr>
        <w:t>3.5.4. Tầng LSTM hai nhánh có cảm xúc</w:t>
      </w:r>
    </w:p>
    <w:p>
      <w:pPr>
        <w:pStyle w:val="FirstParagraph"/>
        <w:rPr/>
      </w:pPr>
      <w:r>
        <w:rPr/>
        <w:t>Tầng này là mức sàn của đề tài. Nhánh cảm xúc nhận chuỗi đặc trưng được tổng hợp theo ngày, còn nhánh giá nhận chuỗi chỉ báo kỹ thuật. Hai trạng thái được kết hợp bằng phép nối trước khi được đưa qua tầng phân loại. Nhánh cảm xúc không nhận giá của phiên tương lai, còn nhánh giá không nhận siêu dữ liệu của bài viết ngoài các đặc trưng đã được quy định. Thí nghiệm loại bỏ đặc trưng được thực hiện với hai cấu hình:</w:t>
      </w:r>
    </w:p>
    <w:p>
      <w:pPr>
        <w:pStyle w:val="Normal"/>
        <w:numPr>
          <w:ilvl w:val="0"/>
          <w:numId w:val="19"/>
        </w:numPr>
        <w:rPr/>
      </w:pPr>
      <w:r>
        <w:rPr/>
        <w:t xml:space="preserve">Chỉ giá: chỉ sử dụng </w:t>
      </w:r>
      <w:r>
        <w:rPr/>
      </w:r>
      <m:oMath xmlns:m="http://schemas.openxmlformats.org/officeDocument/2006/math">
        <m:sSup>
          <m:e>
            <m:r>
              <w:rPr>
                <w:rFonts w:ascii="Cambria Math" w:hAnsi="Cambria Math"/>
              </w:rPr>
              <m:t xml:space="preserve">X</m:t>
            </m:r>
          </m:e>
          <m:sup>
            <m:r>
              <w:rPr>
                <w:rFonts w:ascii="Cambria Math" w:hAnsi="Cambria Math"/>
              </w:rPr>
              <m:t xml:space="preserve">p</m:t>
            </m:r>
          </m:sup>
        </m:sSup>
      </m:oMath>
      <w:r>
        <w:rPr/>
        <w:t>;</w:t>
      </w:r>
    </w:p>
    <w:p>
      <w:pPr>
        <w:pStyle w:val="Normal"/>
        <w:numPr>
          <w:ilvl w:val="0"/>
          <w:numId w:val="3"/>
        </w:numPr>
        <w:rPr/>
      </w:pPr>
      <w:r>
        <w:rPr/>
        <w:t xml:space="preserve">Giá kết hợp cảm xúc: sử dụng cả </w:t>
      </w:r>
      <w:r>
        <w:rPr/>
      </w:r>
      <m:oMath xmlns:m="http://schemas.openxmlformats.org/officeDocument/2006/math">
        <m:sSup>
          <m:e>
            <m:r>
              <w:rPr>
                <w:rFonts w:ascii="Cambria Math" w:hAnsi="Cambria Math"/>
              </w:rPr>
              <m:t xml:space="preserve">X</m:t>
            </m:r>
          </m:e>
          <m:sup>
            <m:r>
              <w:rPr>
                <w:rFonts w:ascii="Cambria Math" w:hAnsi="Cambria Math"/>
              </w:rPr>
              <m:t xml:space="preserve">p</m:t>
            </m:r>
          </m:sup>
        </m:sSup>
      </m:oMath>
      <w:r>
        <w:rPr/>
        <w:t xml:space="preserve"> và </w:t>
      </w:r>
      <w:r>
        <w:rPr/>
      </w:r>
      <m:oMath xmlns:m="http://schemas.openxmlformats.org/officeDocument/2006/math">
        <m:sSup>
          <m:e>
            <m:r>
              <w:rPr>
                <w:rFonts w:ascii="Cambria Math" w:hAnsi="Cambria Math"/>
              </w:rPr>
              <m:t xml:space="preserve">X</m:t>
            </m:r>
          </m:e>
          <m:sup>
            <m:r>
              <w:rPr>
                <w:rFonts w:ascii="Cambria Math" w:hAnsi="Cambria Math"/>
              </w:rPr>
              <m:t xml:space="preserve">s</m:t>
            </m:r>
          </m:sup>
        </m:sSup>
      </m:oMath>
      <w:r>
        <w:rPr/>
        <w:t>.</w:t>
      </w:r>
    </w:p>
    <w:p>
      <w:pPr>
        <w:pStyle w:val="FirstParagraph"/>
        <w:rPr/>
      </w:pPr>
      <w:r>
        <w:rPr/>
        <w:t>Hai cấu hình phải sử dụng cùng các ngày huấn luyện, xác thực và kiểm thử; cùng phương pháp ước lượng các phép tiền xử lý; cùng hạt giống hoặc tập hạt giống; cùng quy tắc tạo nhãn; và cùng chỉ số đánh giá. Nếu cảm xúc không cải thiện chỉ số, kết quả vẫn được giữ lại và phân tích theo độ ổn định. Giao thức không được thay đổi nhằm tìm kiếm một bảng điểm có lợi hơn.</w:t>
      </w:r>
      <w:bookmarkEnd w:id="149"/>
    </w:p>
    <w:p>
      <w:pPr>
        <w:pStyle w:val="Heading3"/>
        <w:rPr/>
      </w:pPr>
      <w:bookmarkStart w:id="150" w:name="__RefHeading___Toc11042_2435329662"/>
      <w:bookmarkStart w:id="151" w:name="tầng-tft-mở-rộng"/>
      <w:bookmarkEnd w:id="150"/>
      <w:r>
        <w:rPr>
          <w:rFonts w:eastAsia="Times New Roman" w:cs="Times New Roman"/>
        </w:rPr>
        <w:t>3.5.5. Tầng TFT mở rộng</w:t>
      </w:r>
    </w:p>
    <w:p>
      <w:pPr>
        <w:pStyle w:val="FirstParagraph"/>
        <w:rPr/>
      </w:pPr>
      <w:r>
        <w:rPr/>
        <w:t>TFT chỉ được chạy sau khi các đối chứng cơ sở và LSTM hai nhánh đã có số liệu, đồng thời mốc cắt không còn lỗi. Mô hình nhận các biến thời gian, biến tĩnh hoặc biến quan sát theo cấu hình được xác định rõ ràng, sử dụng kích thước đầu ra bằng 3 và hàm mất mát phân loại. Các biến không được khai báo chỉ vì chúng có sẵn trong một bảng dữ liệu, mà phải được kiểm tra theo thời điểm có thể quan sát. Kết quả TFT chỉ được so sánh với các tầng trước khi sử dụng cùng các đoạn kiểm thử và quy tắc tạo nhãn. Trong đồ án này, TFT được cài đặt tối giản bằng PyTorch thuần (</w:t>
      </w:r>
      <w:r>
        <w:rPr>
          <w:rStyle w:val="VerbatimChar"/>
        </w:rPr>
        <w:t>TemporalFusionClassifier</w:t>
      </w:r>
      <w:r>
        <w:rPr/>
        <w:t>), gồm phép nhúng từng biến, mạng chọn biến theo thời điểm, bộ mã hóa LSTM một tầng, cơ chế chú ý đa đầu với cổng phần dư và đầu phân loại GRN. Cấu hình hồi quy phân vị của thư viện không được sử dụng cho mục tiêu ba lớp.</w:t>
      </w:r>
      <w:bookmarkEnd w:id="151"/>
    </w:p>
    <w:p>
      <w:pPr>
        <w:pStyle w:val="Heading3"/>
        <w:rPr/>
      </w:pPr>
      <w:bookmarkStart w:id="152" w:name="__RefHeading___Toc11044_2435329662"/>
      <w:bookmarkStart w:id="153" w:name="huấn-luyện-và-kiểm-soát-độ-phức-tạp"/>
      <w:bookmarkEnd w:id="152"/>
      <w:r>
        <w:rPr>
          <w:rFonts w:eastAsia="Times New Roman" w:cs="Times New Roman"/>
        </w:rPr>
        <w:t>3.5.6. Huấn luyện và kiểm soát độ phức tạp</w:t>
      </w:r>
    </w:p>
    <w:p>
      <w:pPr>
        <w:pStyle w:val="FirstParagraph"/>
        <w:rPr/>
      </w:pPr>
      <w:r>
        <w:rPr/>
        <w:t>Mô hình được huấn luyện bằng entropy chéo cho ba lớp và áp dụng dừng sớm theo F1 vĩ mô trên tập xác thực. Tầng bỏ ngẫu nhiên, suy giảm trọng số và cắt biên độ gradient có thể được sử dụng để hạn chế quá khớp, nhưng các lựa chọn và số lần thử phải được ghi lại. Nếu các lớp mất cân bằng, trọng số của hàm mất mát hoặc phương pháp lấy mẫu lại chỉ được tính từ tập huấn luyện. Đối với mỗi mô hình, điểm kiểm tốt nhất theo chỉ số đã chọn được lưu lại cùng với hạt giống, cửa sổ, số tham số và thời gian huấn luyện. Tập kiểm thử không được sử dụng để điều chỉnh kiến trúc sau mỗi lần chạy.</w:t>
      </w:r>
      <w:bookmarkEnd w:id="141"/>
      <w:bookmarkEnd w:id="153"/>
    </w:p>
    <w:p>
      <w:pPr>
        <w:pStyle w:val="Heading2"/>
        <w:rPr/>
      </w:pPr>
      <w:bookmarkStart w:id="154" w:name="__RefHeading___Toc11046_2435329662"/>
      <w:bookmarkStart w:id="155" w:name="sec%2525253App-danh-gia"/>
      <w:bookmarkEnd w:id="154"/>
      <w:r>
        <w:rPr>
          <w:rFonts w:eastAsia="Times New Roman" w:cs="Times New Roman" w:ascii="Times New Roman" w:hAnsi="Times New Roman"/>
        </w:rPr>
        <w:t>3.6. Giao thức đánh giá chống rò rỉ</w:t>
      </w:r>
    </w:p>
    <w:p>
      <w:pPr>
        <w:pStyle w:val="FirstParagraph"/>
        <w:rPr/>
      </w:pPr>
      <w:r>
        <w:rPr/>
        <w:t>Quy trình đánh giá là thành phần cốt lõi của phương pháp. Việc phân chia tập dữ liệu theo thời gian chưa đủ để bảo đảm kết quả không bị rò rỉ nếu bộ chuẩn hóa, ngưỡng, phép chọn đặc trưng hoặc điểm kiểm đã sử dụng dữ liệu tương lai. Do đó, giao thức được thiết kế theo phương pháp cuốn chiếu theo thời gian với các đoạn kiểm thử tách biệt, đồng thời kiểm tra toàn bộ các phép biến đổi.</w:t>
      </w:r>
    </w:p>
    <w:p>
      <w:pPr>
        <w:pStyle w:val="Heading3"/>
        <w:rPr/>
      </w:pPr>
      <w:bookmarkStart w:id="156" w:name="__RefHeading___Toc11048_2435329662"/>
      <w:bookmarkStart w:id="157" w:name="cuốn-chiếu-theo-thời-gian"/>
      <w:bookmarkEnd w:id="156"/>
      <w:r>
        <w:rPr>
          <w:rFonts w:eastAsia="Times New Roman" w:cs="Times New Roman"/>
        </w:rPr>
        <w:t>3.6.1. Cuốn chiếu theo thời gian</w:t>
      </w:r>
    </w:p>
    <w:p>
      <w:pPr>
        <w:pStyle w:val="FirstParagraph"/>
        <w:rPr/>
      </w:pPr>
      <w:r>
        <w:rPr/>
        <w:t>Tất cả các mã được phân chia theo cùng một mốc ngày. Mỗi cửa sổ cuốn chiếu theo thời gian gồm tập huấn luyện trong quá khứ, tập xác thực ở giai đoạn kế tiếp và tập kiểm thử ở giai đoạn sau đó. Có thể sử dụng cửa sổ mở rộng để tăng dần lượng dữ liệu huấn luyện hoặc cửa sổ trượt để giới hạn độ dài lịch sử. Loại cửa sổ, độ dài từng đoạn và bước dịch cửa sổ phải được ghi trong bản kê. Mỗi cửa sổ phải chỉ rõ ngày cuối của tập huấn luyện, ngày bắt đầu và kết thúc của tập xác thực, ngày bắt đầu và kết thúc của tập kiểm thử, cùng số mẫu thực tế sau khi tạo cửa sổ lịch sử.</w:t>
      </w:r>
    </w:p>
    <w:p>
      <w:pPr>
        <w:pStyle w:val="BodyText"/>
        <w:rPr/>
      </w:pPr>
      <w:r>
        <w:rPr/>
        <w:t xml:space="preserve">Cấu hình đã triển khai sử dụng năm cửa sổ mở rộng, trong đó mỗi cửa sổ có 60 ngày xác thực và 60 ngày kiểm thử; các đoạn kiểm thử không chồng lấn nhau. </w:t>
      </w:r>
      <w:r>
        <w:rPr>
          <w:b/>
          <w:bCs/>
        </w:rPr>
        <w:t>Không có tập giữ lại cuối tách riêng</w:t>
      </w:r>
      <w:r>
        <w:rPr/>
        <w:t xml:space="preserve">, đồng thời </w:t>
      </w:r>
      <w:r>
        <w:rPr>
          <w:b/>
          <w:bCs/>
        </w:rPr>
        <w:t>không có bước tìm kiếm siêu tham số</w:t>
      </w:r>
      <w:r>
        <w:rPr/>
        <w:t>: cấu hình mô hình được xác định trước khi chạy và không được thay đổi sau khi quan sát kết quả. Trong mỗi cửa sổ, tập xác thực chỉ được sử dụng để chọn điểm dừng huấn luyện, còn đoạn kiểm thử chỉ được đánh giá một lần. Do không có cấu hình nào được tinh chỉnh trên đoạn kiểm thử, việc bổ sung tập giữ lại thứ hai không tạo thêm bảo đảm cho quy trình này. Việc nêu rõ đặc điểm trên phản ánh chính xác thiết kế hơn so với mô tả một tập giữ lại không được sử dụng trong kết quả.</w:t>
      </w:r>
    </w:p>
    <w:p>
      <w:pPr>
        <w:pStyle w:val="BodyText"/>
        <w:rPr/>
      </w:pPr>
      <w:r>
        <w:rPr/>
        <w:t>Đối với cửa sổ mở rộng, các mẫu thuộc cùng một ngày không được phân tán giữa tập huấn luyện và tập kiểm thử. Tất cả các mã trong cùng một ngày phải thuộc cùng một phần chia nhằm tránh trường hợp trạng thái thị trường của một mã bị tiết lộ cho mã khác do cách chia không đồng nhất. Mẫu được tạo từ cửa sổ lịch sử cũng phải được phân chia theo ngày mục tiêu, thay vì chỉ dựa trên ngày bắt đầu cửa sổ. Nếu một mẫu sử dụng phần lịch sử thuộc giai đoạn trước mốc chia nhưng có nhãn mục tiêu nằm sau mốc này, mẫu đó phải thuộc phần chia tương ứng với nhãn.</w:t>
      </w:r>
    </w:p>
    <w:p>
      <w:pPr>
        <w:pStyle w:val="BodyText"/>
        <w:rPr/>
      </w:pPr>
      <w:r>
        <w:rPr/>
        <w:t>Trong cấu hình hiện tại, các đoạn được phân chia theo ngày mục tiêu, đặt liền nhau và không có khoảng cấm. Với nhãn của phiên kế tiếp, giá dùng để tạo đặc trưng tại ngày quan sát đã được biết trước thời điểm bắt đầu phiên mục tiêu; nhãn của đoạn sau không được sử dụng để huấn luyện đoạn trước. Nếu mở rộng chân trời dự báo hoặc sử dụng đặc trưng được công bố trễ, quy trình phải bổ sung khoảng cấm và được kiểm tra lại.</w:t>
      </w:r>
      <w:bookmarkEnd w:id="157"/>
    </w:p>
    <w:p>
      <w:pPr>
        <w:pStyle w:val="Heading3"/>
        <w:rPr/>
      </w:pPr>
      <w:bookmarkStart w:id="158" w:name="__RefHeading___Toc11050_2435329662"/>
      <w:bookmarkStart w:id="159" w:name="X9f225a1ab5869264426683bc3ad6590c632cfd9"/>
      <w:bookmarkEnd w:id="158"/>
      <w:r>
        <w:rPr>
          <w:rFonts w:eastAsia="Times New Roman" w:cs="Times New Roman"/>
        </w:rPr>
        <w:t>3.6.2. Kiểm soát thông tin tại điểm dự báo và các phép biến đổi</w:t>
      </w:r>
    </w:p>
    <w:p>
      <w:pPr>
        <w:pStyle w:val="FirstParagraph"/>
        <w:rPr/>
      </w:pPr>
      <w:r>
        <w:rPr/>
        <w:t>Danh mục kiểm tra rò rỉ bao gồm các hạng mục sau:</w:t>
      </w:r>
    </w:p>
    <w:p>
      <w:pPr>
        <w:pStyle w:val="Normal"/>
        <w:numPr>
          <w:ilvl w:val="0"/>
          <w:numId w:val="1"/>
        </w:numPr>
        <w:rPr/>
      </w:pPr>
      <w:r>
        <w:rPr/>
        <w:t>Mốc thời gian tin và mốc cắt 15 giờ;</w:t>
      </w:r>
    </w:p>
    <w:p>
      <w:pPr>
        <w:pStyle w:val="Normal"/>
        <w:numPr>
          <w:ilvl w:val="0"/>
          <w:numId w:val="1"/>
        </w:numPr>
        <w:rPr/>
      </w:pPr>
      <w:r>
        <w:rPr/>
        <w:t>Ánh xạ cuối tuần, ngày nghỉ và tin sau giờ;</w:t>
      </w:r>
    </w:p>
    <w:p>
      <w:pPr>
        <w:pStyle w:val="Normal"/>
        <w:numPr>
          <w:ilvl w:val="0"/>
          <w:numId w:val="1"/>
        </w:numPr>
        <w:rPr/>
      </w:pPr>
      <w:r>
        <w:rPr/>
        <w:t>Giá điều chỉnh và công thức lợi suất mục tiêu;</w:t>
      </w:r>
    </w:p>
    <w:p>
      <w:pPr>
        <w:pStyle w:val="Normal"/>
        <w:numPr>
          <w:ilvl w:val="0"/>
          <w:numId w:val="1"/>
        </w:numPr>
        <w:rPr/>
      </w:pPr>
      <w:r>
        <w:rPr/>
        <w:t>Bộ chuẩn hóa, bộ điền khuyết và phép chọn đặc trưng chỉ ước lượng trên tập huấn luyện;</w:t>
      </w:r>
    </w:p>
    <w:p>
      <w:pPr>
        <w:pStyle w:val="Normal"/>
        <w:numPr>
          <w:ilvl w:val="0"/>
          <w:numId w:val="1"/>
        </w:numPr>
        <w:rPr/>
      </w:pPr>
      <w:r>
        <w:rPr/>
        <w:t xml:space="preserve">Ngưỡng </w:t>
      </w:r>
      <w:r>
        <w:rPr/>
      </w:r>
      <m:oMath xmlns:m="http://schemas.openxmlformats.org/officeDocument/2006/math">
        <m:sSubSup>
          <m:e>
            <m:r>
              <w:rPr>
                <w:rFonts w:ascii="Cambria Math" w:hAnsi="Cambria Math"/>
              </w:rPr>
              <m:t xml:space="preserve">q</m:t>
            </m:r>
          </m:e>
          <m:sub>
            <m:r>
              <w:rPr>
                <w:rFonts w:ascii="Cambria Math" w:hAnsi="Cambria Math"/>
              </w:rPr>
              <m:t xml:space="preserve">w</m:t>
            </m:r>
          </m:sub>
          <m:sup>
            <m:r>
              <w:rPr>
                <w:rFonts w:ascii="Cambria Math" w:hAnsi="Cambria Math"/>
              </w:rPr>
              <m:t xml:space="preserve">−</m:t>
            </m:r>
          </m:sup>
        </m:sSubSup>
      </m:oMath>
      <w:r>
        <w:rPr/>
        <w:t xml:space="preserve">, </w:t>
      </w:r>
      <w:r>
        <w:rPr/>
      </w:r>
      <m:oMath xmlns:m="http://schemas.openxmlformats.org/officeDocument/2006/math">
        <m:sSubSup>
          <m:e>
            <m:r>
              <w:rPr>
                <w:rFonts w:ascii="Cambria Math" w:hAnsi="Cambria Math"/>
              </w:rPr>
              <m:t xml:space="preserve">q</m:t>
            </m:r>
          </m:e>
          <m:sub>
            <m:r>
              <w:rPr>
                <w:rFonts w:ascii="Cambria Math" w:hAnsi="Cambria Math"/>
              </w:rPr>
              <m:t xml:space="preserve">w</m:t>
            </m:r>
          </m:sub>
          <m:sup>
            <m:r>
              <m:rPr>
                <m:lit/>
                <m:nor/>
              </m:rPr>
              <w:rPr>
                <w:rFonts w:ascii="Cambria Math" w:hAnsi="Cambria Math"/>
              </w:rPr>
              <m:t xml:space="preserve">+</m:t>
            </m:r>
          </m:sup>
        </m:sSubSup>
      </m:oMath>
      <w:r>
        <w:rPr/>
        <w:t xml:space="preserve"> chỉ tính từ lợi suất tập huấn luyện;</w:t>
      </w:r>
    </w:p>
    <w:p>
      <w:pPr>
        <w:pStyle w:val="Normal"/>
        <w:numPr>
          <w:ilvl w:val="0"/>
          <w:numId w:val="1"/>
        </w:numPr>
        <w:rPr/>
      </w:pPr>
      <w:r>
        <w:rPr/>
        <w:t>Nhãn cảm xúc dùng để tinh chỉnh và điểm kiểm của từng phần chia;</w:t>
      </w:r>
    </w:p>
    <w:p>
      <w:pPr>
        <w:pStyle w:val="Normal"/>
        <w:numPr>
          <w:ilvl w:val="0"/>
          <w:numId w:val="1"/>
        </w:numPr>
        <w:rPr/>
      </w:pPr>
      <w:r>
        <w:rPr/>
        <w:t>Loại trùng không để cùng một bài hoặc bản sao gần giống xuất hiện ở hai phần chia;</w:t>
      </w:r>
    </w:p>
    <w:p>
      <w:pPr>
        <w:pStyle w:val="Normal"/>
        <w:numPr>
          <w:ilvl w:val="0"/>
          <w:numId w:val="1"/>
        </w:numPr>
        <w:rPr/>
      </w:pPr>
      <w:r>
        <w:rPr/>
        <w:t>Lựa chọn siêu tham số chỉ dùng tập huấn luyện và xác thực, không dùng đoạn kiểm thử.</w:t>
      </w:r>
    </w:p>
    <w:p>
      <w:pPr>
        <w:pStyle w:val="FirstParagraph"/>
        <w:rPr/>
      </w:pPr>
      <w:r>
        <w:rPr/>
        <w:t>Đối với mỗi phần chia, cần lưu một số ví dụ để kiểm tra thủ công, bao gồm tin trước mốc cắt, tin sau mốc cắt, tin cuối tuần và ngày không có tin. Cần kiểm tra cả trường hợp một bài được gắn với nhiều mã, các bài gần trùng nhau giữa hai nguồn, ngày đầu chuỗi bị thiếu chỉ báo và mẫu có nhãn ở phiên kế tiếp. Nếu không thể xác minh một bản ghi, bản ghi đó phải bị loại khỏi phân tích chính và tỷ lệ loại phải được báo cáo.</w:t>
      </w:r>
      <w:bookmarkEnd w:id="159"/>
    </w:p>
    <w:p>
      <w:pPr>
        <w:pStyle w:val="Heading3"/>
        <w:rPr/>
      </w:pPr>
      <w:bookmarkStart w:id="160" w:name="__RefHeading___Toc11052_2435329662"/>
      <w:bookmarkStart w:id="161" w:name="các-chỉ-số-đánh-giá"/>
      <w:bookmarkEnd w:id="160"/>
      <w:r>
        <w:rPr>
          <w:rFonts w:eastAsia="Times New Roman" w:cs="Times New Roman"/>
        </w:rPr>
        <w:t>3.6.3. Các chỉ số đánh giá</w:t>
      </w:r>
    </w:p>
    <w:p>
      <w:pPr>
        <w:pStyle w:val="FirstParagraph"/>
        <w:rPr/>
      </w:pPr>
      <w:r>
        <w:rPr/>
        <w:t>Từ ma trận nhầm lẫn của ba lớp, độ chính xác dương tính, độ bao phủ và F1 được tính riêng cho từng lớp. F1 vĩ mô được xác định bằng trung bình số học của F1 trên ba lớp:</w:t>
      </w:r>
    </w:p>
    <w:p>
      <w:pPr>
        <w:pStyle w:val="BodyText"/>
        <w:jc w:val="center"/>
        <w:rPr/>
      </w:pPr>
      <w:bookmarkStart w:id="162" w:name="eq%2525253Amacro-f1"/>
      <w:r>
        <w:rPr/>
      </w:r>
      <m:oMathPara xmlns:m="http://schemas.openxmlformats.org/officeDocument/2006/math">
        <m:oMathParaPr>
          <m:jc m:val="center"/>
        </m:oMathParaPr>
        <m:oMath>
          <m:r>
            <w:rPr>
              <w:rFonts w:ascii="Cambria Math" w:hAnsi="Cambria Math"/>
            </w:rPr>
            <m:t xml:space="preserve">MacroF</m:t>
          </m:r>
          <m:r>
            <w:rPr>
              <w:rFonts w:ascii="Cambria Math" w:hAnsi="Cambria Math"/>
            </w:rPr>
            <m:t xml:space="preserve">1</m:t>
          </m:r>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3</m:t>
              </m:r>
            </m:sup>
            <m:e>
              <m:r>
                <w:rPr>
                  <w:rFonts w:ascii="Cambria Math" w:hAnsi="Cambria Math"/>
                </w:rPr>
                <m:t xml:space="preserve">F</m:t>
              </m:r>
            </m:e>
          </m:nary>
          <m:sSub>
            <m:e>
              <m:r>
                <w:rPr>
                  <w:rFonts w:ascii="Cambria Math" w:hAnsi="Cambria Math"/>
                </w:rPr>
                <m:t xml:space="preserve">1</m:t>
              </m:r>
            </m:e>
            <m:sub>
              <m:r>
                <w:rPr>
                  <w:rFonts w:ascii="Cambria Math" w:hAnsi="Cambria Math"/>
                </w:rPr>
                <m:t xml:space="preserve">c</m:t>
              </m:r>
            </m:sub>
          </m:sSub>
          <m:r>
            <w:rPr>
              <w:rFonts w:ascii="Cambria Math" w:hAnsi="Cambria Math"/>
            </w:rPr>
            <m:t xml:space="preserve">.</m:t>
          </m:r>
          <m:r>
            <w:rPr>
              <w:rFonts w:ascii="Cambria Math" w:hAnsi="Cambria Math"/>
            </w:rPr>
            <m:t xml:space="preserve">(</m:t>
          </m:r>
          <m:r>
            <w:rPr>
              <w:rFonts w:ascii="Cambria Math" w:hAnsi="Cambria Math"/>
            </w:rPr>
            <m:t xml:space="preserve">3.17</m:t>
          </m:r>
          <m:r>
            <w:rPr>
              <w:rFonts w:ascii="Cambria Math" w:hAnsi="Cambria Math"/>
            </w:rPr>
            <m:t xml:space="preserve">)</m:t>
          </m:r>
        </m:oMath>
      </m:oMathPara>
      <w:bookmarkEnd w:id="162"/>
    </w:p>
    <w:p>
      <w:pPr>
        <w:pStyle w:val="FirstParagraph"/>
        <w:rPr/>
      </w:pPr>
      <w:r>
        <w:rPr/>
        <w:t>Độ chính xác cân bằng được tính bằng trung bình độ bao phủ của ba lớp. Đối với AUC-ROC một-chống-còn-lại, mỗi lớp lần lượt được xem là lớp tích cực và hai lớp còn lại là lớp tiêu cực, sau đó lấy trung bình các giá trị AUC. Độ chính xác hướng được báo cáo dưới dạng tỷ lệ dự đoán đúng lớp, nhưng không được sử dụng riêng lẻ khi phân bố lớp mất cân bằng. Các chỉ số được tính trên dự đoán ngoài mẫu của từng phần chia và sau đó được tổng hợp theo quy tắc đã khóa.</w:t>
      </w:r>
      <w:bookmarkEnd w:id="161"/>
    </w:p>
    <w:p>
      <w:pPr>
        <w:pStyle w:val="Heading3"/>
        <w:rPr/>
      </w:pPr>
      <w:bookmarkStart w:id="163" w:name="__RefHeading___Toc11054_2435329662"/>
      <w:bookmarkStart w:id="164" w:name="loại-bỏ-đặc-trưng-và-khoảng-tin-cậy"/>
      <w:bookmarkEnd w:id="163"/>
      <w:r>
        <w:rPr>
          <w:rFonts w:eastAsia="Times New Roman" w:cs="Times New Roman"/>
        </w:rPr>
        <w:t>3.6.4. Loại bỏ đặc trưng và khoảng tin cậy</w:t>
      </w:r>
    </w:p>
    <w:p>
      <w:pPr>
        <w:pStyle w:val="FirstParagraph"/>
        <w:rPr/>
      </w:pPr>
      <w:r>
        <w:rPr/>
        <w:t>Phép loại bỏ đặc trưng chính so sánh cấu hình chỉ sử dụng giá với cấu hình kết hợp giá và cảm xúc. Hai mô hình sử dụng cùng các ngày kiểm thử để xác định chênh lệch theo cặp:</w:t>
      </w:r>
    </w:p>
    <w:p>
      <w:pPr>
        <w:pStyle w:val="BodyText"/>
        <w:jc w:val="center"/>
        <w:rPr/>
      </w:pPr>
      <w:bookmarkStart w:id="165" w:name="eq%2525253Aablation-delta"/>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m</m:t>
              </m:r>
            </m:sub>
          </m:sSub>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i</m:t>
          </m:r>
          <m:r>
            <w:rPr>
              <w:rFonts w:ascii="Cambria Math" w:hAnsi="Cambria Math"/>
            </w:rPr>
            <m:t xml:space="preserve">c</m:t>
          </m:r>
          <m:r>
            <w:rPr>
              <w:rFonts w:ascii="Cambria Math" w:hAnsi="Cambria Math"/>
            </w:rPr>
            <m:t xml:space="preserve">e</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m</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i</m:t>
          </m:r>
          <m:r>
            <w:rPr>
              <w:rFonts w:ascii="Cambria Math" w:hAnsi="Cambria Math"/>
            </w:rPr>
            <m:t xml:space="preserve">c</m:t>
          </m:r>
          <m:r>
            <w:rPr>
              <w:rFonts w:ascii="Cambria Math" w:hAnsi="Cambria Math"/>
            </w:rPr>
            <m:t xml:space="preserve">e</m:t>
          </m:r>
          <m:r>
            <w:rPr>
              <w:rFonts w:ascii="Cambria Math" w:hAnsi="Cambria Math"/>
            </w:rPr>
            <m:t xml:space="preserve">−</m:t>
          </m:r>
          <m:r>
            <w:rPr>
              <w:rFonts w:ascii="Cambria Math" w:hAnsi="Cambria Math"/>
            </w:rPr>
            <m:t xml:space="preserve">o</m:t>
          </m:r>
          <m:r>
            <w:rPr>
              <w:rFonts w:ascii="Cambria Math" w:hAnsi="Cambria Math"/>
            </w:rPr>
            <m:t xml:space="preserve">n</m:t>
          </m:r>
          <m:r>
            <w:rPr>
              <w:rFonts w:ascii="Cambria Math" w:hAnsi="Cambria Math"/>
            </w:rPr>
            <m:t xml:space="preserve">l</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3.18</m:t>
          </m:r>
          <m:r>
            <w:rPr>
              <w:rFonts w:ascii="Cambria Math" w:hAnsi="Cambria Math"/>
            </w:rPr>
            <m:t xml:space="preserve">)</m:t>
          </m:r>
        </m:oMath>
      </m:oMathPara>
      <w:bookmarkEnd w:id="165"/>
    </w:p>
    <w:p>
      <w:pPr>
        <w:pStyle w:val="FirstParagraph"/>
        <w:rPr/>
      </w:pPr>
      <w:r>
        <w:rPr/>
        <w:t xml:space="preserve">trong đó </w:t>
      </w:r>
      <w:r>
        <w:rPr/>
      </w:r>
      <m:oMath xmlns:m="http://schemas.openxmlformats.org/officeDocument/2006/math">
        <m:r>
          <w:rPr>
            <w:rFonts w:ascii="Cambria Math" w:hAnsi="Cambria Math"/>
          </w:rPr>
          <m:t xml:space="preserve">m</m:t>
        </m:r>
      </m:oMath>
      <w:r>
        <w:rPr/>
        <w:t xml:space="preserve"> là F1 vĩ mô, độ chính xác cân bằng hoặc AUC-ROC một-chống-còn-lại. Khoảng tin cậy được ước lượng bằng hai phương pháp lấy mẫu lặp và kết quả của cả hai phương pháp đều được báo cáo. Phương pháp thứ nhất thực hiện lấy mẫu lặp trên các cửa sổ. Phương pháp thứ hai thực hiện lấy mẫu lặp trên các </w:t>
      </w:r>
      <w:r>
        <w:rPr>
          <w:i/>
          <w:iCs/>
        </w:rPr>
        <w:t>ngày</w:t>
      </w:r>
      <w:r>
        <w:rPr/>
        <w:t xml:space="preserve"> kiểm thử, trong đó tất cả các mã thuộc cùng một ngày được lấy đồng thời để duy trì tương quan chéo trong một phiên. Phương pháp thứ hai được ưu tiên khi số cửa sổ nhỏ, vì khoảng tin cậy được xây dựng từ chỉ năm khối sẽ rất thô và có thể loại trừ 0 một cách ngẫu nhiên. Số lần lấy mẫu lặp và hạt giống phải được ghi lại. Nếu khoảng tin cậy của </w:t>
      </w:r>
      <w:r>
        <w:rPr/>
      </w:r>
      <m:oMath xmlns:m="http://schemas.openxmlformats.org/officeDocument/2006/math">
        <m:sSub>
          <m:e>
            <m:r>
              <w:rPr>
                <w:rFonts w:ascii="Cambria Math" w:hAnsi="Cambria Math"/>
              </w:rPr>
              <m:t xml:space="preserve">Δ</m:t>
            </m:r>
          </m:e>
          <m:sub>
            <m:r>
              <w:rPr>
                <w:rFonts w:ascii="Cambria Math" w:hAnsi="Cambria Math"/>
              </w:rPr>
              <m:t xml:space="preserve">m</m:t>
            </m:r>
          </m:sub>
        </m:sSub>
      </m:oMath>
      <w:r>
        <w:rPr/>
        <w:t xml:space="preserve"> chứa 0, kết luận phù hợp là chưa có bằng chứng rõ ràng cho thấy cảm xúc cải thiện chỉ số đó trong giao thức hiện tại. Kết quả này không cho phép kết luận rằng cảm xúc không hữu ích trong mọi bối cảnh.</w:t>
      </w:r>
    </w:p>
    <w:p>
      <w:pPr>
        <w:pStyle w:val="BodyText"/>
        <w:rPr/>
      </w:pPr>
      <w:r>
        <w:rPr/>
        <w:t>Phương trình (</w:t>
      </w:r>
      <w:hyperlink w:anchor="eq%2525253Aablation-delta">
        <w:r>
          <w:rPr>
            <w:rStyle w:val="Hyperlink"/>
          </w:rPr>
          <w:t>3.18</w:t>
        </w:r>
      </w:hyperlink>
      <w:r>
        <w:rPr/>
        <w:t>) chưa thể tự tách nguồn gốc của chênh lệch vì mô hình hai nhánh khác mô hình chỉ giá về cả kiến trúc và thông tin đầu vào. Phép đối chứng bổ sung giữ nguyên kiến trúc hai nhánh, bài tin, thời điểm và khối lượng tin, sau đó thay vector xác suất bằng một phân phối tiên nghiệm trung tính hằng số. Khi đó</w:t>
      </w:r>
    </w:p>
    <w:p>
      <w:pPr>
        <w:pStyle w:val="BodyText"/>
        <w:jc w:val="center"/>
        <w:rPr/>
      </w:pPr>
      <w:r>
        <w:rPr/>
      </w:r>
      <m:oMathPara xmlns:m="http://schemas.openxmlformats.org/officeDocument/2006/math">
        <m:oMathParaPr>
          <m:jc m:val="center"/>
        </m:oMathParaPr>
        <m:oMath>
          <m:eqArr>
            <m:e>
              <m:r>
                <m:rPr>
                  <m:lit/>
                  <m:nor/>
                </m:rPr>
                <w:rPr>
                  <w:rFonts w:ascii="Cambria Math" w:hAnsi="Cambria Math"/>
                </w:rPr>
                <m:t xml:space="preserve">hiệu ứng kiến trúc, sự hiện diện và khối lượng tin</m:t>
              </m:r>
              <m:r>
                <m:rPr>
                  <m:lit/>
                  <m:nor/>
                </m:rPr>
                <w:rPr>
                  <w:rFonts w:ascii="Cambria Math" w:hAnsi="Cambria Math"/>
                </w:rPr>
                <m:t xml:space="preserve">&amp;</m:t>
              </m:r>
              <m:r>
                <w:rPr>
                  <w:rFonts w:ascii="Cambria Math" w:hAnsi="Cambria Math"/>
                </w:rPr>
                <m:t xml:space="preserve">=</m:t>
              </m:r>
              <m:r>
                <w:rPr>
                  <w:rFonts w:ascii="Cambria Math" w:hAnsi="Cambria Math"/>
                </w:rPr>
                <m:t xml:space="preserve">m</m:t>
              </m:r>
              <m:r>
                <w:rPr>
                  <w:rFonts w:ascii="Cambria Math" w:hAnsi="Cambria Math"/>
                </w:rPr>
                <m:t xml:space="preserve">(</m:t>
              </m:r>
              <m:r>
                <m:rPr>
                  <m:lit/>
                  <m:nor/>
                </m:rPr>
                <w:rPr>
                  <w:rFonts w:ascii="Cambria Math" w:hAnsi="Cambria Math"/>
                </w:rPr>
                <m:t xml:space="preserve">hai nhánh, tiên nghiệm trung tính</m:t>
              </m:r>
              <m:r>
                <w:rPr>
                  <w:rFonts w:ascii="Cambria Math" w:hAnsi="Cambria Math"/>
                </w:rPr>
                <m:t xml:space="preserve">)</m:t>
              </m:r>
            </m:e>
            <m:e>
              <m:r>
                <m:rPr>
                  <m:lit/>
                  <m:nor/>
                </m:rPr>
                <w:rPr>
                  <w:rFonts w:ascii="Cambria Math" w:hAnsi="Cambria Math"/>
                </w:rPr>
                <m:t xml:space="preserve">&amp;</m:t>
              </m:r>
              <m:r>
                <w:rPr>
                  <w:rFonts w:ascii="Cambria Math" w:hAnsi="Cambria Math"/>
                </w:rPr>
                <m:t xml:space="preserve">−</m:t>
              </m:r>
              <m:r>
                <w:rPr>
                  <w:rFonts w:ascii="Cambria Math" w:hAnsi="Cambria Math"/>
                </w:rPr>
                <m:t xml:space="preserve">m</m:t>
              </m:r>
              <m:r>
                <w:rPr>
                  <w:rFonts w:ascii="Cambria Math" w:hAnsi="Cambria Math"/>
                </w:rPr>
                <m:t xml:space="preserve">(</m:t>
              </m:r>
              <m:r>
                <m:rPr>
                  <m:lit/>
                  <m:nor/>
                </m:rPr>
                <w:rPr>
                  <w:rFonts w:ascii="Cambria Math" w:hAnsi="Cambria Math"/>
                </w:rPr>
                <m:t xml:space="preserve">chỉ giá</m:t>
              </m:r>
              <m:r>
                <w:rPr>
                  <w:rFonts w:ascii="Cambria Math" w:hAnsi="Cambria Math"/>
                </w:rPr>
                <m:t xml:space="preserve">)</m:t>
              </m:r>
              <m:r>
                <w:rPr>
                  <w:rFonts w:ascii="Cambria Math" w:hAnsi="Cambria Math"/>
                </w:rPr>
                <m:t xml:space="preserve">,</m:t>
              </m:r>
            </m:e>
            <m:e>
              <m:r>
                <m:rPr>
                  <m:lit/>
                  <m:nor/>
                </m:rPr>
                <w:rPr>
                  <w:rFonts w:ascii="Cambria Math" w:hAnsi="Cambria Math"/>
                </w:rPr>
                <m:t xml:space="preserve">đóng góp thông tin phân cực</m:t>
              </m:r>
              <m:r>
                <m:rPr>
                  <m:lit/>
                  <m:nor/>
                </m:rPr>
                <w:rPr>
                  <w:rFonts w:ascii="Cambria Math" w:hAnsi="Cambria Math"/>
                </w:rPr>
                <m:t xml:space="preserve">&amp;</m:t>
              </m:r>
              <m:r>
                <w:rPr>
                  <w:rFonts w:ascii="Cambria Math" w:hAnsi="Cambria Math"/>
                </w:rPr>
                <m:t xml:space="preserve">=</m:t>
              </m:r>
              <m:r>
                <w:rPr>
                  <w:rFonts w:ascii="Cambria Math" w:hAnsi="Cambria Math"/>
                </w:rPr>
                <m:t xml:space="preserve">m</m:t>
              </m:r>
              <m:r>
                <w:rPr>
                  <w:rFonts w:ascii="Cambria Math" w:hAnsi="Cambria Math"/>
                </w:rPr>
                <m:t xml:space="preserve">(</m:t>
              </m:r>
              <m:r>
                <m:rPr>
                  <m:lit/>
                  <m:nor/>
                </m:rPr>
                <w:rPr>
                  <w:rFonts w:ascii="Cambria Math" w:hAnsi="Cambria Math"/>
                </w:rPr>
                <m:t xml:space="preserve">hai nhánh, cảm xúc thật</m:t>
              </m:r>
              <m:r>
                <w:rPr>
                  <w:rFonts w:ascii="Cambria Math" w:hAnsi="Cambria Math"/>
                </w:rPr>
                <m:t xml:space="preserve">)</m:t>
              </m:r>
            </m:e>
            <m:e>
              <m:r>
                <m:rPr>
                  <m:lit/>
                  <m:nor/>
                </m:rPr>
                <w:rPr>
                  <w:rFonts w:ascii="Cambria Math" w:hAnsi="Cambria Math"/>
                </w:rPr>
                <m:t xml:space="preserve">&amp;</m:t>
              </m:r>
              <m:r>
                <w:rPr>
                  <w:rFonts w:ascii="Cambria Math" w:hAnsi="Cambria Math"/>
                </w:rPr>
                <m:t xml:space="preserve">−</m:t>
              </m:r>
              <m:r>
                <w:rPr>
                  <w:rFonts w:ascii="Cambria Math" w:hAnsi="Cambria Math"/>
                </w:rPr>
                <m:t xml:space="preserve">m</m:t>
              </m:r>
              <m:r>
                <w:rPr>
                  <w:rFonts w:ascii="Cambria Math" w:hAnsi="Cambria Math"/>
                </w:rPr>
                <m:t xml:space="preserve">(</m:t>
              </m:r>
              <m:r>
                <m:rPr>
                  <m:lit/>
                  <m:nor/>
                </m:rPr>
                <w:rPr>
                  <w:rFonts w:ascii="Cambria Math" w:hAnsi="Cambria Math"/>
                </w:rPr>
                <m:t xml:space="preserve">hai nhánh, tiên nghiệm trung tính</m:t>
              </m:r>
              <m:r>
                <w:rPr>
                  <w:rFonts w:ascii="Cambria Math" w:hAnsi="Cambria Math"/>
                </w:rPr>
                <m:t xml:space="preserve">)</m:t>
              </m:r>
              <m:r>
                <w:rPr>
                  <w:rFonts w:ascii="Cambria Math" w:hAnsi="Cambria Math"/>
                </w:rPr>
                <m:t xml:space="preserve">,</m:t>
              </m:r>
            </m:e>
          </m:eqArr>
        </m:oMath>
      </m:oMathPara>
    </w:p>
    <w:p>
      <w:pPr>
        <w:pStyle w:val="FirstParagraph"/>
        <w:rPr/>
      </w:pPr>
      <w:r>
        <w:rPr/>
        <w:t xml:space="preserve">và tổng của hai thành phần bằng đúng </w:t>
      </w:r>
      <w:r>
        <w:rPr/>
      </w:r>
      <m:oMath xmlns:m="http://schemas.openxmlformats.org/officeDocument/2006/math">
        <m:sSub>
          <m:e>
            <m:r>
              <w:rPr>
                <w:rFonts w:ascii="Cambria Math" w:hAnsi="Cambria Math"/>
              </w:rPr>
              <m:t xml:space="preserve">Δ</m:t>
            </m:r>
          </m:e>
          <m:sub>
            <m:r>
              <w:rPr>
                <w:rFonts w:ascii="Cambria Math" w:hAnsi="Cambria Math"/>
              </w:rPr>
              <m:t xml:space="preserve">m</m:t>
            </m:r>
          </m:sub>
        </m:sSub>
      </m:oMath>
      <w:r>
        <w:rPr/>
        <w:t>. Để phép tách có hiệu lực, hai lần chạy phải sử dụng cùng cấu hình, cùng cửa sổ và cùng hạt giống, đồng thời cho dự đoán trùng khớp ở cấu hình chỉ giá.</w:t>
      </w:r>
      <w:bookmarkEnd w:id="164"/>
    </w:p>
    <w:p>
      <w:pPr>
        <w:pStyle w:val="Heading3"/>
        <w:rPr/>
      </w:pPr>
      <w:bookmarkStart w:id="166" w:name="__RefHeading___Toc11058_2435329662"/>
      <w:bookmarkEnd w:id="166"/>
      <w:r>
        <w:rPr>
          <w:rFonts w:eastAsia="Times New Roman" w:cs="Times New Roman"/>
        </w:rPr>
        <w:t>3.6.5. Giải thích mô hình</w:t>
      </w:r>
    </w:p>
    <w:p>
      <w:pPr>
        <w:pStyle w:val="FirstParagraph"/>
        <w:rPr/>
      </w:pPr>
      <w:r>
        <w:rPr>
          <w:b w:val="false"/>
          <w:i w:val="false"/>
        </w:rPr>
        <w:t>Trong phạm vi đồ án, vai trò của cảm xúc được xem xét bằng phép loại bỏ đặc trưng và đối chứng trung tính. Từng nhóm cảm xúc, số tin hoặc một nhóm chỉ báo được che lần lượt, sau đó đo mức thay đổi của chỉ số. Đối chứng trung tính giữ nguyên kiến trúc, bài tin, thời điểm và số lượng tin nhưng thay xác suất cảm xúc bằng một phân phối cố định. Các phép kiểm tra này cho biết kết quả thay đổi thế nào khi bỏ thông tin phân cực, nhưng không cho phép diễn giải cảm xúc là nguyên nhân của lợi suất.</w:t>
      </w:r>
    </w:p>
    <w:p>
      <w:pPr>
        <w:pStyle w:val="Heading3"/>
        <w:rPr/>
      </w:pPr>
      <w:bookmarkStart w:id="167" w:name="__RefHeading___Toc11060_2435329662"/>
      <w:bookmarkStart w:id="168" w:name="tái-lập-và-báo-cáo"/>
      <w:bookmarkEnd w:id="167"/>
      <w:r>
        <w:rPr>
          <w:rFonts w:eastAsia="Times New Roman" w:cs="Times New Roman"/>
        </w:rPr>
        <w:t>3.6.6. Tái lập và báo cáo</w:t>
      </w:r>
    </w:p>
    <w:p>
      <w:pPr>
        <w:pStyle w:val="FirstParagraph"/>
        <w:rPr/>
      </w:pPr>
      <w:r>
        <w:rPr/>
        <w:t>Đối với mỗi lần chạy, cần lưu hạt giống, phiên bản Python và thư viện, điểm kiểm, danh sách mã, mã băm dữ liệu, thời điểm thu thập, cấu hình mô hình, phép chia tập, chỉ số và số lần thử. Báo cáo phải phân biệt ba trạng thái: đã đo, chưa chạy và không áp dụng. Các ô chưa có kết quả không được điền số tham chiếu từ công trình khác. Bên cạnh bảng điểm, báo cáo cần trình bày độ phủ tin, số bản ghi bị loại, phân bố lớp và các giới hạn của nguồn dữ liệu.</w:t>
      </w:r>
    </w:p>
    <w:p>
      <w:pPr>
        <w:pStyle w:val="BodyText"/>
        <w:rPr/>
      </w:pPr>
      <w:r>
        <w:rPr/>
        <w:t>Bảng </w:t>
      </w:r>
      <w:hyperlink w:anchor="tab%2525253Acau-hinh">
        <w:r>
          <w:rPr>
            <w:rStyle w:val="Hyperlink"/>
          </w:rPr>
          <w:t>3.1</w:t>
        </w:r>
      </w:hyperlink>
      <w:r>
        <w:rPr/>
        <w:t xml:space="preserve"> tóm tắt các quyết định thiết kế chính của quy trình.</w:t>
      </w:r>
    </w:p>
    <w:p>
      <w:pPr>
        <w:pStyle w:val="TableCaption"/>
        <w:rPr/>
      </w:pPr>
      <w:r>
        <w:rPr>
          <w:b/>
        </w:rPr>
        <w:t xml:space="preserve">Bảng 3.1: </w:t>
      </w:r>
      <w:r>
        <w:rPr/>
        <w:t>Tóm tắt các quyết định thiết kế chính.</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cantSplit/>
        </w:trPr>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Thành phần</w:t>
            </w:r>
          </w:p>
        </w:tc>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Lựa chọn</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Mô hình cảm xúc</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PhoBERT-base tinh chỉnh, ba lớp và đầu ra xác suất</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Mô hình chuỗi thời gian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hai nhánh là mức sàn, TFT là tầng mở rộng</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Hợp nhất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Nối hai trạng thái cuối rồi phân loại</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Phạm vi</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10 mã VN30 trên HOSE, dữ liệu từ năm 2020 đến hết năm 2025</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Mốc cắt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15 giờ theo múi giờ Việt Nam, tin sau giờ đóng cửa chuyển sang phiên kế tiếp</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Nhãn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Lợi suất phiên kế tiếp, ngưỡng chỉ ước lượng trên tập huấn luyện</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Đánh giá</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Cuốn chiếu theo thời gian, năm đoạn kiểm thử tách biệt, F1 vĩ mô là chỉ số chính</w:t>
            </w:r>
            <w:bookmarkStart w:id="169" w:name="tab%2525253Acau-hinh"/>
            <w:bookmarkEnd w:id="169"/>
          </w:p>
        </w:tc>
      </w:tr>
    </w:tbl>
    <w:p>
      <w:pPr>
        <w:pStyle w:val="BodyText"/>
        <w:rPr/>
      </w:pPr>
      <w:r>
        <w:rPr>
          <w:i/>
          <w:iCs/>
        </w:rPr>
        <w:t>Nguồn: Tác giả xây dựng.</w:t>
      </w:r>
      <w:bookmarkEnd w:id="81"/>
      <w:bookmarkEnd w:id="155"/>
      <w:bookmarkEnd w:id="168"/>
    </w:p>
    <w:p>
      <w:pPr>
        <w:pStyle w:val="Heading1"/>
        <w:rPr/>
      </w:pPr>
      <w:bookmarkStart w:id="170" w:name="__RefHeading___Toc11062_2435329662"/>
      <w:bookmarkStart w:id="171" w:name="ch%2525253Aket-qua"/>
      <w:bookmarkEnd w:id="170"/>
      <w:r>
        <w:rPr>
          <w:rFonts w:eastAsia="Times New Roman" w:cs="Times New Roman" w:ascii="Times New Roman" w:hAnsi="Times New Roman"/>
        </w:rPr>
        <w:t>Chương 4. TRÌNH BÀY, ĐÁNH GIÁ VÀ BÀN LUẬN KẾT QUẢ</w:t>
      </w:r>
    </w:p>
    <w:p>
      <w:pPr>
        <w:pStyle w:val="FirstParagraph"/>
        <w:rPr/>
      </w:pPr>
      <w:r>
        <w:rPr/>
        <w:t>Chương này trình bày các kết quả thực nghiệm đo lường được từ hệ thống. Mỗi con số đều có thể được truy xuất về một tệp kết quả và một lệnh chạy cụ thể, được liệt kê tại Mục </w:t>
      </w:r>
      <w:hyperlink w:anchor="sec%2525253Akq-taplap">
        <w:r>
          <w:rPr>
            <w:rStyle w:val="Hyperlink"/>
          </w:rPr>
          <w:t>4.8</w:t>
        </w:r>
      </w:hyperlink>
      <w:r>
        <w:rPr/>
        <w:t>. Số liệu tham chiếu từ các công trình khác không được sử dụng để thay thế kết quả thu được trên rổ cổ phiếu của đề tài. Các hạng mục chưa thực hiện được ghi nhận rõ là chưa thực hiện, thay vì được bổ sung bằng số liệu suy đoán.</w:t>
      </w:r>
    </w:p>
    <w:p>
      <w:pPr>
        <w:pStyle w:val="BodyText"/>
        <w:rPr/>
      </w:pPr>
      <w:r>
        <w:rPr/>
        <w:t xml:space="preserve">Ba lớp xu hướng được xác định theo các phân vị một phần ba và hai phần ba của lợi suất trong cửa sổ huấn luyện, do đó các lớp gần cân bằng theo thiết kế. Vì vậy, </w:t>
      </w:r>
      <w:r>
        <w:rPr>
          <w:b/>
          <w:bCs/>
        </w:rPr>
        <w:t xml:space="preserve">mức ngẫu nhiên của bài toán là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3</m:t>
            </m:r>
          </m:den>
        </m:f>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333</m:t>
        </m:r>
      </m:oMath>
      <w:r>
        <w:rPr>
          <w:b/>
          <w:bCs/>
        </w:rPr>
        <w:t xml:space="preserve">, không phải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5</m:t>
        </m:r>
      </m:oMath>
      <w:r>
        <w:rPr/>
        <w:t xml:space="preserve">. Con số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5</m:t>
        </m:r>
      </m:oMath>
      <w:r>
        <w:rPr/>
        <w:t xml:space="preserve"> nêu trong đề cương tương ứng với cách phát biểu bài toán hai lớp; toàn bộ chương này sử dụng mốc ba lớp. Do các lớp gần cân bằng, Macro-F1 và độ chính xác cân bằng được sử dụng làm các chỉ số chính. Độ chính xác chỉ được báo cáo như một chỉ số bổ sung và không được sử dụng riêng lẻ.</w:t>
      </w:r>
    </w:p>
    <w:p>
      <w:pPr>
        <w:pStyle w:val="Heading2"/>
        <w:rPr/>
      </w:pPr>
      <w:bookmarkStart w:id="172" w:name="__RefHeading___Toc11064_2435329662"/>
      <w:bookmarkStart w:id="173" w:name="sec%2525253Akq-snapshot"/>
      <w:bookmarkEnd w:id="172"/>
      <w:r>
        <w:rPr>
          <w:rFonts w:eastAsia="Times New Roman" w:cs="Times New Roman" w:ascii="Times New Roman" w:hAnsi="Times New Roman"/>
        </w:rPr>
        <w:t>4.1. Kiểm kê dữ liệu đầu vào</w:t>
      </w:r>
    </w:p>
    <w:p>
      <w:pPr>
        <w:pStyle w:val="FirstParagraph"/>
        <w:rPr/>
      </w:pPr>
      <w:r>
        <w:rPr/>
        <w:t>Trước khi huấn luyện, dữ liệu đầu vào được kiểm kê độc lập nhằm phân biệt số liệu quan sát với kết quả của mô hình. Snapshot hiện tại bao gồm kho tin Vietstock, bảng liên kết tin với mã cổ phiếu, chuỗi giá của 10 mã HOSE và tập hạt giống phục vụ bước gán nhãn. Các số liệu trong Bảng </w:t>
      </w:r>
      <w:hyperlink w:anchor="tab%2525253Akq-snapshot">
        <w:r>
          <w:rPr>
            <w:rStyle w:val="Hyperlink"/>
          </w:rPr>
          <w:t>4.1</w:t>
        </w:r>
      </w:hyperlink>
      <w:r>
        <w:rPr/>
        <w:t xml:space="preserve"> thuộc bước chuẩn bị dữ liệu và không được diễn giải là kết quả dự báo.</w:t>
      </w:r>
    </w:p>
    <w:p>
      <w:pPr>
        <w:pStyle w:val="TableCaption"/>
        <w:rPr/>
      </w:pPr>
      <w:r>
        <w:rPr>
          <w:b/>
        </w:rPr>
        <w:t xml:space="preserve">Bảng 4.1: </w:t>
      </w:r>
      <w:r>
        <w:rPr/>
        <w:t>Tổng hợp số liệu đầu vào đã kiểm kê (kho tin là toàn bộ lần thu thập, gồm cả năm 2026; số dòng giá là của cửa sổ 2020–2025).</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cantSplit/>
        </w:trPr>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Hạng mục</w:t>
            </w:r>
          </w:p>
        </w:tc>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Số lượng</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Bản ghi tin thô có URL duy nhất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12.140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Liên kết tin tức và mã trong bảng listings</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14.256</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Mã cổ phiếu được bao phủ</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Ngày dương lịch có ít nhất một tin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2.101</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Dòng dữ liệu giá OHLCV của 10 mã</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14.990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Mẫu trong tập hạt giống CafeF</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999</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Mẫu trong miền dữ liệu đã rà soát, hợp nhất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1.306</w:t>
            </w:r>
            <w:bookmarkStart w:id="174" w:name="tab%2525253Akq-snapshot"/>
            <w:bookmarkEnd w:id="174"/>
          </w:p>
        </w:tc>
      </w:tr>
    </w:tbl>
    <w:p>
      <w:pPr>
        <w:pStyle w:val="BodyText"/>
        <w:rPr/>
      </w:pPr>
      <w:r>
        <w:rPr>
          <w:i/>
          <w:iCs/>
        </w:rPr>
        <w:t>Nguồn: Tác giả tổng hợp từ snapshot dữ liệu của đề tài.</w:t>
      </w:r>
    </w:p>
    <w:p>
      <w:pPr>
        <w:pStyle w:val="BodyText"/>
        <w:rPr/>
      </w:pPr>
      <w:r>
        <w:rPr/>
        <w:t xml:space="preserve">Kho tin hiện lưu thời điểm đăng và nội dung của các bản ghi. Việc nối tin với mã cổ phiếu dựa trên bảng listings tạo ra các liên kết theo từng mã; do đó, số liên kết có thể lớn hơn số URL tin duy nhất. Các thống kê về dữ liệu sau khi loại trùng theo nội dung, phân bố nhãn và số mẫu cuối cùng trong từng phần chia chỉ được khóa sau khi quy trình xử lý hoàn tất. Quá trình rà soát nhãn ghi nhận một số ít liên kết nhiễu do trang listings tổng hợp cả tin của các mã liên quan (ví dụ, bài về MIG xuất hiện trong trang MBB và bài về FOX xuất hiện trong trang FPT); ba trường hợp này được đánh dấu trong </w:t>
      </w:r>
      <w:r>
        <w:rPr>
          <w:rStyle w:val="VerbatimChar"/>
        </w:rPr>
        <w:t>annotation_notes.csv</w:t>
      </w:r>
      <w:r>
        <w:rPr/>
        <w:t xml:space="preserve"> và được giữ nguyên trong tập nhãn vì nhãn NEUTRAL phản ánh đúng nội dung bài, nên không phải là lỗi gán nhãn. Các chỉ số của PhoBERT và mô hình dự báo được trình bày trong các mục sau khi có bản kê huấn luyện tương ứng.</w:t>
      </w:r>
      <w:bookmarkEnd w:id="173"/>
    </w:p>
    <w:p>
      <w:pPr>
        <w:pStyle w:val="Heading2"/>
        <w:rPr/>
      </w:pPr>
      <w:bookmarkStart w:id="175" w:name="__RefHeading___Toc11066_2435329662"/>
      <w:bookmarkStart w:id="176" w:name="sec%2525253Akq-setup"/>
      <w:bookmarkEnd w:id="175"/>
      <w:r>
        <w:rPr>
          <w:rFonts w:eastAsia="Times New Roman" w:cs="Times New Roman" w:ascii="Times New Roman" w:hAnsi="Times New Roman"/>
        </w:rPr>
        <w:t>4.2. Thiết lập thực nghiệm</w:t>
      </w:r>
    </w:p>
    <w:p>
      <w:pPr>
        <w:pStyle w:val="Heading3"/>
        <w:rPr/>
      </w:pPr>
      <w:bookmarkStart w:id="177" w:name="__RefHeading___Toc11068_2435329662"/>
      <w:bookmarkStart w:id="178" w:name="môi-trường-và-cấu-hình-phần-mềm"/>
      <w:bookmarkEnd w:id="177"/>
      <w:r>
        <w:rPr>
          <w:rFonts w:eastAsia="Times New Roman" w:cs="Times New Roman"/>
        </w:rPr>
        <w:t>4.2.1. Môi trường và cấu hình phần mềm</w:t>
      </w:r>
    </w:p>
    <w:p>
      <w:pPr>
        <w:pStyle w:val="FirstParagraph"/>
        <w:rPr/>
      </w:pPr>
      <w:r>
        <w:rPr/>
        <w:t>Hai nhánh của hệ thống được triển khai trên hai môi trường khác nhau và được ghi nhận riêng biệt. Nhánh cảm xúc tinh chỉnh PhoBERT trên GPU của Kaggle, trong khi nhánh dự báo chạy trên CPU của máy cục bộ do mô hình LSTM ở quy mô này không yêu cầu GPU. Bảng </w:t>
      </w:r>
      <w:hyperlink w:anchor="tab%2525253Akq-setup">
        <w:r>
          <w:rPr>
            <w:rStyle w:val="Hyperlink"/>
          </w:rPr>
          <w:t>4.2</w:t>
        </w:r>
      </w:hyperlink>
      <w:r>
        <w:rPr/>
        <w:t xml:space="preserve"> trình bày cấu hình thực tế của hai nhánh, được đọc trực tiếp từ </w:t>
      </w:r>
      <w:r>
        <w:rPr>
          <w:rStyle w:val="VerbatimChar"/>
        </w:rPr>
        <w:t>outputs/forecast_merged_sentiment_tft/forecast_results.json</w:t>
      </w:r>
      <w:r>
        <w:rPr/>
        <w:t xml:space="preserve"> và </w:t>
      </w:r>
      <w:r>
        <w:rPr>
          <w:rStyle w:val="VerbatimChar"/>
        </w:rPr>
        <w:t>models/sentiment/merged-refit/manifest.json</w:t>
      </w:r>
      <w:r>
        <w:rPr/>
        <w:t>.</w:t>
      </w:r>
    </w:p>
    <w:p>
      <w:pPr>
        <w:pStyle w:val="TableCaption"/>
        <w:rPr/>
      </w:pPr>
      <w:r>
        <w:rPr>
          <w:b/>
        </w:rPr>
        <w:t xml:space="preserve">Bảng 4.2: </w:t>
      </w:r>
      <w:r>
        <w:rPr/>
        <w:t>Thiết lập thực nghiệm đã ghi nhận của hai nhánh.</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cantSplit/>
        </w:trPr>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Hạng mục</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Nhánh cảm xúc</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Nhánh dự báo</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Phần cứng</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GPU Kaggle (CUDA)</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CPU cục bộ</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Python</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3.12.13</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3.12.14</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Thư viện chính</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PyTorch 2.10.0+cu128, Transformers 5.15.1, NumPy 2.0.2</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NumPy 2.5.2, pandas 3.0.5, scikit-learn, PyTorch</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Mô hình nền</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vinai/phobert-base</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1 lớp, 32 đơn vị ẩn</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Độ dài đầu vào</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256 token, cắt </w:t>
            </w:r>
            <w:r>
              <w:rPr>
                <w:rStyle w:val="VerbatimChar"/>
                <w:kern w:val="0"/>
                <w:szCs w:val="24"/>
                <w:lang w:val="en-US" w:eastAsia="zh-CN" w:bidi="ar-SA"/>
              </w:rPr>
              <w:t>head_tail</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cửa sổ 5 phiên</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Kích thước lô</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16</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128</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Tốc độ học</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
            <m:oMathPara xmlns:m="http://schemas.openxmlformats.org/officeDocument/2006/math">
              <m:oMathParaPr>
                <m:jc m:val="left"/>
              </m:oMathParaPr>
              <m:oMath>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m:oMathPara>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
            <m:oMathPara xmlns:m="http://schemas.openxmlformats.org/officeDocument/2006/math">
              <m:oMathParaPr>
                <m:jc m:val="left"/>
              </m:oMathParaPr>
              <m:oMath>
                <m:r>
                  <w:rPr>
                    <w:rFonts w:ascii="Cambria Math" w:hAnsi="Cambria Math"/>
                  </w:rPr>
                  <m:t xml:space="preserve">1</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m:oMathPara>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Số vòng huấn luyện</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5</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tối đa 40, dừng sớm kiên nhẫn 6</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Cân bằng lớp</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inverse_frequency</w:t>
            </w:r>
            <w:r>
              <w:rPr>
                <w:kern w:val="0"/>
                <w:szCs w:val="24"/>
                <w:lang w:val="en-US" w:eastAsia="zh-CN" w:bidi="ar-SA"/>
              </w:rPr>
              <w:t xml:space="preserve"> theo từng lượt</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không (lớp đã cân bằng theo thiết kế)</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Hạt giống</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gốc 42, mỗi lượt </w:t>
            </w:r>
            <w:r>
              <w:rPr/>
            </w:r>
            <m:oMath xmlns:m="http://schemas.openxmlformats.org/officeDocument/2006/math">
              <m:r>
                <w:rPr>
                  <w:rFonts w:ascii="Cambria Math" w:hAnsi="Cambria Math"/>
                </w:rPr>
                <m:t xml:space="preserve">42</m:t>
              </m:r>
              <m:r>
                <w:rPr>
                  <w:rFonts w:ascii="Cambria Math" w:hAnsi="Cambria Math"/>
                </w:rPr>
                <m:t xml:space="preserve">+</m:t>
              </m:r>
              <m:r>
                <w:rPr>
                  <w:rFonts w:ascii="Cambria Math" w:hAnsi="Cambria Math"/>
                </w:rPr>
                <m:t xml:space="preserve">k</m:t>
              </m:r>
            </m:oMath>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42, 43, 44 (bình quân 3 hạt giống)</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Chia dữ liệu</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phân tầng 5 lượt</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5 cửa sổ cuốn chiếu mở rộng</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Hash dữ liệu</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nhãn </w:t>
            </w:r>
            <w:r>
              <w:rPr>
                <w:rStyle w:val="VerbatimChar"/>
                <w:kern w:val="0"/>
                <w:szCs w:val="24"/>
                <w:lang w:val="en-US" w:eastAsia="zh-CN" w:bidi="ar-SA"/>
              </w:rPr>
              <w:t>18d896d8</w:t>
            </w:r>
            <w:r>
              <w:rPr>
                <w:kern w:val="0"/>
                <w:szCs w:val="24"/>
                <w:lang w:val="en-US" w:eastAsia="zh-CN" w:bidi="ar-SA"/>
              </w:rPr>
              <w:t>…</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 xml:space="preserve">giá </w:t>
            </w:r>
            <w:r>
              <w:rPr>
                <w:rStyle w:val="VerbatimChar"/>
                <w:kern w:val="0"/>
                <w:szCs w:val="24"/>
                <w:lang w:val="en-US" w:eastAsia="zh-CN" w:bidi="ar-SA"/>
              </w:rPr>
              <w:t>19fc9e0c</w:t>
            </w:r>
            <w:r>
              <w:rPr>
                <w:kern w:val="0"/>
                <w:szCs w:val="24"/>
                <w:lang w:val="en-US" w:eastAsia="zh-CN" w:bidi="ar-SA"/>
              </w:rPr>
              <w:t xml:space="preserve">…, bảng </w:t>
            </w:r>
            <w:r>
              <w:rPr>
                <w:rStyle w:val="VerbatimChar"/>
                <w:kern w:val="0"/>
                <w:szCs w:val="24"/>
                <w:lang w:val="en-US" w:eastAsia="zh-CN" w:bidi="ar-SA"/>
              </w:rPr>
              <w:t>3855c4cb</w:t>
            </w:r>
            <w:r>
              <w:rPr>
                <w:kern w:val="0"/>
                <w:szCs w:val="24"/>
                <w:lang w:val="en-US" w:eastAsia="zh-CN" w:bidi="ar-SA"/>
              </w:rPr>
              <w:t xml:space="preserve">…, cảm xúc </w:t>
            </w:r>
            <w:r>
              <w:rPr>
                <w:rStyle w:val="VerbatimChar"/>
                <w:kern w:val="0"/>
                <w:szCs w:val="24"/>
                <w:lang w:val="en-US" w:eastAsia="zh-CN" w:bidi="ar-SA"/>
              </w:rPr>
              <w:t>f5109dc1</w:t>
            </w:r>
            <w:r>
              <w:rPr>
                <w:kern w:val="0"/>
                <w:szCs w:val="24"/>
                <w:lang w:val="en-US" w:eastAsia="zh-CN" w:bidi="ar-SA"/>
              </w:rPr>
              <w:t>…</w:t>
            </w:r>
            <w:bookmarkStart w:id="179" w:name="tab%2525253Akq-setup"/>
            <w:bookmarkEnd w:id="179"/>
          </w:p>
        </w:tc>
      </w:tr>
    </w:tbl>
    <w:p>
      <w:pPr>
        <w:pStyle w:val="BodyText"/>
        <w:rPr/>
      </w:pPr>
      <w:r>
        <w:rPr>
          <w:i/>
          <w:iCs/>
        </w:rPr>
        <w:t>Nguồn: Tác giả tổng hợp từ bản kê của hai lần chạy.</w:t>
      </w:r>
    </w:p>
    <w:p>
      <w:pPr>
        <w:pStyle w:val="BodyText"/>
        <w:rPr/>
      </w:pPr>
      <w:r>
        <w:rPr/>
        <w:t>Hạt giống được cố định trong các bước chia dữ liệu, khởi tạo mô hình, trộn lô và lấy mẫu lặp. Trong nhánh dự báo, hạt giống dùng để khởi tạo mạng được thiết lập ngay trước khi tạo mô hình. Vì vậy, hai lần chạy độc lập cho kết quả trùng khớp đến từng chữ số, bảo đảm điều kiện để phép so sánh tại Mục </w:t>
      </w:r>
      <w:hyperlink w:anchor="sec%2525253Akq-donggop">
        <w:r>
          <w:rPr>
            <w:rStyle w:val="Hyperlink"/>
          </w:rPr>
          <w:t>4.5.2</w:t>
        </w:r>
      </w:hyperlink>
      <w:r>
        <w:rPr/>
        <w:t xml:space="preserve"> có hiệu lực. Các đoạn kiểm thử không được sử dụng để lựa chọn siêu tham số.</w:t>
      </w:r>
      <w:bookmarkEnd w:id="178"/>
    </w:p>
    <w:p>
      <w:pPr>
        <w:pStyle w:val="Heading3"/>
        <w:rPr/>
      </w:pPr>
      <w:bookmarkStart w:id="180" w:name="__RefHeading___Toc11070_2435329662"/>
      <w:bookmarkStart w:id="181" w:name="thiết-kế-chia-dữ-liệu"/>
      <w:bookmarkEnd w:id="180"/>
      <w:r>
        <w:rPr>
          <w:rFonts w:eastAsia="Times New Roman" w:cs="Times New Roman"/>
        </w:rPr>
        <w:t>4.2.2. Thiết kế chia dữ liệu</w:t>
      </w:r>
    </w:p>
    <w:p>
      <w:pPr>
        <w:pStyle w:val="FirstParagraph"/>
        <w:rPr/>
      </w:pPr>
      <w:r>
        <w:rPr/>
        <w:t>Dữ liệu giá được chia theo ngày giao dịch và sử dụng cùng mốc lịch cho các mã. Mỗi cửa sổ cuốn chiếu theo thời gian lần lượt gồm các phần huấn luyện, xác thực và kiểm thử theo đúng thứ tự thời gian. Không có tập giữ lại cuối tách riêng. Cấu hình được cố định trước lần chạy và không được thay đổi sau khi xem kết quả; mỗi đoạn kiểm thử chỉ được đánh giá một lần. Trong từng cửa sổ, scaler, imputer, ngưỡng tạo nhãn và phép chọn đặc trưng giá chỉ được ước lượng từ phần huấn luyện. Quy tắc này hạn chế khả năng điểm số tăng do các phép biến đổi thuộc nhánh giá đã tiếp cận dữ liệu tương lai. Giới hạn riêng của bộ sinh cảm xúc hồi cứu được trình bày tại Mục </w:t>
      </w:r>
      <w:hyperlink w:anchor="sec%2525253Akq-limitations">
        <w:r>
          <w:rPr>
            <w:rStyle w:val="Hyperlink"/>
          </w:rPr>
          <w:t>4.6.3</w:t>
        </w:r>
      </w:hyperlink>
      <w:r>
        <w:rPr/>
        <w:t>.</w:t>
      </w:r>
    </w:p>
    <w:p>
      <w:pPr>
        <w:pStyle w:val="BodyText"/>
        <w:rPr/>
      </w:pPr>
      <w:r>
        <w:rPr/>
        <w:t>Bảng </w:t>
      </w:r>
      <w:hyperlink w:anchor="tab%2525253Akq-windows">
        <w:r>
          <w:rPr>
            <w:rStyle w:val="Hyperlink"/>
          </w:rPr>
          <w:t>4.3</w:t>
        </w:r>
      </w:hyperlink>
      <w:r>
        <w:rPr/>
        <w:t xml:space="preserve"> trình bày năm cửa sổ được sử dụng. Phần huấn luyện được mở rộng dần, các khoảng ngày kiểm thử không chồng lấn, và ngưỡng tạo nhãn được ước lượng lại trong từng cửa sổ nên thay đổi theo thời gian.</w:t>
      </w:r>
    </w:p>
    <w:p>
      <w:pPr>
        <w:pStyle w:val="TableCaption"/>
        <w:rPr/>
      </w:pPr>
      <w:r>
        <w:rPr>
          <w:b/>
        </w:rPr>
        <w:t xml:space="preserve">Bảng 4.3: </w:t>
      </w:r>
      <w:r>
        <w:rPr/>
        <w:t>Năm cửa sổ cuốn chiếu và ngưỡng nhãn học từ phần huấn luyện.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cantSplit/>
        </w:trPr>
        <w:tc>
          <w:tcPr>
            <w:tcW w:w="132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Cửa sổ</w:t>
            </w:r>
          </w:p>
        </w:tc>
        <w:tc>
          <w:tcPr>
            <w:tcW w:w="13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Khoảng ngày kiểm thử</w:t>
            </w:r>
          </w:p>
        </w:tc>
        <w:tc>
          <w:tcPr>
            <w:tcW w:w="132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Ngưỡng dưới</w:t>
            </w:r>
          </w:p>
        </w:tc>
        <w:tc>
          <w:tcPr>
            <w:tcW w:w="132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Ngưỡng trên</w:t>
            </w:r>
          </w:p>
        </w:tc>
        <w:tc>
          <w:tcPr>
            <w:tcW w:w="13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Huấn luyện</w:t>
            </w:r>
          </w:p>
        </w:tc>
        <w:tc>
          <w:tcPr>
            <w:tcW w:w="132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DOWN/FLAT/UP</w:t>
            </w:r>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22/10/2024–14/01/2025</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00522</m:t>
                </m:r>
              </m:oMath>
            </m:oMathPara>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r>
                  <w:rPr>
                    <w:rFonts w:ascii="Cambria Math" w:hAnsi="Cambria Math"/>
                  </w:rPr>
                  <m:t xml:space="preserve">00565</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11.350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169/311/120</w:t>
            </w:r>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15/01/2025–16/04/2025</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00513</m:t>
                </m:r>
              </m:oMath>
            </m:oMathPara>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r>
                  <w:rPr>
                    <w:rFonts w:ascii="Cambria Math" w:hAnsi="Cambria Math"/>
                  </w:rPr>
                  <m:t xml:space="preserve">00557</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11.950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165/259/176</w:t>
            </w:r>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3</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17/04/2025–14/07/2025</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00502</m:t>
                </m:r>
              </m:oMath>
            </m:oMathPara>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r>
                  <w:rPr>
                    <w:rFonts w:ascii="Cambria Math" w:hAnsi="Cambria Math"/>
                  </w:rPr>
                  <m:t xml:space="preserve">00535</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12.550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139/239/222</w:t>
            </w:r>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4</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15/07/2025–08/10/2025</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00495</m:t>
                </m:r>
              </m:oMath>
            </m:oMathPara>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r>
                  <w:rPr>
                    <w:rFonts w:ascii="Cambria Math" w:hAnsi="Cambria Math"/>
                  </w:rPr>
                  <m:t xml:space="preserve">00530</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13.150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213/168/219</w:t>
            </w:r>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5</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09/10/2025–31/12/2025</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00477</m:t>
                </m:r>
              </m:oMath>
            </m:oMathPara>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r>
                  <w:rPr>
                    <w:rFonts w:ascii="Cambria Math" w:hAnsi="Cambria Math"/>
                  </w:rPr>
                  <m:t xml:space="preserve">00535</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13.750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234/143/223</w:t>
            </w:r>
            <w:bookmarkStart w:id="182" w:name="tab%2525253Akq-windows"/>
            <w:bookmarkEnd w:id="182"/>
          </w:p>
        </w:tc>
      </w:tr>
    </w:tbl>
    <w:p>
      <w:pPr>
        <w:pStyle w:val="BodyText"/>
        <w:rPr/>
      </w:pPr>
      <w:r>
        <w:rPr>
          <w:i/>
          <w:iCs/>
        </w:rPr>
        <w:t xml:space="preserve">Nguồn: </w:t>
      </w:r>
      <w:r>
        <w:rPr>
          <w:rStyle w:val="VerbatimChar"/>
          <w:i/>
          <w:iCs/>
        </w:rPr>
        <w:t>outputs/forecast_merged_sentiment_tft/forecast_results.json</w:t>
      </w:r>
      <w:r>
        <w:rPr>
          <w:i/>
          <w:iCs/>
        </w:rPr>
        <w:t>.</w:t>
      </w:r>
    </w:p>
    <w:p>
      <w:pPr>
        <w:pStyle w:val="BodyText"/>
        <w:rPr/>
      </w:pPr>
      <w:r>
        <w:rPr/>
        <w:t>Mỗi cửa sổ gồm 600 chuỗi xác thực và 600 chuỗi kiểm thử. Phân bố lớp trong tập kiểm thử lệch dần theo thời gian: cửa sổ 1 tập trung nhiều hơn ở lớp FLAT (311 trên 600), trong khi cửa sổ 5 tập trung nhiều hơn ở hai lớp biên (234 DOWN và 223 UP trên 600). Nguyên nhân là các ngưỡng được học từ dữ liệu quá khứ rồi áp dụng cho dữ liệu tương lai. Do đó, khi mức độ biến động của thị trường tăng, tỷ lệ FLAT giảm. Đây là hệ quả trực tiếp của yêu cầu không sử dụng dữ liệu tương lai và cần được xem xét khi so sánh kết quả giữa các cửa sổ.</w:t>
      </w:r>
      <w:bookmarkEnd w:id="181"/>
    </w:p>
    <w:p>
      <w:pPr>
        <w:pStyle w:val="Heading3"/>
        <w:rPr/>
      </w:pPr>
      <w:bookmarkStart w:id="183" w:name="__RefHeading___Toc11072_2435329662"/>
      <w:bookmarkStart w:id="184" w:name="Xaf498f4d25596d7fc35c3e8b6c25b1affb7bf6e"/>
      <w:bookmarkEnd w:id="183"/>
      <w:r>
        <w:rPr>
          <w:rFonts w:eastAsia="Times New Roman" w:cs="Times New Roman"/>
        </w:rPr>
        <w:t>4.2.3. Cấu hình huấn luyện và tiêu chí chọn mô hình</w:t>
      </w:r>
    </w:p>
    <w:p>
      <w:pPr>
        <w:pStyle w:val="FirstParagraph"/>
        <w:rPr/>
      </w:pPr>
      <w:r>
        <w:rPr/>
        <w:t>Điểm kiểm PhoBERT được lựa chọn dựa trên F1 vĩ mô của tập xác thực thuộc tầng cảm xúc. Mô hình dự báo được lựa chọn theo F1 vĩ mô trên tập xác thực trước khi được đánh giá trên tập kiểm thử của phần chia tương ứng. Hai cấu hình có và không có cảm xúc sử dụng cùng ngân sách thử nghiệm. Khi sử dụng nhiều hạt giống, báo cáo cần trình bày giá trị trung bình, độ lệch chuẩn và quy tắc tổng hợp. Nếu chỉ sử dụng một hạt giống do giới hạn tài nguyên, điều này phải được ghi nhận là một giới hạn của kết quả.</w:t>
      </w:r>
    </w:p>
    <w:p>
      <w:pPr>
        <w:pStyle w:val="BodyText"/>
        <w:rPr/>
      </w:pPr>
      <w:r>
        <w:rPr/>
        <w:t xml:space="preserve">Các đối chứng cơ sở được chạy trước TFT. Quy trình này là cần thiết vì kết quả của mô hình phức tạp chỉ có ý nghĩa khi được so sánh với các mốc đối chứng trên cùng dữ liệu và theo cùng giao thức của đề tài </w:t>
      </w:r>
      <w:hyperlink w:anchor="ref-Chen2021_210708721v1">
        <w:r>
          <w:rPr>
            <w:rStyle w:val="Hyperlink"/>
          </w:rPr>
          <w:t>[4]</w:t>
        </w:r>
      </w:hyperlink>
      <w:r>
        <w:rPr/>
        <w:t xml:space="preserve">, </w:t>
      </w:r>
      <w:hyperlink w:anchor="ref-Feng2018_181009936v2">
        <w:r>
          <w:rPr>
            <w:rStyle w:val="Hyperlink"/>
          </w:rPr>
          <w:t>[7]</w:t>
        </w:r>
      </w:hyperlink>
      <w:r>
        <w:rPr/>
        <w:t>.</w:t>
      </w:r>
      <w:bookmarkEnd w:id="176"/>
      <w:bookmarkEnd w:id="184"/>
    </w:p>
    <w:p>
      <w:pPr>
        <w:pStyle w:val="Heading2"/>
        <w:rPr/>
      </w:pPr>
      <w:bookmarkStart w:id="185" w:name="__RefHeading___Toc11074_2435329662"/>
      <w:bookmarkStart w:id="186" w:name="sec%2525253Akq-data"/>
      <w:bookmarkEnd w:id="185"/>
      <w:r>
        <w:rPr>
          <w:rFonts w:eastAsia="Times New Roman" w:cs="Times New Roman" w:ascii="Times New Roman" w:hAnsi="Times New Roman"/>
        </w:rPr>
        <w:t>4.3. Thống kê dữ liệu</w:t>
      </w:r>
    </w:p>
    <w:p>
      <w:pPr>
        <w:pStyle w:val="Heading3"/>
        <w:rPr/>
      </w:pPr>
      <w:bookmarkStart w:id="187" w:name="__RefHeading___Toc11076_2435329662"/>
      <w:bookmarkStart w:id="188" w:name="quy-mô-kho-ngữ-liệu-tin"/>
      <w:bookmarkEnd w:id="187"/>
      <w:r>
        <w:rPr>
          <w:rFonts w:eastAsia="Times New Roman" w:cs="Times New Roman"/>
        </w:rPr>
        <w:t>4.3.1. Quy mô kho ngữ liệu tin</w:t>
      </w:r>
    </w:p>
    <w:p>
      <w:pPr>
        <w:pStyle w:val="FirstParagraph"/>
        <w:rPr/>
      </w:pPr>
      <w:r>
        <w:rPr/>
        <w:t>Bảng </w:t>
      </w:r>
      <w:hyperlink w:anchor="tab%2525253Akq-news-stats">
        <w:r>
          <w:rPr>
            <w:rStyle w:val="Hyperlink"/>
          </w:rPr>
          <w:t>4.4</w:t>
        </w:r>
      </w:hyperlink>
      <w:r>
        <w:rPr/>
        <w:t xml:space="preserve"> trình bày số lượng bản ghi sau từng cổng xử lý và độ phủ tin tức trong bảng dữ liệu mã–phiên. Các thống kê này được tính từ </w:t>
      </w:r>
      <w:r>
        <w:rPr>
          <w:rStyle w:val="VerbatimChar"/>
        </w:rPr>
        <w:t>stf.cli verify</w:t>
      </w:r>
      <w:r>
        <w:rPr/>
        <w:t xml:space="preserve"> và trường </w:t>
      </w:r>
      <w:r>
        <w:rPr>
          <w:rStyle w:val="VerbatimChar"/>
        </w:rPr>
        <w:t>provenance</w:t>
      </w:r>
      <w:r>
        <w:rPr/>
        <w:t xml:space="preserve"> của </w:t>
      </w:r>
      <w:r>
        <w:rPr>
          <w:rStyle w:val="VerbatimChar"/>
        </w:rPr>
        <w:t>outputs/forecast_merged_sentiment_tft/forecast_results.json</w:t>
      </w:r>
      <w:r>
        <w:rPr/>
        <w:t>.</w:t>
      </w:r>
    </w:p>
    <w:p>
      <w:pPr>
        <w:pStyle w:val="TableCaption"/>
        <w:rPr/>
      </w:pPr>
      <w:r>
        <w:rPr>
          <w:b/>
        </w:rPr>
        <w:t xml:space="preserve">Bảng 4.4: </w:t>
      </w:r>
      <w:r>
        <w:rPr/>
        <w:t>Thống kê kho ngữ liệu tin tức và độ phủ theo phiên.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cantSplit/>
        </w:trPr>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Chỉ tiêu</w:t>
            </w:r>
          </w:p>
        </w:tc>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Số lượng hoặc tỷ lệ</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Bài tin có URL duy nhất trong cửa sổ 2020–2025</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10.695</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Liên kết tin–mã cổ phiếu trong cửa sổ</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12.624</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Bản ghi có mốc thời gian hợp lệ</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10.695 (100%)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Bài có nội dung ngoài tiêu đề</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10.695 (100%)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Liên kết neo vào chính phiên đăng</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6.554</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Liên kết chuyển sang phiên kế tiếp</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6.070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trong đó rơi sang phiên năm 2026, ngoài cửa sổ</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11</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Liên kết dùng được trong bảng dữ liệu</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12.613</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Dòng mã–phiên của bảng dữ liệu</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14.990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Dòng mã–phiên có ít nhất một tin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6.948 (46,35%)</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Dòng mã–phiên không có tin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8.042 (53,65%)</w:t>
            </w:r>
            <w:bookmarkStart w:id="189" w:name="tab%2525253Akq-news-stats"/>
            <w:bookmarkEnd w:id="189"/>
          </w:p>
        </w:tc>
      </w:tr>
    </w:tbl>
    <w:p>
      <w:pPr>
        <w:pStyle w:val="BodyText"/>
        <w:rPr/>
      </w:pPr>
      <w:r>
        <w:rPr>
          <w:i/>
          <w:iCs/>
        </w:rPr>
        <w:t xml:space="preserve">Nguồn: </w:t>
      </w:r>
      <w:r>
        <w:rPr>
          <w:rStyle w:val="VerbatimChar"/>
          <w:i/>
          <w:iCs/>
        </w:rPr>
        <w:t>outputs/forecast_merged_sentiment_tft/forecast_results.json</w:t>
      </w:r>
      <w:r>
        <w:rPr>
          <w:i/>
          <w:iCs/>
        </w:rPr>
        <w:t xml:space="preserve">, trường </w:t>
      </w:r>
      <w:r>
        <w:rPr>
          <w:rStyle w:val="VerbatimChar"/>
          <w:i/>
          <w:iCs/>
        </w:rPr>
        <w:t>provenance.alignment_report_in_window</w:t>
      </w:r>
      <w:r>
        <w:rPr>
          <w:i/>
          <w:iCs/>
        </w:rPr>
        <w:t xml:space="preserve"> và </w:t>
      </w:r>
      <w:r>
        <w:rPr>
          <w:rStyle w:val="VerbatimChar"/>
          <w:i/>
          <w:iCs/>
        </w:rPr>
        <w:t>provenance.news_coverage</w:t>
      </w:r>
      <w:r>
        <w:rPr>
          <w:i/>
          <w:iCs/>
        </w:rPr>
        <w:t>.</w:t>
      </w:r>
    </w:p>
    <w:p>
      <w:pPr>
        <w:pStyle w:val="BodyText"/>
        <w:rPr/>
      </w:pPr>
      <w:r>
        <w:rPr/>
        <w:t>Độ phủ được tính theo hai cách và cho kết quả khác nhau; do đó, cần xác định rõ định nghĩa. Nếu chỉ đối chiếu ngày đăng tin với ngày có phiên giao dịch, độ phủ đạt 43,7% (6.556 trên 14.990 dòng mã–phiên có tin đăng đúng ngày). Khi bổ sung điều kiện tin phải được đăng trước mốc cắt 15:00, độ phủ giảm còn 29,2% (4.377 dòng). Cách thứ nhất chỉ loại tin đăng vào cuối tuần và ngày lễ, trong khi cách thứ hai loại thêm các tin đăng sau mốc cắt. Giá trị 46,35% trong Bảng </w:t>
      </w:r>
      <w:hyperlink w:anchor="tab%2525253Akq-news-stats">
        <w:r>
          <w:rPr>
            <w:rStyle w:val="Hyperlink"/>
          </w:rPr>
          <w:t>4.4</w:t>
        </w:r>
      </w:hyperlink>
      <w:r>
        <w:rPr/>
        <w:t xml:space="preserve"> phản ánh độ phủ của quy trình thực tế: tin đăng sau mốc cắt được chuyển sang phiên kế tiếp thay vì bị loại. Do đó, 6.059 liên kết chuyển phiên trong cửa sổ vẫn được sử dụng (6.070 liên kết </w:t>
      </w:r>
      <w:r>
        <w:rPr>
          <w:rStyle w:val="VerbatimChar"/>
        </w:rPr>
        <w:t>next_session</w:t>
      </w:r>
      <w:r>
        <w:rPr/>
        <w:t xml:space="preserve"> trừ 11 liên kết neo sang phiên ngoài cửa sổ). Toàn bộ chương này sử dụng định nghĩa thứ hai.</w:t>
      </w:r>
    </w:p>
    <w:p>
      <w:pPr>
        <w:pStyle w:val="BodyText"/>
        <w:rPr/>
      </w:pPr>
      <w:r>
        <w:rPr/>
        <w:t xml:space="preserve">Độ phủ tin tức khác biệt đáng kể giữa các mã: MBB và TCB có trên 2.000 liên kết cho mỗi mã, trong khi GAS chỉ có 548. Vì vậy, số tin và biến </w:t>
      </w:r>
      <w:r>
        <w:rPr>
          <w:rStyle w:val="VerbatimChar"/>
        </w:rPr>
        <w:t>has_news</w:t>
      </w:r>
      <w:r>
        <w:rPr/>
        <w:t xml:space="preserve"> được giữ làm các đặc trưng riêng. Ngày không có tin </w:t>
      </w:r>
      <w:r>
        <w:rPr>
          <w:b/>
          <w:bCs/>
        </w:rPr>
        <w:t>không</w:t>
      </w:r>
      <w:r>
        <w:rPr/>
        <w:t xml:space="preserve"> được gộp vào lớp trung tính mà được gán phân phối tiên nghiệm trung tính, kèm theo cờ </w:t>
      </w:r>
      <w:r>
        <w:rPr>
          <w:rStyle w:val="VerbatimChar"/>
        </w:rPr>
        <w:t>has_news</w:t>
      </w:r>
      <w:r>
        <w:rPr/>
        <w:t xml:space="preserve"> bằng 0. Đối chứng tại Mục </w:t>
      </w:r>
      <w:hyperlink w:anchor="sec%2525253Akq-donggop">
        <w:r>
          <w:rPr>
            <w:rStyle w:val="Hyperlink"/>
          </w:rPr>
          <w:t>4.5.2</w:t>
        </w:r>
      </w:hyperlink>
      <w:r>
        <w:rPr/>
        <w:t xml:space="preserve"> giữ nguyên các ngày có tin, thời điểm và số lượng tin, đồng thời chỉ trung tính hóa xác suất cảm xúc.</w:t>
      </w:r>
      <w:bookmarkEnd w:id="188"/>
    </w:p>
    <w:p>
      <w:pPr>
        <w:pStyle w:val="Heading3"/>
        <w:rPr/>
      </w:pPr>
      <w:bookmarkStart w:id="190" w:name="__RefHeading___Toc11078_2435329662"/>
      <w:bookmarkStart w:id="191" w:name="quy-mô-dữ-liệu-giá-và-phân-bố-nhãn"/>
      <w:bookmarkEnd w:id="190"/>
      <w:r>
        <w:rPr>
          <w:rFonts w:eastAsia="Times New Roman" w:cs="Times New Roman"/>
        </w:rPr>
        <w:t>4.3.2. Quy mô dữ liệu giá và phân bố nhãn</w:t>
      </w:r>
    </w:p>
    <w:p>
      <w:pPr>
        <w:pStyle w:val="FirstParagraph"/>
        <w:rPr/>
      </w:pPr>
      <w:r>
        <w:rPr/>
        <w:t xml:space="preserve">Dữ liệu giá gồm 10 mã trên HOSE, mỗi mã có đúng 1.499 phiên từ 02/01/2020 đến 31/12/2025 và không có giá trị thiếu. Vì vậy, bảng dữ liệu mã–phiên có đủ </w:t>
      </w:r>
      <w:r>
        <w:rPr/>
      </w:r>
      <m:oMath xmlns:m="http://schemas.openxmlformats.org/officeDocument/2006/math">
        <m:r>
          <w:rPr>
            <w:rFonts w:ascii="Cambria Math" w:hAnsi="Cambria Math"/>
          </w:rPr>
          <m:t xml:space="preserve">10</m:t>
        </m:r>
        <m:r>
          <w:rPr>
            <w:rFonts w:ascii="Cambria Math" w:hAnsi="Cambria Math"/>
          </w:rPr>
          <m:t xml:space="preserve">×</m:t>
        </m:r>
        <m:r>
          <w:rPr>
            <w:rFonts w:ascii="Cambria Math" w:hAnsi="Cambria Math"/>
          </w:rPr>
          <m:t xml:space="preserve">1.499</m:t>
        </m:r>
        <m:r>
          <w:rPr>
            <w:rFonts w:ascii="Cambria Math" w:hAnsi="Cambria Math"/>
          </w:rPr>
          <m:t xml:space="preserve">=</m:t>
        </m:r>
        <m:r>
          <w:rPr>
            <w:rFonts w:ascii="Cambria Math" w:hAnsi="Cambria Math"/>
          </w:rPr>
          <m:t xml:space="preserve">14.990</m:t>
        </m:r>
      </m:oMath>
      <w:r>
        <w:rPr/>
        <w:t xml:space="preserve"> dòng. Tuy nhiên, số dòng thực tế được đưa vào mô hình nhỏ hơn giá trị này. Mỗi chuỗi cần một cửa sổ lịch sử đầy đủ gồm 5 phiên và một phiên kế tiếp để tính nhãn, nên các phiên đầu và phiên cuối của mỗi mã không tạo được mẫu. Cụ thể, ở cửa sổ đầu tiên, số chuỗi gồm 11.350 chuỗi huấn luyện, 600 chuỗi xác thực và 600 chuỗi kiểm thử, không đạt 14.990 chuỗi (Bảng </w:t>
      </w:r>
      <w:hyperlink w:anchor="tab%2525253Akq-windows">
        <w:r>
          <w:rPr>
            <w:rStyle w:val="Hyperlink"/>
          </w:rPr>
          <w:t>4.3</w:t>
        </w:r>
      </w:hyperlink>
      <w:r>
        <w:rPr/>
        <w:t>).</w:t>
      </w:r>
    </w:p>
    <w:p>
      <w:pPr>
        <w:pStyle w:val="BodyText"/>
        <w:rPr/>
      </w:pPr>
      <w:r>
        <w:rPr/>
        <w:t>Tệp giá gốc trên đĩa còn chứa các phiên của năm 2026, nằm ngoài cửa sổ nghiên cứu đã khóa. Các dòng này bị loại khi xây dựng bảng dữ liệu nên không xuất hiện trong bất kỳ số liệu nào của chương.</w:t>
      </w:r>
    </w:p>
    <w:p>
      <w:pPr>
        <w:pStyle w:val="BodyText"/>
        <w:rPr/>
      </w:pPr>
      <w:r>
        <w:rPr/>
        <w:t>Nhãn UP, FLAT và DOWN được xác định theo các ngưỡng tại phân vị một phần ba và hai phần ba của lợi suất trong cửa sổ huấn luyện. Vì vậy, tỷ lệ ba lớp trên phần huấn luyện gần bằng nhau theo thiết kế. Trên tập kiểm thử, tỷ lệ các lớp lệch khỏi mức cân bằng do các ngưỡng được học từ quá khứ và áp dụng cho tương lai. Bảng </w:t>
      </w:r>
      <w:hyperlink w:anchor="tab%2525253Akq-price-stats">
        <w:r>
          <w:rPr>
            <w:rStyle w:val="Hyperlink"/>
          </w:rPr>
          <w:t>4.5</w:t>
        </w:r>
      </w:hyperlink>
      <w:r>
        <w:rPr/>
        <w:t xml:space="preserve"> tổng hợp phân bố nhãn của tập kiểm thử theo từng cửa sổ.</w:t>
      </w:r>
    </w:p>
    <w:p>
      <w:pPr>
        <w:pStyle w:val="TableCaption"/>
        <w:rPr/>
      </w:pPr>
      <w:r>
        <w:rPr>
          <w:b/>
        </w:rPr>
        <w:t xml:space="preserve">Bảng 4.5: </w:t>
      </w:r>
      <w:r>
        <w:rPr/>
        <w:t>Phân bố nhãn ba lớp trên tập kiểm thử của năm cửa sổ.</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cantSplit/>
        </w:trPr>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Cửa sổ kiểm thử</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DOWN</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FLAT</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UP</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Tổng</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311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120</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600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2</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165</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259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176</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600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139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239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222</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600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4</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213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168</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219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600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5</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234</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143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223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600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Tổng</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919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1.121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960</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3.000</w:t>
            </w:r>
            <w:bookmarkStart w:id="192" w:name="tab%2525253Akq-price-stats"/>
            <w:bookmarkEnd w:id="192"/>
          </w:p>
        </w:tc>
      </w:tr>
    </w:tbl>
    <w:p>
      <w:pPr>
        <w:pStyle w:val="BodyText"/>
        <w:rPr/>
      </w:pPr>
      <w:r>
        <w:rPr>
          <w:i/>
          <w:iCs/>
        </w:rPr>
        <w:t xml:space="preserve">Nguồn: </w:t>
      </w:r>
      <w:r>
        <w:rPr>
          <w:rStyle w:val="VerbatimChar"/>
          <w:i/>
          <w:iCs/>
        </w:rPr>
        <w:t>outputs/forecast_merged_sentiment_tft/forecast_results.json</w:t>
      </w:r>
      <w:r>
        <w:rPr>
          <w:i/>
          <w:iCs/>
        </w:rPr>
        <w:t>.</w:t>
      </w:r>
    </w:p>
    <w:p>
      <w:pPr>
        <w:pStyle w:val="BodyText"/>
        <w:rPr/>
      </w:pPr>
      <w:r>
        <w:rPr/>
        <w:t>Trên toàn bộ 3.000 dòng kiểm thử, tỷ lệ ba lớp lần lượt là 30,6% DOWN, 37,4% FLAT và 32,0% UP. Do các lớp gần cân bằng, mức ngẫu nhiên là 0,333, trong khi phương án dự đoán toàn bộ quan sát theo lớp phổ biến chỉ đạt Macro-F1 khoảng 0,16. Vì vậy, độ chính xác không phản ánh đầy đủ khả năng nhận diện hai lớp UP và DOWN; F1 vĩ mô và độ chính xác cân bằng được lựa chọn làm các chỉ số trung tâm.</w:t>
      </w:r>
      <w:bookmarkEnd w:id="186"/>
      <w:bookmarkEnd w:id="191"/>
    </w:p>
    <w:p>
      <w:pPr>
        <w:pStyle w:val="Heading2"/>
        <w:rPr/>
      </w:pPr>
      <w:bookmarkStart w:id="193" w:name="__RefHeading___Toc11080_2435329662"/>
      <w:bookmarkStart w:id="194" w:name="sec%2525253Akq-sentiment"/>
      <w:bookmarkEnd w:id="193"/>
      <w:r>
        <w:rPr>
          <w:rFonts w:eastAsia="Times New Roman" w:cs="Times New Roman" w:ascii="Times New Roman" w:hAnsi="Times New Roman"/>
        </w:rPr>
        <w:t>4.4. Kết quả phân loại cảm xúc</w:t>
      </w:r>
    </w:p>
    <w:p>
      <w:pPr>
        <w:pStyle w:val="Heading3"/>
        <w:rPr/>
      </w:pPr>
      <w:bookmarkStart w:id="195" w:name="__RefHeading___Toc11082_2435329662"/>
      <w:bookmarkStart w:id="196" w:name="chất-lượng-nhãn-trong-miền-dữ-liệu"/>
      <w:bookmarkEnd w:id="195"/>
      <w:r>
        <w:rPr>
          <w:rFonts w:eastAsia="Times New Roman" w:cs="Times New Roman"/>
        </w:rPr>
        <w:t>4.4.1. Chất lượng nhãn trong miền dữ liệu</w:t>
      </w:r>
    </w:p>
    <w:p>
      <w:pPr>
        <w:pStyle w:val="FirstParagraph"/>
        <w:rPr/>
      </w:pPr>
      <w:r>
        <w:rPr/>
        <w:t xml:space="preserve">Các số liệu chính thức trong mục này được tính trên tập </w:t>
      </w:r>
      <w:r>
        <w:rPr>
          <w:rStyle w:val="VerbatimChar"/>
        </w:rPr>
        <w:t>labeled_merged.csv</w:t>
      </w:r>
      <w:r>
        <w:rPr/>
        <w:t>, gồm 1.306 mẫu trong miền dữ liệu. Lượt đầu bao gồm 306 mẫu. Ở lượt mở rộng, cùng người rà soát đã xác nhận 1.000 mẫu, không thay đổi bất kỳ nhãn sơ bộ nào, sau đó hợp nhất các mẫu này với lượt đầu. Mô hình ngôn ngữ lớn chỉ được sử dụng để tạo nhãn sơ bộ. Do không có người gán nhãn thứ hai, quy trình không tính Cohen’s hoặc Fleiss’ kappa.</w:t>
      </w:r>
    </w:p>
    <w:p>
      <w:pPr>
        <w:pStyle w:val="BodyText"/>
        <w:rPr/>
      </w:pPr>
      <w:r>
        <w:rPr/>
        <w:t xml:space="preserve">Toàn bộ mẫu trong tập có </w:t>
      </w:r>
      <w:r>
        <w:rPr>
          <w:rStyle w:val="VerbatimChar"/>
        </w:rPr>
        <w:t>annotation_source</w:t>
      </w:r>
      <w:r>
        <w:rPr/>
        <w:t xml:space="preserve"> bằng </w:t>
      </w:r>
      <w:r>
        <w:rPr>
          <w:rStyle w:val="VerbatimChar"/>
        </w:rPr>
        <w:t>human_reviewed</w:t>
      </w:r>
      <w:r>
        <w:rPr/>
        <w:t xml:space="preserve"> và </w:t>
      </w:r>
      <w:r>
        <w:rPr>
          <w:rStyle w:val="VerbatimChar"/>
        </w:rPr>
        <w:t>annotation_status</w:t>
      </w:r>
      <w:r>
        <w:rPr/>
        <w:t xml:space="preserve"> bằng </w:t>
      </w:r>
      <w:r>
        <w:rPr>
          <w:rStyle w:val="VerbatimChar"/>
        </w:rPr>
        <w:t>REVIEWED</w:t>
      </w:r>
      <w:r>
        <w:rPr/>
        <w:t>. Xác thực chéo theo tầng được thực hiện trên tập dữ liệu này. Mục </w:t>
      </w:r>
      <w:hyperlink w:anchor="sec%2525253Akq-mornhan">
        <w:r>
          <w:rPr>
            <w:rStyle w:val="Hyperlink"/>
          </w:rPr>
          <w:t>4.7</w:t>
        </w:r>
      </w:hyperlink>
      <w:r>
        <w:rPr/>
        <w:t xml:space="preserve"> trình bày cách sử dụng các tầng nhằm duy trì tính không chệch của ước lượng trên tập kiểm thử.</w:t>
      </w:r>
    </w:p>
    <w:p>
      <w:pPr>
        <w:pStyle w:val="TableCaption"/>
        <w:rPr/>
      </w:pPr>
      <w:r>
        <w:rPr>
          <w:b/>
        </w:rPr>
        <w:t xml:space="preserve">Bảng 4.6: </w:t>
      </w:r>
      <w:r>
        <w:rPr/>
        <w:t>Thông tin gán nhãn tập cảm xúc trong miền dữ liệu.</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cantSplit/>
        </w:trPr>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Chỉ tiêu</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Lượt 1</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Lượt 2, đã rà soát</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Số người rà soát</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Số mẫu</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306</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1.000</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NEGATIVE</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31 (10,1%)</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163 (16,3%)</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NEUTRAL</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204 (66,7%)</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567 (56,7%)</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POSITIVE</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71 (23,2%)</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270 (27,0%)</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Dùng cho chỉ số đang trình bày</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Có, lịch sử</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Có, xác thực chéo theo tầng</w:t>
            </w:r>
            <w:bookmarkStart w:id="197" w:name="tab%2525253Akq-annotation"/>
            <w:bookmarkEnd w:id="197"/>
          </w:p>
        </w:tc>
      </w:tr>
    </w:tbl>
    <w:p>
      <w:pPr>
        <w:pStyle w:val="BodyText"/>
        <w:rPr/>
      </w:pPr>
      <w:r>
        <w:rPr>
          <w:i/>
          <w:iCs/>
        </w:rPr>
        <w:t xml:space="preserve">Nguồn: </w:t>
      </w:r>
      <w:r>
        <w:rPr>
          <w:rStyle w:val="VerbatimChar"/>
          <w:i/>
          <w:iCs/>
        </w:rPr>
        <w:t>to_label_r1.csv</w:t>
      </w:r>
      <w:r>
        <w:rPr>
          <w:i/>
          <w:iCs/>
        </w:rPr>
        <w:t xml:space="preserve"> và </w:t>
      </w:r>
      <w:r>
        <w:rPr>
          <w:rStyle w:val="VerbatimChar"/>
          <w:i/>
          <w:iCs/>
        </w:rPr>
        <w:t>to_label_batch2_ai.csv</w:t>
      </w:r>
      <w:r>
        <w:rPr>
          <w:i/>
          <w:iCs/>
        </w:rPr>
        <w:t>.</w:t>
      </w:r>
    </w:p>
    <w:p>
      <w:pPr>
        <w:pStyle w:val="BodyText"/>
        <w:rPr/>
      </w:pPr>
      <w:r>
        <w:rPr/>
        <w:t xml:space="preserve">Năm tập kiểm thử ngoài có tổng cộng 59 mẫu NEGATIVE, với 11 hoặc 12 mẫu trong mỗi lượt. Khoảng tin cậy của độ bao phủ đối với lớp này vẫn rộng hơn so với hai lớp còn lại, với nửa độ rộng xấp xỉ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128</m:t>
        </m:r>
      </m:oMath>
      <w:r>
        <w:rPr/>
        <w:t xml:space="preserve"> quanh tỷ lệ 0,5. Tuy nhiên, số lượng này cho phép đo độ bao phủ của lớp NEGATIVE, thay vì để lớp này vắng mặt trong nhiều lượt như ở kết quả lịch sử sử dụng 306 mẫu.</w:t>
      </w:r>
      <w:bookmarkEnd w:id="196"/>
    </w:p>
    <w:p>
      <w:pPr>
        <w:pStyle w:val="Heading3"/>
        <w:rPr/>
      </w:pPr>
      <w:bookmarkStart w:id="198" w:name="__RefHeading___Toc11084_2435329662"/>
      <w:bookmarkStart w:id="199" w:name="sec%2525253Akq-sentiment-metrics"/>
      <w:bookmarkEnd w:id="198"/>
      <w:r>
        <w:rPr>
          <w:rFonts w:eastAsia="Times New Roman" w:cs="Times New Roman"/>
        </w:rPr>
        <w:t>4.4.2. Chỉ số mô hình cảm xúc</w:t>
      </w:r>
    </w:p>
    <w:p>
      <w:pPr>
        <w:pStyle w:val="FirstParagraph"/>
        <w:rPr/>
      </w:pPr>
      <w:r>
        <w:rPr/>
        <w:t xml:space="preserve">PhoBERT được đánh giá bằng xác thực chéo theo tầng 5 lượt trên 1.306 mẫu đã được rà soát. Hai tầng làm giàu chỉ được đưa vào phần huấn luyện; tập kiểm thử ngoài chỉ bao gồm dữ liệu từ </w:t>
      </w:r>
      <w:r>
        <w:rPr>
          <w:rStyle w:val="VerbatimChar"/>
        </w:rPr>
        <w:t>eval_random</w:t>
      </w:r>
      <w:r>
        <w:rPr/>
        <w:t xml:space="preserve"> và </w:t>
      </w:r>
      <w:r>
        <w:rPr>
          <w:rStyle w:val="VerbatimChar"/>
        </w:rPr>
        <w:t>baseline_random</w:t>
      </w:r>
      <w:r>
        <w:rPr/>
        <w:t xml:space="preserve">. Năm tập kiểm thử có tổng cộng 656 dòng, trong đó mỗi lượt gồm 131 hoặc 132 dòng. Trong mỗi lượt, 118 dòng xác thực tiếp tục được rút từ phần huấn luyện ngoài để lựa chọn điểm kiểm. Cấu hình thực nghiệm là </w:t>
      </w:r>
      <w:r>
        <w:rPr>
          <w:rStyle w:val="VerbatimChar"/>
        </w:rPr>
        <w:t>title_context</w:t>
      </w:r>
      <w:r>
        <w:rPr/>
        <w:t xml:space="preserve"> với phương pháp cắt </w:t>
      </w:r>
      <w:r>
        <w:rPr>
          <w:rStyle w:val="VerbatimChar"/>
        </w:rPr>
        <w:t>head_tail</w:t>
      </w:r>
      <w:r>
        <w:rPr/>
        <w:t xml:space="preserve">, năm vòng huấn luyện và trọng số lớp </w:t>
      </w:r>
      <w:r>
        <w:rPr>
          <w:rStyle w:val="VerbatimChar"/>
        </w:rPr>
        <w:t>inverse_frequency</w:t>
      </w:r>
      <w:r>
        <w:rPr/>
        <w:t xml:space="preserve"> được tính riêng trên phần huấn luyện.</w:t>
      </w:r>
    </w:p>
    <w:p>
      <w:pPr>
        <w:pStyle w:val="TableCaption"/>
        <w:rPr/>
      </w:pPr>
      <w:r>
        <w:rPr>
          <w:b/>
        </w:rPr>
        <w:t xml:space="preserve">Bảng 4.7: </w:t>
      </w:r>
      <w:r>
        <w:rPr/>
        <w:t>Kết quả phân loại cảm xúc, trung bình trên 5 lượt.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cantSplit/>
        </w:trPr>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Cấu hình và tập nhãn</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Độ chính xác</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F1 vĩ mô</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Độ chính xác cân bằng</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F1 NEG</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Không trọng số lớp, 3 vòng, 306 mẫu</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0,6667</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0,2667</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0,3333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0,0000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Có trọng số lớp, 5 vòng, 306 mẫu</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0,7353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0,5176</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0,5473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0,0767</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Có trọng số lớp, 5 vòng, 1.306 mẫu</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0,8125</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0,7298</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0,7689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0,6036</w:t>
            </w:r>
            <w:bookmarkStart w:id="200" w:name="tab%2525253Akq-sentiment"/>
            <w:bookmarkEnd w:id="200"/>
          </w:p>
        </w:tc>
      </w:tr>
    </w:tbl>
    <w:p>
      <w:pPr>
        <w:pStyle w:val="BodyText"/>
        <w:rPr/>
      </w:pPr>
      <w:r>
        <w:rPr>
          <w:i/>
          <w:iCs/>
        </w:rPr>
        <w:t xml:space="preserve">Nguồn: </w:t>
      </w:r>
      <w:r>
        <w:rPr>
          <w:rStyle w:val="VerbatimChar"/>
          <w:i/>
          <w:iCs/>
        </w:rPr>
        <w:t>outputs/sentiment-cv-merged/cv_results.json</w:t>
      </w:r>
      <w:r>
        <w:rPr>
          <w:i/>
          <w:iCs/>
        </w:rPr>
        <w:t>; hai dòng 306 mẫu là kết quả lịch sử.</w:t>
      </w:r>
    </w:p>
    <w:p>
      <w:pPr>
        <w:pStyle w:val="BodyText"/>
        <w:rPr/>
      </w:pPr>
      <w:r>
        <w:rPr/>
        <w:t>Cấu hình không sử dụng trọng số lớp trên 306 mẫu là đường cơ sở lịch sử. Kết quả sử dụng trọng số nghịch đảo tần suất trên 1.306 mẫu được thu nhận từ một tập dữ liệu và giao thức mới, nên không được xem là mô hình cảm xúc cuối cùng. Khác biệt giữa kết quả trên hai cỡ tập dữ liệu không được diễn giải là hiệu ứng riêng của trọng số lớp.</w:t>
      </w:r>
    </w:p>
    <w:p>
      <w:pPr>
        <w:pStyle w:val="BodyText"/>
        <w:rPr/>
      </w:pPr>
      <w:r>
        <w:rPr/>
        <w:t xml:space="preserve">Cấu hình đường cơ sở không sử dụng trọng số lớp trên 306 mẫu dự đoán toàn bộ mẫu là NEUTRAL. Độ chính xác cân bằng bằng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3</m:t>
            </m:r>
          </m:den>
        </m:f>
      </m:oMath>
      <w:r>
        <w:rPr/>
        <w:t xml:space="preserve"> trong cả năm lượt, trong khi F1 của NEGATIVE và POSITIVE bằng 0. Lần chạy mở rộng có sử dụng trọng số không còn biểu hiện suy biến. F1 vĩ mô trung bình đạt 0,7298 với độ lệch chuẩn 0,0423, còn độ chính xác cân bằng đạt 0,7689 với độ lệch chuẩn 0,0497.</w:t>
      </w:r>
    </w:p>
    <w:p>
      <w:pPr>
        <w:pStyle w:val="TableCaption"/>
        <w:rPr/>
      </w:pPr>
      <w:r>
        <w:rPr>
          <w:b/>
        </w:rPr>
        <w:t xml:space="preserve">Bảng 4.8: </w:t>
      </w:r>
      <w:r>
        <w:rPr/>
        <w:t>F1 và độ bao phủ theo lớp, cấu hình 1.306 mẫu có trọng số, trung bình 5 lượt.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cantSplit/>
        </w:trPr>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Lớp</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F1</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Độ bao phủ</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NEGATIVE</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0,6036</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0,6803</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NEUTRAL</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0,8816</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0,8359</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POSITIVE</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0,7041</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0,7906</w:t>
            </w:r>
            <w:bookmarkStart w:id="201" w:name="tab%2525253Akq-sentiment-class"/>
            <w:bookmarkEnd w:id="201"/>
          </w:p>
        </w:tc>
      </w:tr>
    </w:tbl>
    <w:p>
      <w:pPr>
        <w:pStyle w:val="BodyText"/>
        <w:rPr/>
      </w:pPr>
      <w:r>
        <w:rPr>
          <w:i/>
          <w:iCs/>
        </w:rPr>
        <w:t xml:space="preserve">Nguồn: </w:t>
      </w:r>
      <w:r>
        <w:rPr>
          <w:rStyle w:val="VerbatimChar"/>
          <w:i/>
          <w:iCs/>
        </w:rPr>
        <w:t>outputs/sentiment-cv-merged/cv_results.csv</w:t>
      </w:r>
      <w:r>
        <w:rPr>
          <w:i/>
          <w:iCs/>
        </w:rPr>
        <w:t>.</w:t>
      </w:r>
    </w:p>
    <w:p>
      <w:pPr>
        <w:pStyle w:val="BodyText"/>
        <w:rPr/>
      </w:pPr>
      <w:r>
        <w:rPr/>
        <w:t xml:space="preserve">Độ bao phủ của lớp NEGATIVE theo từng lượt lần lượt là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7500</m:t>
        </m:r>
      </m:oMath>
      <w:r>
        <w:rPr/>
        <w:t xml:space="preserve">;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8182</m:t>
        </m:r>
      </m:oMath>
      <w:r>
        <w:rPr/>
        <w:t xml:space="preserve">;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6667</m:t>
        </m:r>
      </m:oMath>
      <w:r>
        <w:rPr/>
        <w:t xml:space="preserve">;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5000</m:t>
        </m:r>
      </m:oMath>
      <w:r>
        <w:rPr/>
        <w:t xml:space="preserve">;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6667</m:t>
        </m:r>
      </m:oMath>
      <w:r>
        <w:rPr/>
        <w:t>. Không có lượt nào bỏ qua hoàn toàn lớp này. Tuy nhiên, do năm tập kiểm thử ngoài chỉ có tổng cộng 59 mẫu, mức độ bất định đối với lớp NEGATIVE vẫn lớn hơn so với các lớp còn lại.</w:t>
      </w:r>
    </w:p>
    <w:p>
      <w:pPr>
        <w:pStyle w:val="BodyText"/>
        <w:rPr/>
      </w:pPr>
      <w:r>
        <w:rPr/>
        <w:t xml:space="preserve">Artifact hiện có chỉ đánh giá cấu hình </w:t>
      </w:r>
      <w:r>
        <w:rPr>
          <w:rStyle w:val="VerbatimChar"/>
        </w:rPr>
        <w:t>title_context</w:t>
      </w:r>
      <w:r>
        <w:rPr/>
        <w:t xml:space="preserve"> với </w:t>
      </w:r>
      <w:r>
        <w:rPr>
          <w:rStyle w:val="VerbatimChar"/>
        </w:rPr>
        <w:t>head_tail</w:t>
      </w:r>
      <w:r>
        <w:rPr/>
        <w:t>; do đó, kết quả này không cung cấp phép so sánh mới giữa các phương án đầu vào hoặc các chiến lược cắt token.</w:t>
      </w:r>
    </w:p>
    <w:p>
      <w:pPr>
        <w:pStyle w:val="BodyText"/>
        <w:rPr/>
      </w:pPr>
      <w:r>
        <w:rPr/>
        <w:t>Các điểm kiểm của từng lượt là artifact của quy trình xác thực chéo và không được lựa chọn dựa trên chỉ số của tập kiểm thử ngoài để chấm điểm tin tức. Sau khi khóa cấu hình, điểm kiểm triển khai được tinh chỉnh lại trên toàn bộ 1.306 nhãn với năm epoch cố định, không rút outer holdout và không báo cáo chỉ số kiểm thử mới. Manifest của điểm kiểm xác nhận đúng mã băm của tập nhãn, phân bố gồm 194 NEGATIVE, 771 NEUTRAL và 341 POSITIVE, cùng môi trường GPU đã sử dụng.</w:t>
      </w:r>
    </w:p>
    <w:p>
      <w:pPr>
        <w:pStyle w:val="BodyText"/>
        <w:rPr/>
      </w:pPr>
      <w:r>
        <w:rPr/>
        <w:t xml:space="preserve">Các bảng dự báo lịch sử được tạo bằng bộ sinh 306 mẫu với </w:t>
      </w:r>
      <w:r>
        <w:rPr>
          <w:rStyle w:val="VerbatimChar"/>
        </w:rPr>
        <w:t>score-news</w:t>
      </w:r>
      <w:r>
        <w:rPr/>
        <w:t xml:space="preserve"> và </w:t>
      </w:r>
      <w:r>
        <w:rPr>
          <w:rStyle w:val="VerbatimChar"/>
        </w:rPr>
        <w:t>--context-chars 400</w:t>
      </w:r>
      <w:r>
        <w:rPr/>
        <w:t>. Tổng cộng 14.256 liên kết tin–mã đã được gán xác suất cho ba lớp, trong đó 12.624 liên kết thuộc cửa sổ 2020–2025 và 12.613 liên kết được đưa vào bảng dự báo. Phân bố nhãn đa số trong kết quả lịch sử gồm 2.095 NEGATIVE, 6.776 NEUTRAL và 3.753 POSITIVE. Nhánh dự báo luôn sử dụng phân phối xác suất mềm thay vì nhãn cứng. Các số liệu lịch sử này chỉ được dùng để giải thích artifact cũ và không được quy cho điểm kiểm 1.306 mẫu.</w:t>
      </w:r>
    </w:p>
    <w:p>
      <w:pPr>
        <w:pStyle w:val="BodyText"/>
        <w:rPr/>
      </w:pPr>
      <w:r>
        <w:rPr/>
        <w:t xml:space="preserve">Điểm kiểm mới đã chấm lại đúng 14.256 liên kết bằng </w:t>
      </w:r>
      <w:r>
        <w:rPr>
          <w:rStyle w:val="VerbatimChar"/>
        </w:rPr>
        <w:t>title_context</w:t>
      </w:r>
      <w:r>
        <w:rPr/>
        <w:t xml:space="preserve">, </w:t>
      </w:r>
      <w:r>
        <w:rPr>
          <w:rStyle w:val="VerbatimChar"/>
        </w:rPr>
        <w:t>head_tail</w:t>
      </w:r>
      <w:r>
        <w:rPr/>
        <w:t xml:space="preserve"> và giới hạn 400 ký tự. Trong số này, 12.624 liên kết thuộc cửa sổ 2020–2025; 12.613 liên kết được neo vào một phiên bên trong cửa sổ theo mốc 15 giờ, còn 11 liên kết được đăng vào cuối ngày 31/12/2025 rơi sang phiên năm 2026 nên bị loại. 1.632 liên kết còn lại được đăng trong năm 2026 và nằm ngoài cửa sổ nghiên cứu. Bảng dự báo có tin tại 6.948 trên 14.990 dòng mã–phiên. Lần chạy mới và đối chứng ghép cặp sử dụng cùng các bài tin, thời điểm và số lượng tin; đối chứng chỉ thay ba xác suất của mỗi bài bằng prior trung tính. Do điểm kiểm được tinh chỉnh trên toàn bộ tập nhãn, trong đó có các bài năm 2025, kết quả dự báo này mang tính hồi cứu và không được xem là dự báo ngoài mẫu hoàn toàn theo giao thức tại Chương </w:t>
      </w:r>
      <w:hyperlink w:anchor="ch%2525253Aphuong-phap">
        <w:r>
          <w:rPr>
            <w:rStyle w:val="Hyperlink"/>
          </w:rPr>
          <w:t>3</w:t>
        </w:r>
      </w:hyperlink>
      <w:r>
        <w:rPr/>
        <w:t>.</w:t>
      </w:r>
      <w:bookmarkEnd w:id="194"/>
      <w:bookmarkEnd w:id="199"/>
    </w:p>
    <w:p>
      <w:pPr>
        <w:pStyle w:val="Heading2"/>
        <w:rPr/>
      </w:pPr>
      <w:bookmarkStart w:id="202" w:name="__RefHeading___Toc11086_2435329662"/>
      <w:bookmarkEnd w:id="202"/>
      <w:r>
        <w:rPr>
          <w:rFonts w:eastAsia="Times New Roman" w:cs="Times New Roman" w:ascii="Times New Roman" w:hAnsi="Times New Roman"/>
        </w:rPr>
        <w:t>4.5. Kết quả dự báo xu hướng và loại bỏ đặc trưng</w:t>
      </w:r>
    </w:p>
    <w:p>
      <w:pPr>
        <w:pStyle w:val="FirstParagraph"/>
        <w:rPr/>
      </w:pPr>
      <w:r>
        <w:rPr/>
        <w:t>Toàn bộ các mô hình trong thang so sánh được chạy trên cùng năm cửa sổ cuốn chiếu, cùng ba hạt giống và cùng tập dòng kiểm thử của nhánh giá. Mỗi cửa sổ gồm 600 chuỗi kiểm thử, tương ứng với tổng số 3.000 dòng đánh giá cho mỗi hạt giống. Các giá trị trong Bảng </w:t>
      </w:r>
      <w:hyperlink w:anchor="tab%2525253Aket-qua">
        <w:r>
          <w:rPr>
            <w:rStyle w:val="Hyperlink"/>
          </w:rPr>
          <w:t>4.9</w:t>
        </w:r>
      </w:hyperlink>
      <w:r>
        <w:rPr/>
        <w:t xml:space="preserve"> là trung bình của 15 lần chạy (5 cửa sổ </w:t>
      </w:r>
      <w:r>
        <w:rPr/>
      </w:r>
      <m:oMath xmlns:m="http://schemas.openxmlformats.org/officeDocument/2006/math">
        <m:r>
          <w:rPr>
            <w:rFonts w:ascii="Cambria Math" w:hAnsi="Cambria Math"/>
          </w:rPr>
          <m:t xml:space="preserve">×</m:t>
        </m:r>
      </m:oMath>
      <w:r>
        <w:rPr/>
        <w:t xml:space="preserve"> 3 hạt giống), kèm theo độ lệch chuẩn của F1 vĩ mô.</w:t>
      </w:r>
    </w:p>
    <w:p>
      <w:pPr>
        <w:pStyle w:val="TableCaption"/>
        <w:rPr/>
      </w:pPr>
      <w:r>
        <w:rPr>
          <w:b/>
        </w:rPr>
        <w:t xml:space="preserve">Bảng 4.9: </w:t>
      </w:r>
      <w:r>
        <w:rPr/>
        <w:t>So sánh thang mô hình dự báo xu hướng phiên kế tiếp.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cantSplit/>
        </w:trPr>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Mô hình</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F1 vĩ mô</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Độ chính xác cân bằng</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Độ chính xác</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AUC-ROC OvR</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Đối chứng lớp phổ biến</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0,1453 </w:t>
            </w:r>
            <w:r>
              <w:rPr/>
            </w:r>
            <m:oMath xmlns:m="http://schemas.openxmlformats.org/officeDocument/2006/math">
              <m:r>
                <w:rPr>
                  <w:rFonts w:ascii="Cambria Math" w:hAnsi="Cambria Math"/>
                </w:rPr>
                <m:t xml:space="preserve">±</m:t>
              </m:r>
            </m:oMath>
            <w:r>
              <w:rPr>
                <w:kern w:val="0"/>
                <w:szCs w:val="24"/>
                <w:lang w:val="en-US" w:eastAsia="zh-CN" w:bidi="ar-SA"/>
              </w:rPr>
              <w:t xml:space="preserve"> 0,0264</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0,3333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0,2820</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Đối chứng ngẫu nhiên</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0,3289 </w:t>
            </w:r>
            <w:r>
              <w:rPr/>
            </w:r>
            <m:oMath xmlns:m="http://schemas.openxmlformats.org/officeDocument/2006/math">
              <m:r>
                <w:rPr>
                  <w:rFonts w:ascii="Cambria Math" w:hAnsi="Cambria Math"/>
                </w:rPr>
                <m:t xml:space="preserve">±</m:t>
              </m:r>
            </m:oMath>
            <w:r>
              <w:rPr>
                <w:kern w:val="0"/>
                <w:szCs w:val="24"/>
                <w:lang w:val="en-US" w:eastAsia="zh-CN" w:bidi="ar-SA"/>
              </w:rPr>
              <w:t xml:space="preserve"> 0,0184</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0,3343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0,3339</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Hồi quy logistic, chỉ giá</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0,3551 </w:t>
            </w:r>
            <w:r>
              <w:rPr/>
            </w:r>
            <m:oMath xmlns:m="http://schemas.openxmlformats.org/officeDocument/2006/math">
              <m:r>
                <w:rPr>
                  <w:rFonts w:ascii="Cambria Math" w:hAnsi="Cambria Math"/>
                </w:rPr>
                <m:t xml:space="preserve">±</m:t>
              </m:r>
            </m:oMath>
            <w:r>
              <w:rPr>
                <w:kern w:val="0"/>
                <w:szCs w:val="24"/>
                <w:lang w:val="en-US" w:eastAsia="zh-CN" w:bidi="ar-SA"/>
              </w:rPr>
              <w:t xml:space="preserve"> 0,0281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0,3792</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0,4220</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0,5601</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Hồi quy logistic, giá và cảm xúc</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0,3667 </w:t>
            </w:r>
            <w:r>
              <w:rPr/>
            </w:r>
            <m:oMath xmlns:m="http://schemas.openxmlformats.org/officeDocument/2006/math">
              <m:r>
                <w:rPr>
                  <w:rFonts w:ascii="Cambria Math" w:hAnsi="Cambria Math"/>
                </w:rPr>
                <m:t xml:space="preserve">±</m:t>
              </m:r>
            </m:oMath>
            <w:r>
              <w:rPr>
                <w:kern w:val="0"/>
                <w:szCs w:val="24"/>
                <w:lang w:val="en-US" w:eastAsia="zh-CN" w:bidi="ar-SA"/>
              </w:rPr>
              <w:t xml:space="preserve"> 0,0250</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0,3872</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0,4270</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0,5570</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chỉ giá</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0,3756 </w:t>
            </w:r>
            <w:r>
              <w:rPr/>
            </w:r>
            <m:oMath xmlns:m="http://schemas.openxmlformats.org/officeDocument/2006/math">
              <m:r>
                <w:rPr>
                  <w:rFonts w:ascii="Cambria Math" w:hAnsi="Cambria Math"/>
                </w:rPr>
                <m:t xml:space="preserve">±</m:t>
              </m:r>
            </m:oMath>
            <w:r>
              <w:rPr>
                <w:kern w:val="0"/>
                <w:szCs w:val="24"/>
                <w:lang w:val="en-US" w:eastAsia="zh-CN" w:bidi="ar-SA"/>
              </w:rPr>
              <w:t xml:space="preserve"> 0,0321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0,3915</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0,4341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0,5714</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bCs/>
                <w:kern w:val="0"/>
                <w:szCs w:val="24"/>
                <w:lang w:val="en-US" w:eastAsia="zh-CN" w:bidi="ar-SA"/>
              </w:rPr>
              <w:t>LSTM hai nhánh, giá và cảm xúc</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0,3869</w:t>
            </w:r>
            <w:r>
              <w:rPr>
                <w:kern w:val="0"/>
                <w:szCs w:val="24"/>
                <w:lang w:val="en-US" w:eastAsia="zh-CN" w:bidi="ar-SA"/>
              </w:rPr>
              <w:t xml:space="preserve"> </w:t>
            </w:r>
            <w:r>
              <w:rPr/>
            </w:r>
            <m:oMath xmlns:m="http://schemas.openxmlformats.org/officeDocument/2006/math">
              <m:r>
                <w:rPr>
                  <w:rFonts w:ascii="Cambria Math" w:hAnsi="Cambria Math"/>
                </w:rPr>
                <m:t xml:space="preserve">±</m:t>
              </m:r>
            </m:oMath>
            <w:r>
              <w:rPr>
                <w:kern w:val="0"/>
                <w:szCs w:val="24"/>
                <w:lang w:val="en-US" w:eastAsia="zh-CN" w:bidi="ar-SA"/>
              </w:rPr>
              <w:t xml:space="preserve"> 0,0272</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b/>
                <w:bCs/>
                <w:kern w:val="0"/>
                <w:szCs w:val="24"/>
                <w:lang w:val="en-US" w:eastAsia="zh-CN" w:bidi="ar-SA"/>
              </w:rPr>
              <w:t>0,3953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0,4244</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0,5655</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chỉ giá</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0,3619 </w:t>
            </w:r>
            <w:r>
              <w:rPr/>
            </w:r>
            <m:oMath xmlns:m="http://schemas.openxmlformats.org/officeDocument/2006/math">
              <m:r>
                <w:rPr>
                  <w:rFonts w:ascii="Cambria Math" w:hAnsi="Cambria Math"/>
                </w:rPr>
                <m:t xml:space="preserve">±</m:t>
              </m:r>
            </m:oMath>
            <w:r>
              <w:rPr>
                <w:kern w:val="0"/>
                <w:szCs w:val="24"/>
                <w:lang w:val="en-US" w:eastAsia="zh-CN" w:bidi="ar-SA"/>
              </w:rPr>
              <w:t xml:space="preserve"> 0,0352</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0,3776</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0,4123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0,5596</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giá và cảm xúc</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 xml:space="preserve">0,3597 </w:t>
            </w:r>
            <w:r>
              <w:rPr/>
            </w:r>
            <m:oMath xmlns:m="http://schemas.openxmlformats.org/officeDocument/2006/math">
              <m:r>
                <w:rPr>
                  <w:rFonts w:ascii="Cambria Math" w:hAnsi="Cambria Math"/>
                </w:rPr>
                <m:t xml:space="preserve">±</m:t>
              </m:r>
            </m:oMath>
            <w:r>
              <w:rPr>
                <w:kern w:val="0"/>
                <w:szCs w:val="24"/>
                <w:lang w:val="en-US" w:eastAsia="zh-CN" w:bidi="ar-SA"/>
              </w:rPr>
              <w:t xml:space="preserve"> 0,0201</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0,3733</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0,3936</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0,5527</w:t>
            </w:r>
            <w:bookmarkStart w:id="203" w:name="tab%2525253Aket-qua"/>
            <w:bookmarkEnd w:id="203"/>
          </w:p>
        </w:tc>
      </w:tr>
    </w:tbl>
    <w:p>
      <w:pPr>
        <w:pStyle w:val="BodyText"/>
        <w:rPr/>
      </w:pPr>
      <w:r>
        <w:rPr>
          <w:i/>
          <w:iCs/>
        </w:rPr>
        <w:t xml:space="preserve">Nguồn: </w:t>
      </w:r>
      <w:r>
        <w:rPr>
          <w:rStyle w:val="VerbatimChar"/>
          <w:i/>
          <w:iCs/>
        </w:rPr>
        <w:t>outputs/forecast_merged_sentiment_tft/forecast_metrics.csv</w:t>
      </w:r>
      <w:r>
        <w:rPr>
          <w:i/>
          <w:iCs/>
        </w:rPr>
        <w:t>.</w:t>
      </w:r>
    </w:p>
    <w:p>
      <w:pPr>
        <w:pStyle w:val="BodyText"/>
        <w:rPr/>
      </w:pPr>
      <w:r>
        <w:rPr/>
        <w:t>LSTM chỉ sử dụng giá đạt F1 vĩ mô 0,3756, so với 0,3289 của đối chứng ngẫu nhiên và 0,1453 của đối chứng lớp phổ biến; AUC-ROC một-chống-còn-lại đạt 0,5714. Báo cáo không thực hiện kiểm định ghép cặp với hai đối chứng, do đó kết quả này chỉ phản ánh so sánh mô tả giữa các điểm quan sát. Kết quả của mô hình hai nhánh được giữ lại để mô tả lần chạy hồi cứu, nhưng không cấu thành bằng chứng độc lập về giá trị của tin hoặc cảm xúc vì bộ sinh xác suất đã được huấn luyện từ các nhãn tương lai so với những cửa sổ kiểm thử.</w:t>
      </w:r>
    </w:p>
    <w:p>
      <w:pPr>
        <w:pStyle w:val="BodyText"/>
        <w:rPr/>
      </w:pPr>
      <w:r>
        <w:rPr/>
        <w:t>TFT đạt F1 vĩ mô 0,3619 khi chỉ sử dụng giá và 0,3597 khi bổ sung cảm xúc, thấp hơn hai mô hình LSTM tương ứng (0,3756 và 0,3869). Trên bảng dữ liệu mã và ngày gồm 14.990 dòng, với cửa sổ đầu vào dài 5 phiên, kiến trúc cổng và chú ý của TFT không tạo ra lợi thế so với LSTM hai nhánh. Kết quả này phù hợp với nhận định rằng mô hình có nhiều tham số cần lượng dữ liệu lớn hơn để phát huy cơ chế chọn biến. Do đó, TFT được ghi nhận là một tầng mô hình đã được thực nghiệm nhưng không vượt mức sàn, thay vì một hạng mục chưa được triển khai.</w:t>
      </w:r>
    </w:p>
    <w:p>
      <w:pPr>
        <w:pStyle w:val="Heading3"/>
        <w:rPr/>
      </w:pPr>
      <w:bookmarkStart w:id="204" w:name="__RefHeading___Toc11088_2435329662"/>
      <w:bookmarkStart w:id="205" w:name="báo-cáo-chỉ-số-theo-lớp"/>
      <w:bookmarkEnd w:id="204"/>
      <w:r>
        <w:rPr>
          <w:rFonts w:eastAsia="Times New Roman" w:cs="Times New Roman"/>
        </w:rPr>
        <w:t>4.5.1. Báo cáo chỉ số theo lớp</w:t>
      </w:r>
    </w:p>
    <w:p>
      <w:pPr>
        <w:pStyle w:val="FirstParagraph"/>
        <w:rPr/>
      </w:pPr>
      <w:r>
        <w:rPr/>
        <w:t>Các dự đoán chi tiết theo từng mã, ngày, cửa sổ và hạt giống được lưu tại . Chỉ số tổng hợp trong Bảng </w:t>
      </w:r>
      <w:hyperlink w:anchor="tab%2525253Aket-qua">
        <w:r>
          <w:rPr>
            <w:rStyle w:val="Hyperlink"/>
          </w:rPr>
          <w:t>4.9</w:t>
        </w:r>
      </w:hyperlink>
      <w:r>
        <w:rPr/>
        <w:t xml:space="preserve"> là trung bình của 15 lần chạy và không được thay thế bằng một bảng dự đoán gộp, vì phép gộp sẽ làm thay đổi trọng số giữa các cửa sổ. Các lớp vẫn được xác định bằng ngưỡng học từ từng tập huấn luyện. Vì vậy, F1 vĩ mô và độ chính xác cân bằng được sử dụng làm các chỉ số chính thay cho độ chính xác đơn lẻ.</w:t>
      </w:r>
    </w:p>
    <w:p>
      <w:pPr>
        <w:pStyle w:val="TableCaption"/>
        <w:rPr/>
      </w:pPr>
      <w:r>
        <w:rPr>
          <w:b/>
        </w:rPr>
        <w:t xml:space="preserve">Bảng 4.10: </w:t>
      </w:r>
      <w:r>
        <w:rPr/>
        <w:t>Chỉ số theo lớp, trung bình 15 lượt chạy; nhánh hai có cảm xúc là kết quả hồi cứu.</w:t>
      </w:r>
    </w:p>
    <w:tbl>
      <w:tblPr>
        <w:tblStyle w:val="Table"/>
        <w:tblW w:w="7917"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131"/>
        <w:gridCol w:w="1130"/>
        <w:gridCol w:w="1132"/>
        <w:gridCol w:w="1129"/>
        <w:gridCol w:w="1"/>
        <w:gridCol w:w="1132"/>
        <w:gridCol w:w="1130"/>
        <w:gridCol w:w="1132"/>
      </w:tblGrid>
      <w:tr>
        <w:trPr>
          <w:tblHeader w:val="true"/>
          <w:cantSplit/>
        </w:trPr>
        <w:tc>
          <w:tcPr>
            <w:tcW w:w="113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rPr>
                <w:kern w:val="0"/>
                <w:szCs w:val="24"/>
                <w:lang w:val="en-US" w:eastAsia="zh-CN" w:bidi="ar-SA"/>
              </w:rPr>
            </w:pPr>
            <w:r>
              <w:rPr>
                <w:kern w:val="0"/>
                <w:szCs w:val="24"/>
                <w:lang w:val="en-US" w:eastAsia="zh-CN" w:bidi="ar-SA"/>
              </w:rPr>
            </w:r>
          </w:p>
        </w:tc>
        <w:tc>
          <w:tcPr>
            <w:tcW w:w="3391" w:type="dxa"/>
            <w:gridSpan w:val="3"/>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LSTM chỉ giá</w:t>
            </w:r>
          </w:p>
        </w:tc>
        <w:tc>
          <w:tcPr>
            <w:tcW w:w="3395" w:type="dxa"/>
            <w:gridSpan w:val="4"/>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LSTM hai nhánh</w:t>
            </w:r>
          </w:p>
        </w:tc>
      </w:tr>
      <w:tr>
        <w:trPr>
          <w:cantSplit/>
        </w:trPr>
        <w:tc>
          <w:tcPr>
            <w:tcW w:w="11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2-4(lr)5-7 Lớp</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P</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R</w:t>
            </w:r>
          </w:p>
        </w:tc>
        <w:tc>
          <w:tcPr>
            <w:tcW w:w="1130" w:type="dxa"/>
            <w:gridSpan w:val="2"/>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F1</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P</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R</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F1</w:t>
            </w:r>
          </w:p>
        </w:tc>
      </w:tr>
      <w:tr>
        <w:trPr>
          <w:cantSplit/>
        </w:trPr>
        <w:tc>
          <w:tcPr>
            <w:tcW w:w="11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DOWN</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0,3775</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0,2472</w:t>
            </w:r>
          </w:p>
        </w:tc>
        <w:tc>
          <w:tcPr>
            <w:tcW w:w="1130" w:type="dxa"/>
            <w:gridSpan w:val="2"/>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0,2862</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0,3538</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0,2741</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0,3052</w:t>
            </w:r>
          </w:p>
        </w:tc>
      </w:tr>
      <w:tr>
        <w:trPr>
          <w:cantSplit/>
        </w:trPr>
        <w:tc>
          <w:tcPr>
            <w:tcW w:w="11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FLAT</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0,4385</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0,6193</w:t>
            </w:r>
          </w:p>
        </w:tc>
        <w:tc>
          <w:tcPr>
            <w:tcW w:w="1130" w:type="dxa"/>
            <w:gridSpan w:val="2"/>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0,5106</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0,4415</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0,5760</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0,4985</w:t>
            </w:r>
          </w:p>
        </w:tc>
      </w:tr>
      <w:tr>
        <w:trPr>
          <w:cantSplit/>
        </w:trPr>
        <w:tc>
          <w:tcPr>
            <w:tcW w:w="11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UP</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0,3859</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0,3081</w:t>
            </w:r>
          </w:p>
        </w:tc>
        <w:tc>
          <w:tcPr>
            <w:tcW w:w="1130" w:type="dxa"/>
            <w:gridSpan w:val="2"/>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0,3301</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0,3921</w:t>
            </w:r>
          </w:p>
        </w:tc>
        <w:tc>
          <w:tcPr>
            <w:tcW w:w="1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0,3357</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right"/>
              <w:rPr>
                <w:kern w:val="0"/>
                <w:szCs w:val="24"/>
                <w:lang w:val="en-US" w:eastAsia="zh-CN" w:bidi="ar-SA"/>
              </w:rPr>
            </w:pPr>
            <w:r>
              <w:rPr>
                <w:kern w:val="0"/>
                <w:szCs w:val="24"/>
                <w:lang w:val="en-US" w:eastAsia="zh-CN" w:bidi="ar-SA"/>
              </w:rPr>
              <w:t>0,3571</w:t>
            </w:r>
            <w:bookmarkStart w:id="206" w:name="tab%2525253Akq-theo-lop"/>
            <w:bookmarkEnd w:id="206"/>
          </w:p>
        </w:tc>
      </w:tr>
    </w:tbl>
    <w:p>
      <w:pPr>
        <w:pStyle w:val="BodyText"/>
        <w:rPr/>
      </w:pPr>
      <w:r>
        <w:rPr>
          <w:i/>
          <w:iCs/>
        </w:rPr>
        <w:t xml:space="preserve">Nguồn: </w:t>
      </w:r>
      <w:r>
        <w:rPr>
          <w:rStyle w:val="VerbatimChar"/>
          <w:i/>
          <w:iCs/>
        </w:rPr>
        <w:t>outputs/forecast_merged_sentiment_tft/per_class_metrics.csv</w:t>
      </w:r>
      <w:r>
        <w:rPr>
          <w:i/>
          <w:iCs/>
        </w:rPr>
        <w:t>, trung bình trên 15 tổ hợp cửa sổ và hạt giống.</w:t>
      </w:r>
    </w:p>
    <w:p>
      <w:pPr>
        <w:pStyle w:val="BodyText"/>
        <w:rPr/>
      </w:pPr>
      <w:r>
        <w:rPr/>
        <w:t>Các giá trị là trung bình của chỉ số được tính riêng cho từng tổ hợp cửa sổ và hạt giống, nên nhất quán với Bảng </w:t>
      </w:r>
      <w:hyperlink w:anchor="tab%2525253Aket-qua">
        <w:r>
          <w:rPr>
            <w:rStyle w:val="Hyperlink"/>
          </w:rPr>
          <w:t>4.9</w:t>
        </w:r>
      </w:hyperlink>
      <w:r>
        <w:rPr/>
        <w:t>; chúng không được suy ra từ một bảng dự đoán đã gộp.</w:t>
      </w:r>
      <w:bookmarkEnd w:id="205"/>
    </w:p>
    <w:p>
      <w:pPr>
        <w:pStyle w:val="Heading3"/>
        <w:rPr/>
      </w:pPr>
      <w:bookmarkStart w:id="207" w:name="__RefHeading___Toc11090_2435329662"/>
      <w:bookmarkStart w:id="208" w:name="sec%2525253Akq-donggop"/>
      <w:bookmarkEnd w:id="207"/>
      <w:r>
        <w:rPr>
          <w:rFonts w:eastAsia="Times New Roman" w:cs="Times New Roman"/>
        </w:rPr>
        <w:t>4.5.2. Đo phần đóng góp của cảm xúc</w:t>
      </w:r>
    </w:p>
    <w:p>
      <w:pPr>
        <w:pStyle w:val="FirstParagraph"/>
        <w:rPr/>
      </w:pPr>
      <w:r>
        <w:rPr/>
        <w:t xml:space="preserve">Phép so sánh trực tiếp giữa mô hình hai nhánh và mô hình một nhánh chỉ sử dụng giá </w:t>
      </w:r>
      <w:r>
        <w:rPr>
          <w:b/>
          <w:bCs/>
        </w:rPr>
        <w:t>trộn lẫn</w:t>
      </w:r>
      <w:r>
        <w:rPr/>
        <w:t xml:space="preserve"> ảnh hưởng của nhánh mạng bổ sung với ảnh hưởng của sự hiện diện, khối lượng và xác suất của tin. Đối chứng sử dụng chính các liên kết tin đã chấm, giữ nguyên ngày, thời điểm, số lượng tin và cờ </w:t>
      </w:r>
      <w:r>
        <w:rPr>
          <w:rStyle w:val="VerbatimChar"/>
        </w:rPr>
        <w:t>has_news</w:t>
      </w:r>
      <w:r>
        <w:rPr/>
        <w:t>, nhưng thay ba xác suất của mỗi bài bằng phân phối tiên nghiệm trung tính. Do mô hình chỉ sử dụng giá không có đặc trưng về sự hiện diện hoặc khối lượng tin, hiệu số thứ nhất dưới đây không biểu thị hiệu ứng kiến trúc thuần:</w:t>
      </w:r>
    </w:p>
    <w:p>
      <w:pPr>
        <w:pStyle w:val="BodyText"/>
        <w:jc w:val="center"/>
        <w:rPr/>
      </w:pPr>
      <w:r>
        <w:rPr/>
      </w:r>
      <m:oMathPara xmlns:m="http://schemas.openxmlformats.org/officeDocument/2006/math">
        <m:oMathParaPr>
          <m:jc m:val="center"/>
        </m:oMathParaPr>
        <m:oMath>
          <m:eqArr>
            <m:e>
              <m:sSub>
                <m:e>
                  <m:r>
                    <w:rPr>
                      <w:rFonts w:ascii="Cambria Math" w:hAnsi="Cambria Math"/>
                    </w:rPr>
                    <m:t xml:space="preserve">E</m:t>
                  </m:r>
                </m:e>
                <m:sub>
                  <m:r>
                    <m:rPr>
                      <m:lit/>
                      <m:nor/>
                    </m:rPr>
                    <w:rPr>
                      <w:rFonts w:ascii="Cambria Math" w:hAnsi="Cambria Math"/>
                    </w:rPr>
                    <m:t xml:space="preserve">kiến trúc–tin</m:t>
                  </m:r>
                </m:sub>
              </m:sSub>
              <m:r>
                <m:rPr>
                  <m:lit/>
                  <m:nor/>
                </m:rPr>
                <w:rPr>
                  <w:rFonts w:ascii="Cambria Math" w:hAnsi="Cambria Math"/>
                </w:rPr>
                <m:t xml:space="preserve">&amp;</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trung tính</m:t>
                  </m:r>
                </m:sub>
              </m:sSub>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chỉ giá</m:t>
                  </m:r>
                </m:sub>
              </m:sSub>
              <m:r>
                <w:rPr>
                  <w:rFonts w:ascii="Cambria Math" w:hAnsi="Cambria Math"/>
                </w:rPr>
                <m:t xml:space="preserve">,</m:t>
              </m:r>
            </m:e>
            <m:e>
              <m:sSub>
                <m:e>
                  <m:r>
                    <w:rPr>
                      <w:rFonts w:ascii="Cambria Math" w:hAnsi="Cambria Math"/>
                    </w:rPr>
                    <m:t xml:space="preserve">I</m:t>
                  </m:r>
                </m:e>
                <m:sub>
                  <m:r>
                    <m:rPr>
                      <m:lit/>
                      <m:nor/>
                    </m:rPr>
                    <w:rPr>
                      <w:rFonts w:ascii="Cambria Math" w:hAnsi="Cambria Math"/>
                    </w:rPr>
                    <m:t xml:space="preserve">phân cực</m:t>
                  </m:r>
                </m:sub>
              </m:sSub>
              <m:r>
                <m:rPr>
                  <m:lit/>
                  <m:nor/>
                </m:rPr>
                <w:rPr>
                  <w:rFonts w:ascii="Cambria Math" w:hAnsi="Cambria Math"/>
                </w:rPr>
                <m:t xml:space="preserve">&amp;</m:t>
              </m:r>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cảm xúc thật</m:t>
                  </m:r>
                </m:sub>
              </m:sSub>
              <m:r>
                <w:rPr>
                  <w:rFonts w:ascii="Cambria Math" w:hAnsi="Cambria Math"/>
                </w:rPr>
                <m:t xml:space="preserve">−</m:t>
              </m:r>
              <m:sSub>
                <m:e>
                  <m:r>
                    <w:rPr>
                      <w:rFonts w:ascii="Cambria Math" w:hAnsi="Cambria Math"/>
                    </w:rPr>
                    <m:t xml:space="preserve">m</m:t>
                  </m:r>
                </m:e>
                <m:sub>
                  <m:r>
                    <m:rPr>
                      <m:lit/>
                      <m:nor/>
                    </m:rPr>
                    <w:rPr>
                      <w:rFonts w:ascii="Cambria Math" w:hAnsi="Cambria Math"/>
                    </w:rPr>
                    <m:t xml:space="preserve">trung tính</m:t>
                  </m:r>
                </m:sub>
              </m:sSub>
              <m:r>
                <w:rPr>
                  <w:rFonts w:ascii="Cambria Math" w:hAnsi="Cambria Math"/>
                </w:rPr>
                <m:t xml:space="preserve">.</m:t>
              </m:r>
            </m:e>
          </m:eqArr>
        </m:oMath>
      </m:oMathPara>
    </w:p>
    <w:p>
      <w:pPr>
        <w:pStyle w:val="FirstParagraph"/>
        <w:rPr/>
      </w:pPr>
      <w:r>
        <w:rPr/>
        <w:t>Tệp kết quả kiểm tra sự đồng nhất của mã băm tệp tin đầu vào, số dòng, mã băm giá, cấu hình và khóa dự đoán theo cửa sổ, hạt giống, mã và ngày. Tệp cũng yêu cầu các dự đoán và chỉ số của nhánh chỉ sử dụng giá phải trùng khớp. Vì vậy, phép ghép cặp không trộn lẫn khác biệt về độ phủ tin với khác biệt về xác suất cảm xúc.</w:t>
      </w:r>
    </w:p>
    <w:p>
      <w:pPr>
        <w:pStyle w:val="TableCaption"/>
        <w:rPr/>
      </w:pPr>
      <w:r>
        <w:rPr>
          <w:b/>
        </w:rPr>
        <w:t xml:space="preserve">Bảng 4.11: </w:t>
      </w:r>
      <w:r>
        <w:rPr/>
        <w:t>Tách hiệu ứng kiến trúc–sự hiện diện–khối lượng tin và đóng góp thông tin phân cực, F1 vĩ mô.</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cantSplit/>
        </w:trPr>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Mức</w:t>
            </w:r>
          </w:p>
        </w:tc>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F1 vĩ mô</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chỉ giá</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0,3756</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hai nhánh, phân phối tiên nghiệm trung tính</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0,3790</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hai nhánh, cảm xúc thật</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0,3869</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Hiệu ứng kiến trúc, sự hiện diện và khối lượng tin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0034</m:t>
                </m:r>
              </m:oMath>
            </m:oMathPara>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bCs/>
                <w:kern w:val="0"/>
                <w:szCs w:val="24"/>
                <w:lang w:val="en-US" w:eastAsia="zh-CN" w:bidi="ar-SA"/>
              </w:rPr>
              <w:t>Đóng góp thông tin phân cực</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0080</m:t>
                </m:r>
              </m:oMath>
            </m:oMathPara>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Hiệu số trực tiếp (trộn lẫn hai thành phần)</w:t>
            </w:r>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0113</m:t>
                </m:r>
              </m:oMath>
            </m:oMathPara>
            <w:bookmarkStart w:id="209" w:name="tab%2525253Akq-ablation"/>
            <w:bookmarkEnd w:id="209"/>
          </w:p>
        </w:tc>
      </w:tr>
    </w:tbl>
    <w:p>
      <w:pPr>
        <w:pStyle w:val="BodyText"/>
        <w:rPr/>
      </w:pPr>
      <w:r>
        <w:rPr>
          <w:i/>
          <w:iCs/>
        </w:rPr>
        <w:t>Nguồn: .</w:t>
      </w:r>
    </w:p>
    <w:p>
      <w:pPr>
        <w:pStyle w:val="BodyText"/>
        <w:rPr/>
      </w:pPr>
      <w:r>
        <w:rPr/>
        <w:t xml:space="preserve">Trung bình trên năm cửa sổ, cảm xúc thật cao hơn đối chứng trung tính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0080</m:t>
        </m:r>
      </m:oMath>
      <w:r>
        <w:rPr/>
        <w:t xml:space="preserve"> điểm F1 vĩ mô; bốn trong năm cửa sổ có hiệu số dương. Hiệu ứng của kiến trúc và độ phủ tin đóng góp thêm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0034</m:t>
        </m:r>
      </m:oMath>
      <w:r>
        <w:rPr/>
        <w:t xml:space="preserve">. Do đó, hiệu số trực tiếp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0113</m:t>
        </m:r>
      </m:oMath>
      <w:r>
        <w:rPr/>
        <w:t xml:space="preserve"> bao gồm cả hai thành phần và cần được phân tách thay vì chỉ báo cáo một giá trị duy nhất. Tuy nhiên, dấu dương của ước lượng điểm chưa đủ để kết luận rằng mức cải thiện có thể tái lập.</w:t>
      </w:r>
    </w:p>
    <w:p>
      <w:pPr>
        <w:pStyle w:val="BodyText"/>
        <w:rPr/>
      </w:pPr>
      <w:r>
        <w:rPr/>
        <w:t>Bảng </w:t>
      </w:r>
      <w:hyperlink w:anchor="tab%2525253Akq-ablation-ci">
        <w:r>
          <w:rPr>
            <w:rStyle w:val="Hyperlink"/>
          </w:rPr>
          <w:t>4.12</w:t>
        </w:r>
      </w:hyperlink>
      <w:r>
        <w:rPr/>
        <w:t xml:space="preserve"> báo cáo khoảng tin cậy theo hai phương pháp lấy mẫu lặp quanh </w:t>
      </w:r>
      <w:r>
        <w:rPr>
          <w:i/>
          <w:iCs/>
        </w:rPr>
        <w:t>cùng một</w:t>
      </w:r>
      <w:r>
        <w:rPr/>
        <w:t xml:space="preserve"> ước lượng điểm, là trung bình của năm hiệu số được tính riêng trong từng cửa sổ. Phương pháp thứ nhất lấy mẫu lặp trên năm cửa sổ. Phương pháp thứ hai lấy mẫu lặp trên 300 </w:t>
      </w:r>
      <w:r>
        <w:rPr>
          <w:i/>
          <w:iCs/>
        </w:rPr>
        <w:t>ngày</w:t>
      </w:r>
      <w:r>
        <w:rPr/>
        <w:t xml:space="preserve"> kiểm thử; mọi mã thuộc cùng một ngày được lấy đồng thời để duy trì tương quan chéo trong phiên. Các ngày được lấy lại </w:t>
      </w:r>
      <w:r>
        <w:rPr>
          <w:i/>
          <w:iCs/>
        </w:rPr>
        <w:t>bên trong cửa sổ của chính nó</w:t>
      </w:r>
      <w:r>
        <w:rPr/>
        <w:t xml:space="preserve"> trước khi tính trung bình trên năm cửa sổ. Khoảng theo ngày được ưu tiên do chỉ có năm khối cửa sổ.</w:t>
      </w:r>
    </w:p>
    <w:p>
      <w:pPr>
        <w:pStyle w:val="TableCaption"/>
        <w:rPr/>
      </w:pPr>
      <w:r>
        <w:rPr>
          <w:b/>
        </w:rPr>
        <w:t xml:space="preserve">Bảng 4.12: </w:t>
      </w:r>
      <w:r>
        <w:rPr/>
        <w:t>Đóng góp thông tin của cảm xúc: một ước lượng điểm, hai cách lấy mẫu lặp.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cantSplit/>
        </w:trPr>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Chỉ số</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Hiệu số</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Khoảng 95% theo cửa sổ</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Khoảng 95% theo ngày</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F1 vĩ mô</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0080</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0000</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0160</m:t>
                </m:r>
                <m:r>
                  <w:rPr>
                    <w:rFonts w:ascii="Cambria Math" w:hAnsi="Cambria Math"/>
                  </w:rPr>
                  <m:t xml:space="preserve">]</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0025</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0186</m:t>
                </m:r>
                <m:r>
                  <w:rPr>
                    <w:rFonts w:ascii="Cambria Math" w:hAnsi="Cambria Math"/>
                  </w:rPr>
                  <m:t xml:space="preserve">]</m:t>
                </m:r>
              </m:oMath>
            </m:oMathPara>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Độ chính xác cân bằng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0017</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0031</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0070</m:t>
                </m:r>
                <m:r>
                  <w:rPr>
                    <w:rFonts w:ascii="Cambria Math" w:hAnsi="Cambria Math"/>
                  </w:rPr>
                  <m:t xml:space="preserve">]</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0072</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0108</m:t>
                </m:r>
                <m:r>
                  <w:rPr>
                    <w:rFonts w:ascii="Cambria Math" w:hAnsi="Cambria Math"/>
                  </w:rPr>
                  <m:t xml:space="preserve">]</m:t>
                </m:r>
              </m:oMath>
            </m:oMathPara>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Độ chính xác</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0104</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0307</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0050</m:t>
                </m:r>
                <m:r>
                  <w:rPr>
                    <w:rFonts w:ascii="Cambria Math" w:hAnsi="Cambria Math"/>
                  </w:rPr>
                  <m:t xml:space="preserve">]</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0206</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0010</m:t>
                </m:r>
                <m:r>
                  <w:rPr>
                    <w:rFonts w:ascii="Cambria Math" w:hAnsi="Cambria Math"/>
                  </w:rPr>
                  <m:t xml:space="preserve">]</m:t>
                </m:r>
              </m:oMath>
            </m:oMathPara>
            <w:bookmarkStart w:id="210" w:name="tab%2525253Akq-ablation-ci"/>
            <w:bookmarkEnd w:id="210"/>
          </w:p>
        </w:tc>
      </w:tr>
    </w:tbl>
    <w:p>
      <w:pPr>
        <w:pStyle w:val="BodyText"/>
        <w:rPr/>
      </w:pPr>
      <w:r>
        <w:rPr>
          <w:i/>
          <w:iCs/>
        </w:rPr>
        <w:t xml:space="preserve">Nguồn: </w:t>
      </w:r>
      <w:r>
        <w:rPr>
          <w:rStyle w:val="VerbatimChar"/>
          <w:i/>
          <w:iCs/>
        </w:rPr>
        <w:t>outputs/forecast_merged_sentiment_tft/information_gain.json</w:t>
      </w:r>
      <w:r>
        <w:rPr>
          <w:i/>
          <w:iCs/>
        </w:rPr>
        <w:t>.</w:t>
      </w:r>
    </w:p>
    <w:p>
      <w:pPr>
        <w:pStyle w:val="BodyText"/>
        <w:rPr/>
      </w:pPr>
      <w:r>
        <w:rPr/>
        <w:t xml:space="preserve">Một phiên bản trước của thí nghiệm đã gộp cả năm cửa sổ vào một ma trận nhầm lẫn duy nhất, sau đó tính khoảng tin cậy quanh hiệu số gộp. Ước lượng gộp là một ước lượng hợp lệ và đã được báo cáo cùng khoảng tương ứng, nhưng đây là </w:t>
      </w:r>
      <w:r>
        <w:rPr>
          <w:i/>
          <w:iCs/>
        </w:rPr>
        <w:t>một đại lượng khác</w:t>
      </w:r>
      <w:r>
        <w:rPr/>
        <w:t xml:space="preserve">. F1 vĩ mô là hàm phi tuyến của ma trận nhầm lẫn, nên hiệu số gộp không bằng trung bình của các hiệu số theo cửa sổ. Điều này yêu cầu người đọc theo dõi đồng thời hai kết quả. Bảng hiện tại sử dụng một đại lượng và gắn với đại lượng đó hai khoảng tin cậy. Đây là thay đổi về cách trình bày và </w:t>
      </w:r>
      <w:r>
        <w:rPr>
          <w:b/>
          <w:bCs/>
        </w:rPr>
        <w:t>không</w:t>
      </w:r>
      <w:r>
        <w:rPr/>
        <w:t xml:space="preserve"> phải bằng chứng cho thấy con số gộp trước đó không chính xác.</w:t>
      </w:r>
    </w:p>
    <w:p>
      <w:pPr>
        <w:pStyle w:val="BodyText"/>
        <w:rPr/>
      </w:pPr>
      <w:r>
        <w:rPr/>
        <w:t xml:space="preserve">Cả hai khoảng đều chịu hai giới hạn. Các ngày được rút độc lập, vì vậy không phương pháp nào thực hiện lấy mẫu lặp chuỗi theo khối; đồng thời, cả hai đều không mô hình hóa sự phụ thuộc giữa các phiên liên tiếp. Tệp kết quả còn ghi nhận một giá trị </w:t>
      </w:r>
      <w:r>
        <w:rPr/>
      </w:r>
      <m:oMath xmlns:m="http://schemas.openxmlformats.org/officeDocument/2006/math">
        <m:r>
          <w:rPr>
            <w:rFonts w:ascii="Cambria Math" w:hAnsi="Cambria Math"/>
          </w:rPr>
          <m:t xml:space="preserve">p</m:t>
        </m:r>
      </m:oMath>
      <w:r>
        <w:rPr/>
        <w:t xml:space="preserve"> một phía. Tuy nhiên, chiều của giả thuyết </w:t>
      </w:r>
      <w:r>
        <w:rPr>
          <w:b/>
          <w:bCs/>
        </w:rPr>
        <w:t>không</w:t>
      </w:r>
      <w:r>
        <w:rPr/>
        <w:t xml:space="preserve"> được xác định trước khi quan sát kết quả, nên giá trị này chỉ mang tính tham khảo và không được sử dụng để tuyên bố ý nghĩa thống kê.</w:t>
      </w:r>
    </w:p>
    <w:p>
      <w:pPr>
        <w:pStyle w:val="BodyText"/>
        <w:rPr/>
      </w:pPr>
      <w:r>
        <w:rPr/>
        <w:t xml:space="preserve">Khoảng theo ngày của F1 vĩ mô và độ chính xác cân bằng đều chứa 0. Đối với độ chính xác, khoảng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0206</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0010</m:t>
        </m:r>
        <m:r>
          <w:rPr>
            <w:rFonts w:ascii="Cambria Math" w:hAnsi="Cambria Math"/>
          </w:rPr>
          <m:t xml:space="preserve">]</m:t>
        </m:r>
      </m:oMath>
      <w:r>
        <w:rPr/>
        <w:t xml:space="preserve"> nằm hoàn toàn dưới 0, nhưng khoảng theo cửa sổ của cùng chỉ số vẫn chứa 0. Hai phương pháp lấy mẫu lặp giả định các cấu trúc phụ thuộc khác nhau, nên không tạo thành một kiểm định thống nhất. Theo quy tắc đã xác định tại Chương </w:t>
      </w:r>
      <w:hyperlink w:anchor="ch%2525253Aphuong-phap">
        <w:r>
          <w:rPr>
            <w:rStyle w:val="Hyperlink"/>
          </w:rPr>
          <w:t>3</w:t>
        </w:r>
      </w:hyperlink>
      <w:r>
        <w:rPr/>
        <w:t xml:space="preserve">, kết luận phù hợp là </w:t>
      </w:r>
      <w:r>
        <w:rPr>
          <w:b/>
          <w:bCs/>
        </w:rPr>
        <w:t>chưa có bằng chứng đủ mạnh về cải thiện</w:t>
      </w:r>
      <w:r>
        <w:rPr/>
        <w:t>. Kết quả không hỗ trợ kết luận rằng “cảm xúc làm mô hình tệ hơn” hoặc “cảm xúc chắc chắn có ích”.</w:t>
      </w:r>
      <w:bookmarkEnd w:id="208"/>
    </w:p>
    <w:p>
      <w:pPr>
        <w:pStyle w:val="Heading3"/>
        <w:rPr/>
      </w:pPr>
      <w:bookmarkStart w:id="211" w:name="__RefHeading___Toc11092_2435329662"/>
      <w:bookmarkStart w:id="212" w:name="sec%2525253Akq-point-in-time"/>
      <w:bookmarkEnd w:id="211"/>
      <w:r>
        <w:rPr>
          <w:rFonts w:eastAsia="Times New Roman" w:cs="Times New Roman"/>
        </w:rPr>
        <w:t>4.5.3. Đánh giá ngoài mẫu với điểm kiểm đóng băng</w:t>
      </w:r>
    </w:p>
    <w:p>
      <w:pPr>
        <w:pStyle w:val="FirstParagraph"/>
        <w:rPr/>
      </w:pPr>
      <w:r>
        <w:rPr/>
        <w:t>Kết quả tại các mục trên sử dụng điểm kiểm cảm xúc được tinh chỉnh trên toàn bộ 1.306 nhãn, trong đó có các nhãn được công bố sau ngày kiểm thử đầu tiên. Do đó, các kết quả này mang tính hồi cứu và không cấu thành bằng chứng ngoài mẫu. Mục này báo cáo lượt đánh giá ngoài mẫu đã được thực hiện.</w:t>
      </w:r>
    </w:p>
    <w:p>
      <w:pPr>
        <w:pStyle w:val="BodyText"/>
        <w:rPr/>
      </w:pPr>
      <w:r>
        <w:rPr/>
        <w:t xml:space="preserve">Ngày quan sát kiểm thử đầu tiên của thang dự báo là 21/10/2024. Lệnh </w:t>
      </w:r>
      <w:r>
        <w:rPr>
          <w:rStyle w:val="VerbatimChar"/>
        </w:rPr>
        <w:t>sentiment-refit --before-date 2024-10-21</w:t>
      </w:r>
      <w:r>
        <w:rPr/>
        <w:t xml:space="preserve"> chỉ giữ lại các nhãn được công bố </w:t>
      </w:r>
      <w:r>
        <w:rPr>
          <w:i/>
          <w:iCs/>
        </w:rPr>
        <w:t>nghiêm ngặt trước</w:t>
      </w:r>
      <w:r>
        <w:rPr/>
        <w:t xml:space="preserve"> mốc này, gồm 1.049 trên 1.306 nhãn, và ghi </w:t>
      </w:r>
      <w:r>
        <w:rPr>
          <w:rStyle w:val="VerbatimChar"/>
        </w:rPr>
        <w:t>label_cutoff</w:t>
      </w:r>
      <w:r>
        <w:rPr/>
        <w:t xml:space="preserve"> vào bản kê điểm kiểm. Khi chạy dự báo, lệnh </w:t>
      </w:r>
      <w:r>
        <w:rPr>
          <w:rStyle w:val="VerbatimChar"/>
        </w:rPr>
        <w:t>forecast</w:t>
      </w:r>
      <w:r>
        <w:rPr/>
        <w:t xml:space="preserve"> đối chiếu mã băm của bản kê với mã băm được lưu khi chấm tin, so sánh mốc cắt với ngày kiểm thử đầu tiên, sau đó ghi </w:t>
      </w:r>
      <w:r>
        <w:rPr>
          <w:rStyle w:val="VerbatimChar"/>
        </w:rPr>
        <w:t>point_in_time</w:t>
      </w:r>
      <w:r>
        <w:rPr/>
        <w:t xml:space="preserve"> cùng lý do vào tệp kết quả. Cả hai artifact của lượt ngoài mẫu đều có </w:t>
      </w:r>
      <w:r>
        <w:rPr>
          <w:rStyle w:val="VerbatimChar"/>
        </w:rPr>
        <w:t>point_in_time: true</w:t>
      </w:r>
      <w:r>
        <w:rPr/>
        <w:t xml:space="preserve"> với lý do </w:t>
      </w:r>
      <w:r>
        <w:rPr>
          <w:rStyle w:val="VerbatimChar"/>
        </w:rPr>
        <w:t>verified</w:t>
      </w:r>
      <w:r>
        <w:rPr/>
        <w:t>.</w:t>
      </w:r>
    </w:p>
    <w:p>
      <w:pPr>
        <w:pStyle w:val="BodyText"/>
        <w:rPr/>
      </w:pPr>
      <w:r>
        <w:rPr/>
        <w:t xml:space="preserve">Phạm vi của chứng nhận này cần được xác định rõ. Điểm kiểm đóng băng chỉ loại bỏ các </w:t>
      </w:r>
      <w:r>
        <w:rPr>
          <w:i/>
          <w:iCs/>
        </w:rPr>
        <w:t>nhãn huấn luyện</w:t>
      </w:r>
      <w:r>
        <w:rPr/>
        <w:t xml:space="preserve"> được công bố sau mốc cắt. Việc lựa chọn cấu hình (</w:t>
      </w:r>
      <w:r>
        <w:rPr>
          <w:rStyle w:val="VerbatimChar"/>
        </w:rPr>
        <w:t>title_context</w:t>
      </w:r>
      <w:r>
        <w:rPr/>
        <w:t xml:space="preserve">, </w:t>
      </w:r>
      <w:r>
        <w:rPr>
          <w:rStyle w:val="VerbatimChar"/>
        </w:rPr>
        <w:t>head_tail</w:t>
      </w:r>
      <w:r>
        <w:rPr/>
        <w:t xml:space="preserve">, </w:t>
      </w:r>
      <w:r>
        <w:rPr>
          <w:rStyle w:val="VerbatimChar"/>
        </w:rPr>
        <w:t>inverse_frequency</w:t>
      </w:r>
      <w:r>
        <w:rPr/>
        <w:t>) vẫn dựa trên xác thực chéo được thực hiện trên toàn bộ 1.306 nhãn. Vì vậy, lượt ngoài mẫu chỉ kiểm chứng được khía cạnh rò rỉ nhãn, nhưng không kiểm chứng được rò rỉ trong bước chọn mô hình.</w:t>
      </w:r>
    </w:p>
    <w:p>
      <w:pPr>
        <w:pStyle w:val="BodyText"/>
        <w:rPr/>
      </w:pPr>
      <w:r>
        <w:rPr/>
        <w:t xml:space="preserve">Một điểm kiểm thứ ba được sử dụng để tách hai nguyên nhân có thể làm thay đổi đóng góp cảm xúc giữa hai lượt. Lệnh </w:t>
      </w:r>
      <w:r>
        <w:rPr>
          <w:rStyle w:val="VerbatimChar"/>
        </w:rPr>
        <w:t>sentiment-refit --sample-like</w:t>
      </w:r>
      <w:r>
        <w:rPr/>
        <w:t xml:space="preserve"> rút đúng số nhãn của từng lớp mà điểm kiểm đóng băng đã sử dụng (167 NEGATIVE, 616 NEUTRAL, 266 POSITIVE), nhưng lấy mẫu từ tất cả các mốc thời gian. Việc đối chiếu ba lượt, gồm đầy đủ 1.306, đóng băng 1.049 và đối chứng 1.049, cho phép phân biệt ảnh hưởng của việc loại bỏ nhãn tương lai với ảnh hưởng của việc huấn luyện trên ít dữ liệu hơn. Bản kê của lượt đối chứng ghi rõ chiến lược lấy mẫu, hạt giống và mã băm của danh sách dòng được chọn, đồng thời đánh dấu </w:t>
      </w:r>
      <w:r>
        <w:rPr>
          <w:rStyle w:val="VerbatimChar"/>
        </w:rPr>
        <w:t>point_in_time: false</w:t>
      </w:r>
      <w:r>
        <w:rPr/>
        <w:t xml:space="preserve"> để tránh diễn giải nhầm đây là một lượt sạch rò rỉ thứ hai. Lượt đối chứng hiện chỉ có một hạt giống (7), nên kết quả mang tính thăm dò. Tập con được rút là một yếu tố ngẫu nhiên và một lần rút duy nhất không thể tách ảnh hưởng của kích thước tập khỏi ảnh hưởng của một lần rút không thuận lợi.</w:t>
      </w:r>
    </w:p>
    <w:p>
      <w:pPr>
        <w:pStyle w:val="TableCaption"/>
        <w:rPr/>
      </w:pPr>
      <w:r>
        <w:rPr>
          <w:b/>
        </w:rPr>
        <w:t xml:space="preserve">Bảng 4.13: </w:t>
      </w:r>
      <w:r>
        <w:rPr/>
        <w:t>Đóng góp thông tin phân cực (F1 vĩ mô) của LSTM hai nhánh theo ba điểm kiểm cảm xúc, cùng cửa sổ kiểm thử.</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cantSplit/>
        </w:trPr>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Điểm kiểm</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Hiệu số</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KTC 95% theo cửa sổ</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KTC 95% theo ngày</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Đầy đủ 1.306 nhãn (hồi cứu)</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0080</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0000</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0160</m:t>
                </m:r>
                <m:r>
                  <w:rPr>
                    <w:rFonts w:ascii="Cambria Math" w:hAnsi="Cambria Math"/>
                  </w:rPr>
                  <m:t xml:space="preserve">]</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0025</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0186</m:t>
                </m:r>
                <m:r>
                  <w:rPr>
                    <w:rFonts w:ascii="Cambria Math" w:hAnsi="Cambria Math"/>
                  </w:rPr>
                  <m:t xml:space="preserve">]</m:t>
                </m:r>
              </m:oMath>
            </m:oMathPara>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Đóng băng 1.049 (ngoài mẫu)</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0094</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0022</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0243</m:t>
                </m:r>
                <m:r>
                  <w:rPr>
                    <w:rFonts w:ascii="Cambria Math" w:hAnsi="Cambria Math"/>
                  </w:rPr>
                  <m:t xml:space="preserve">]</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0009</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0196</m:t>
                </m:r>
                <m:r>
                  <w:rPr>
                    <w:rFonts w:ascii="Cambria Math" w:hAnsi="Cambria Math"/>
                  </w:rPr>
                  <m:t xml:space="preserve">]</m:t>
                </m:r>
              </m:oMath>
            </m:oMathPara>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Đối chứng 1.049 (hạt giống 7)</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0028</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0070</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0127</m:t>
                </m:r>
                <m:r>
                  <w:rPr>
                    <w:rFonts w:ascii="Cambria Math" w:hAnsi="Cambria Math"/>
                  </w:rPr>
                  <m:t xml:space="preserve">]</m:t>
                </m:r>
              </m:oMath>
            </m:oMathPara>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0074</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0133</m:t>
                </m:r>
                <m:r>
                  <w:rPr>
                    <w:rFonts w:ascii="Cambria Math" w:hAnsi="Cambria Math"/>
                  </w:rPr>
                  <m:t xml:space="preserve">]</m:t>
                </m:r>
              </m:oMath>
            </m:oMathPara>
            <w:bookmarkStart w:id="213" w:name="tab%2525253Akq-pit"/>
            <w:bookmarkEnd w:id="213"/>
          </w:p>
        </w:tc>
      </w:tr>
    </w:tbl>
    <w:p>
      <w:pPr>
        <w:pStyle w:val="BodyText"/>
        <w:rPr/>
      </w:pPr>
      <w:r>
        <w:rPr>
          <w:i/>
          <w:iCs/>
        </w:rPr>
        <w:t xml:space="preserve">Nguồn: </w:t>
      </w:r>
      <w:r>
        <w:rPr>
          <w:rStyle w:val="VerbatimChar"/>
          <w:i/>
          <w:iCs/>
        </w:rPr>
        <w:t>information_gain.json</w:t>
      </w:r>
      <w:r>
        <w:rPr>
          <w:i/>
          <w:iCs/>
        </w:rPr>
        <w:t xml:space="preserve"> trong , và .</w:t>
      </w:r>
    </w:p>
    <w:p>
      <w:pPr>
        <w:pStyle w:val="BodyText"/>
        <w:rPr/>
      </w:pPr>
      <w:r>
        <w:rPr/>
        <w:t xml:space="preserve">Cả ba ước lượng điểm đều dương và nằm trong khoảng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m:t>
        </m:r>
      </m:oMath>
      <w:r>
        <w:rPr/>
        <w:t xml:space="preserve"> đến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m:t>
        </m:r>
      </m:oMath>
      <w:r>
        <w:rPr/>
        <w:t xml:space="preserve"> F1 vĩ mô. Trong lần rút sử dụng hạt giống 7, điểm kiểm đóng băng theo thời gian cho ước lượng cao hơn điểm kiểm đối chứng cùng kích thước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0094</m:t>
        </m:r>
      </m:oMath>
      <w:r>
        <w:rPr/>
        <w:t xml:space="preserve"> so với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0028</m:t>
        </m:r>
      </m:oMath>
      <w:r>
        <w:rPr/>
        <w:t>). Tuy nhiên, đây là kết quả thăm dò từ một lần rút mẫu duy nhất và chưa cho phép tách chắc chắn ảnh hưởng của thời điểm huấn luyện khỏi ảnh hưởng của thành phần mẫu được rút.</w:t>
      </w:r>
    </w:p>
    <w:p>
      <w:pPr>
        <w:pStyle w:val="BodyText"/>
        <w:rPr/>
      </w:pPr>
      <w:r>
        <w:rPr/>
        <w:t>Cả ba khoảng theo ngày đều chứa 0. Khoảng của lượt đóng băng gần chạm 0 tại cận dưới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0009</m:t>
        </m:r>
      </m:oMath>
      <w:r>
        <w:rPr/>
        <w:t xml:space="preserve">), nhưng ba lượt này thuộc các phép so sánh được thực hiện trên cùng bộ dữ liệu; nếu tính cả hai kiến trúc thì có sáu phép so sánh. Vì vậy, sau khi hiệu chỉnh đa so sánh, không còn cơ sở để tuyên bố ý nghĩa thống kê. Kết luận không thay đổi: </w:t>
      </w:r>
      <w:r>
        <w:rPr>
          <w:b/>
          <w:bCs/>
        </w:rPr>
        <w:t>chưa có bằng chứng đủ mạnh về cải thiện</w:t>
      </w:r>
      <w:r>
        <w:rPr/>
        <w:t>, đồng thời dữ liệu hiện tại cũng không loại trừ khả năng tồn tại một mức cải thiện nhỏ.</w:t>
      </w:r>
    </w:p>
    <w:p>
      <w:pPr>
        <w:pStyle w:val="BodyText"/>
        <w:rPr/>
      </w:pPr>
      <w:r>
        <w:rPr/>
        <w:t xml:space="preserve">Đối với TFT, đóng góp thông tin lần lượt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0057</m:t>
        </m:r>
      </m:oMath>
      <w:r>
        <w:rPr/>
        <w:t xml:space="preserve"> (hồi cứu),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0105</m:t>
        </m:r>
      </m:oMath>
      <w:r>
        <w:rPr/>
        <w:t xml:space="preserve"> (đóng băng) và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0020</m:t>
        </m:r>
      </m:oMath>
      <w:r>
        <w:rPr/>
        <w:t xml:space="preserve"> (đối chứng), với các khoảng theo ngày tương ứng là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0161</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0047</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0209</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0013</m:t>
        </m:r>
        <m:r>
          <w:rPr>
            <w:rFonts w:ascii="Cambria Math" w:hAnsi="Cambria Math"/>
          </w:rPr>
          <m:t xml:space="preserve">]</m:t>
        </m:r>
      </m:oMath>
      <w:r>
        <w:rPr/>
        <w:t xml:space="preserve"> và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0116</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0083</m:t>
        </m:r>
        <m:r>
          <w:rPr>
            <w:rFonts w:ascii="Cambria Math" w:hAnsi="Cambria Math"/>
          </w:rPr>
          <m:t xml:space="preserve">]</m:t>
        </m:r>
      </m:oMath>
      <w:r>
        <w:rPr/>
        <w:t>. Không có lợi ích quan sát được với bất kỳ bộ sinh nào, nhưng cũng không có mức suy giảm vượt quá ngưỡng nhiễu. Kết quả này phù hợp với việc TFT chỉ sử dụng giá đạt kết quả thấp hơn LSTM chỉ sử dụng giá trên quy mô dữ liệu này.</w:t>
      </w:r>
      <w:bookmarkEnd w:id="212"/>
    </w:p>
    <w:p>
      <w:pPr>
        <w:pStyle w:val="Heading3"/>
        <w:rPr/>
      </w:pPr>
      <w:bookmarkStart w:id="214" w:name="__RefHeading___Toc11094_2435329662"/>
      <w:bookmarkStart w:id="215" w:name="sec%2525253Akq-ic"/>
      <w:bookmarkEnd w:id="214"/>
      <w:r>
        <w:rPr>
          <w:rFonts w:eastAsia="Times New Roman" w:cs="Times New Roman"/>
        </w:rPr>
        <w:t>4.5.4. Tương quan hạng của tín hiệu, không qua mô hình</w:t>
      </w:r>
    </w:p>
    <w:p>
      <w:pPr>
        <w:pStyle w:val="FirstParagraph"/>
        <w:rPr/>
      </w:pPr>
      <w:r>
        <w:rPr/>
        <w:t xml:space="preserve">Một phép loại bỏ cho kết quả rỗng không thể phân biệt giữa hai khả năng: bộ ước lượng chưa khai thác được tín hiệu hoặc bản thân tín hiệu yếu. Mục này bổ sung một mảnh bằng chứng độc lập với kiến trúc thông qua tương quan hạng Spearman giữa điểm cảm xúc theo ngày và lợi suất thực hiện, </w:t>
      </w:r>
      <w:r>
        <w:rPr>
          <w:b/>
          <w:bCs/>
        </w:rPr>
        <w:t>không khớp bất kỳ mô hình nào</w:t>
      </w:r>
      <w:r>
        <w:rPr/>
        <w:t xml:space="preserve">. Lệnh </w:t>
      </w:r>
      <w:r>
        <w:rPr>
          <w:rStyle w:val="VerbatimChar"/>
        </w:rPr>
        <w:t>forecast-ic</w:t>
      </w:r>
      <w:r>
        <w:rPr/>
        <w:t xml:space="preserve"> tính toán trên 6.950 dòng mã–ngày có tin thuộc 1.483 phiên, sử dụng điểm kiểm đóng băng; khoảng tin cậy được lấy mẫu lặp theo toàn bộ phiên với 2.000 lần rút.</w:t>
      </w:r>
    </w:p>
    <w:p>
      <w:pPr>
        <w:pStyle w:val="TableCaption"/>
        <w:rPr/>
      </w:pPr>
      <w:r>
        <w:rPr>
          <w:b/>
        </w:rPr>
        <w:t xml:space="preserve">Bảng 4.14: </w:t>
      </w:r>
      <w:r>
        <w:rPr/>
        <w:t xml:space="preserve">Tương quan hạng Spearman giữa </w:t>
      </w:r>
      <w:r>
        <w:rPr>
          <w:rStyle w:val="VerbatimChar"/>
        </w:rPr>
        <w:t>sent_pos_minus_neg</w:t>
      </w:r>
      <w:r>
        <w:rPr/>
        <w:t xml:space="preserve"> và lợi suất thực hiện, điểm kiểm đóng băng.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cantSplit/>
        </w:trPr>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Lợi suất đối chiếu</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Tương quan hạng</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Khoảng tin cậy 95%</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Cùng phiên, lợi suất thô</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0130</m:t>
                </m:r>
              </m:oMath>
            </m:oMathPara>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0158</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0406</m:t>
                </m:r>
                <m:r>
                  <w:rPr>
                    <w:rFonts w:ascii="Cambria Math" w:hAnsi="Cambria Math"/>
                  </w:rPr>
                  <m:t xml:space="preserve">]</m:t>
                </m:r>
              </m:oMath>
            </m:oMathPara>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Cùng phiên, lợi suất vượt trội</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0233</m:t>
                </m:r>
              </m:oMath>
            </m:oMathPara>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0004</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0465</m:t>
                </m:r>
                <m:r>
                  <w:rPr>
                    <w:rFonts w:ascii="Cambria Math" w:hAnsi="Cambria Math"/>
                  </w:rPr>
                  <m:t xml:space="preserve">]</m:t>
                </m:r>
              </m:oMath>
            </m:oMathPara>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Phiên kế tiếp, lợi suất thô</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0110</m:t>
                </m:r>
              </m:oMath>
            </m:oMathPara>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0164</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0399</m:t>
                </m:r>
                <m:r>
                  <w:rPr>
                    <w:rFonts w:ascii="Cambria Math" w:hAnsi="Cambria Math"/>
                  </w:rPr>
                  <m:t xml:space="preserve">]</m:t>
                </m:r>
              </m:oMath>
            </m:oMathPara>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Phiên kế tiếp, lợi suất vượt trội</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0030</m:t>
                </m:r>
              </m:oMath>
            </m:oMathPara>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0207</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0269</m:t>
                </m:r>
                <m:r>
                  <w:rPr>
                    <w:rFonts w:ascii="Cambria Math" w:hAnsi="Cambria Math"/>
                  </w:rPr>
                  <m:t xml:space="preserve">]</m:t>
                </m:r>
              </m:oMath>
            </m:oMathPara>
            <w:bookmarkStart w:id="216" w:name="tab%2525253Akq-ic"/>
            <w:bookmarkEnd w:id="216"/>
          </w:p>
        </w:tc>
      </w:tr>
    </w:tbl>
    <w:p>
      <w:pPr>
        <w:pStyle w:val="BodyText"/>
        <w:rPr/>
      </w:pPr>
      <w:r>
        <w:rPr>
          <w:i/>
          <w:iCs/>
        </w:rPr>
        <w:t xml:space="preserve">Nguồn: ;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6.950</m:t>
        </m:r>
      </m:oMath>
      <w:r>
        <w:rPr>
          <w:i/>
          <w:iCs/>
        </w:rPr>
        <w:t xml:space="preserve"> và </w:t>
      </w:r>
      <w:r>
        <w:rPr/>
      </w:r>
      <m:oMath xmlns:m="http://schemas.openxmlformats.org/officeDocument/2006/math">
        <m:r>
          <w:rPr>
            <w:rFonts w:ascii="Cambria Math" w:hAnsi="Cambria Math"/>
          </w:rPr>
          <m:t xml:space="preserve">6.948</m:t>
        </m:r>
      </m:oMath>
      <w:r>
        <w:rPr>
          <w:i/>
          <w:iCs/>
        </w:rPr>
        <w:t xml:space="preserve"> dòng.</w:t>
      </w:r>
    </w:p>
    <w:p>
      <w:pPr>
        <w:pStyle w:val="BodyText"/>
        <w:rPr/>
      </w:pPr>
      <w:r>
        <w:rPr/>
        <w:t xml:space="preserve">Tương quan hạng cắt ngang theo ngày được tính bằng cách xếp hạng trong từng phiên rồi lấy trung bình, tương ứng với cách sử dụng thực tế của một tín hiệu định lượng. Giá trị thu được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0062</m:t>
        </m:r>
      </m:oMath>
      <w:r>
        <w:rPr/>
        <w:t xml:space="preserve">, với sai số chuẩn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0159</m:t>
        </m:r>
      </m:oMath>
      <w:r>
        <w:rPr/>
        <w:t xml:space="preserve"> trên 1.002 phiên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39</m:t>
        </m:r>
      </m:oMath>
      <w:r>
        <w:rPr/>
        <w:t xml:space="preserve">). Với điểm kiểm hồi cứu, giá trị tương ứng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0047</m:t>
        </m:r>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29</m:t>
        </m:r>
      </m:oMath>
      <w:r>
        <w:rPr/>
        <w:t>), tức là dấu thay đổi giữa hai bộ sinh và độ lớn hoàn toàn nằm trong phạm vi nhiễu.</w:t>
      </w:r>
    </w:p>
    <w:p>
      <w:pPr>
        <w:pStyle w:val="Heading5"/>
        <w:rPr/>
      </w:pPr>
      <w:bookmarkStart w:id="217" w:name="mục-này-không-chứng-minh-điều-gì."/>
      <w:r>
        <w:rPr>
          <w:rFonts w:eastAsia="Times New Roman" w:cs="Times New Roman"/>
        </w:rPr>
        <w:t>Mục này không chứng minh điều gì.</w:t>
      </w:r>
    </w:p>
    <w:p>
      <w:pPr>
        <w:pStyle w:val="FirstParagraph"/>
        <w:rPr/>
      </w:pPr>
      <w:r>
        <w:rPr/>
        <w:t xml:space="preserve">Các giới hạn cần được nêu rõ trước khi diễn giải. Hệ số Spearman gần 0 chỉ cho thấy </w:t>
      </w:r>
      <w:r>
        <w:rPr>
          <w:b/>
          <w:bCs/>
        </w:rPr>
        <w:t>chưa phát hiện được bằng chứng</w:t>
      </w:r>
      <w:r>
        <w:rPr/>
        <w:t xml:space="preserve"> về liên hệ </w:t>
      </w:r>
      <w:r>
        <w:rPr>
          <w:b/>
          <w:bCs/>
        </w:rPr>
        <w:t>đơn điệu</w:t>
      </w:r>
      <w:r>
        <w:rPr/>
        <w:t xml:space="preserve"> giữa </w:t>
      </w:r>
      <w:r>
        <w:rPr>
          <w:b/>
          <w:bCs/>
        </w:rPr>
        <w:t>đúng điểm số vô hướng này</w:t>
      </w:r>
      <w:r>
        <w:rPr/>
        <w:t xml:space="preserve"> và lợi suất; nó không bác bỏ sự tồn tại của liên hệ đó, đúng như nguyên tắc đã áp dụng cho phép cắt bỏ đặc trưng. Hệ số này không cung cấp cận trên cho khả năng dự báo và không đo lường lượng thông tin. Một phản ví dụ tiêu chuẩn là trường hợp </w:t>
      </w:r>
      <w:r>
        <w:rPr/>
      </w:r>
      <m:oMath xmlns:m="http://schemas.openxmlformats.org/officeDocument/2006/math">
        <m:r>
          <w:rPr>
            <w:rFonts w:ascii="Cambria Math" w:hAnsi="Cambria Math"/>
          </w:rPr>
          <m:t xml:space="preserve">x</m:t>
        </m:r>
      </m:oMath>
      <w:r>
        <w:rPr/>
        <w:t xml:space="preserve"> có phân phối đối xứng quanh 0 và </w:t>
      </w:r>
      <w:r>
        <w:rPr/>
      </w:r>
      <m:oMath xmlns:m="http://schemas.openxmlformats.org/officeDocument/2006/math">
        <m:r>
          <w:rPr>
            <w:rFonts w:ascii="Cambria Math" w:hAnsi="Cambria Math"/>
          </w:rPr>
          <m:t xml:space="preserve">y</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rPr/>
        <w:t xml:space="preserve">: biến </w:t>
      </w:r>
      <w:r>
        <w:rPr/>
      </w:r>
      <m:oMath xmlns:m="http://schemas.openxmlformats.org/officeDocument/2006/math">
        <m:r>
          <w:rPr>
            <w:rFonts w:ascii="Cambria Math" w:hAnsi="Cambria Math"/>
          </w:rPr>
          <m:t xml:space="preserve">y</m:t>
        </m:r>
      </m:oMath>
      <w:r>
        <w:rPr/>
        <w:t xml:space="preserve"> được xác định hoàn toàn bởi </w:t>
      </w:r>
      <w:r>
        <w:rPr/>
      </w:r>
      <m:oMath xmlns:m="http://schemas.openxmlformats.org/officeDocument/2006/math">
        <m:r>
          <w:rPr>
            <w:rFonts w:ascii="Cambria Math" w:hAnsi="Cambria Math"/>
          </w:rPr>
          <m:t xml:space="preserve">x</m:t>
        </m:r>
      </m:oMath>
      <w:r>
        <w:rPr/>
        <w:t>, nhưng tương quan hạng giữa hai biến bằng 0. Tương tự, kết quả ở đây không nói gì về:</w:t>
      </w:r>
    </w:p>
    <w:p>
      <w:pPr>
        <w:pStyle w:val="Normal"/>
        <w:numPr>
          <w:ilvl w:val="0"/>
          <w:numId w:val="1"/>
        </w:numPr>
        <w:rPr/>
      </w:pPr>
      <w:r>
        <w:rPr/>
        <w:t>một quan hệ phi tuyến, có điều kiện hoặc có tương tác với đặc trưng giá;</w:t>
      </w:r>
    </w:p>
    <w:p>
      <w:pPr>
        <w:pStyle w:val="Normal"/>
        <w:numPr>
          <w:ilvl w:val="0"/>
          <w:numId w:val="1"/>
        </w:numPr>
        <w:rPr/>
      </w:pPr>
      <w:r>
        <w:rPr/>
        <w:t xml:space="preserve">một </w:t>
      </w:r>
      <w:r>
        <w:rPr>
          <w:i/>
          <w:iCs/>
        </w:rPr>
        <w:t>cách đo cảm xúc</w:t>
      </w:r>
      <w:r>
        <w:rPr/>
        <w:t xml:space="preserve"> khác, chẳng hạn theo khía cạnh, cường độ, chủ thể hoặc mức bất ngờ so với kỳ vọng thị trường, thay cho hiệu hai xác suất;</w:t>
      </w:r>
    </w:p>
    <w:p>
      <w:pPr>
        <w:pStyle w:val="Normal"/>
        <w:numPr>
          <w:ilvl w:val="0"/>
          <w:numId w:val="1"/>
        </w:numPr>
        <w:rPr/>
      </w:pPr>
      <w:r>
        <w:rPr/>
        <w:t xml:space="preserve">một </w:t>
      </w:r>
      <w:r>
        <w:rPr>
          <w:i/>
          <w:iCs/>
        </w:rPr>
        <w:t>cách tổng hợp</w:t>
      </w:r>
      <w:r>
        <w:rPr/>
        <w:t xml:space="preserve"> khác, chẳng hạn tổng hợp theo sự kiện thay vì theo ngày hoặc gán trọng số theo độ tin cậy của bộ phân loại;</w:t>
      </w:r>
    </w:p>
    <w:p>
      <w:pPr>
        <w:pStyle w:val="Normal"/>
        <w:numPr>
          <w:ilvl w:val="0"/>
          <w:numId w:val="1"/>
        </w:numPr>
        <w:rPr/>
      </w:pPr>
      <w:r>
        <w:rPr/>
        <w:t>một chân trời dài hơn (xem Mục </w:t>
      </w:r>
      <w:hyperlink w:anchor="sec%2525253Akq-horizon">
        <w:r>
          <w:rPr>
            <w:rStyle w:val="Hyperlink"/>
          </w:rPr>
          <w:t>4.5.6</w:t>
        </w:r>
      </w:hyperlink>
      <w:r>
        <w:rPr/>
        <w:t>).</w:t>
      </w:r>
    </w:p>
    <w:p>
      <w:pPr>
        <w:pStyle w:val="FirstParagraph"/>
        <w:rPr/>
      </w:pPr>
      <w:r>
        <w:rPr/>
        <w:t xml:space="preserve">Kết quả trong bảng chỉ cho thấy rằng </w:t>
      </w:r>
      <w:r>
        <w:rPr>
          <w:i/>
          <w:iCs/>
        </w:rPr>
        <w:t>không phát hiện được liên hệ đơn điệu giữa điểm số này và lợi suất vượt trội của phiên kế tiếp</w:t>
      </w:r>
      <w:r>
        <w:rPr/>
        <w:t xml:space="preserve">. Các phép đối chiếu trong bảng chưa được đăng ký trước và gồm tám ô, nên toàn bộ nội dung của mục này mang tính </w:t>
      </w:r>
      <w:r>
        <w:rPr>
          <w:b/>
          <w:bCs/>
        </w:rPr>
        <w:t>thăm dò</w:t>
      </w:r>
      <w:r>
        <w:rPr/>
        <w:t>.</w:t>
      </w:r>
    </w:p>
    <w:p>
      <w:pPr>
        <w:pStyle w:val="BodyText"/>
        <w:rPr/>
      </w:pPr>
      <w:r>
        <w:rPr/>
        <w:t xml:space="preserve">Hình mẫu “cùng phiên có, phiên sau không” </w:t>
      </w:r>
      <w:r>
        <w:rPr>
          <w:i/>
          <w:iCs/>
        </w:rPr>
        <w:t>phù hợp với</w:t>
      </w:r>
      <w:r>
        <w:rPr/>
        <w:t xml:space="preserve"> giả thuyết rằng tin đã được phản ánh vào giá trước thời điểm đóng cửa, nhưng phù hợp không phải là chứng minh. Ít nhất hai cơ chế khác có thể tạo ra cùng hình mẫu. Cơ chế thứ nhất là </w:t>
      </w:r>
      <w:r>
        <w:rPr>
          <w:b/>
          <w:bCs/>
        </w:rPr>
        <w:t>nhân quả ngược</w:t>
      </w:r>
      <w:r>
        <w:rPr/>
        <w:t xml:space="preserve">: giá biến động trước, sau đó báo chí sử dụng giọng điệu phù hợp với diễn biến này, nên tương quan cùng phiên có thể phát sinh mà không cần tin dẫn dắt giá. Cơ chế thứ hai là </w:t>
      </w:r>
      <w:r>
        <w:rPr>
          <w:b/>
          <w:bCs/>
        </w:rPr>
        <w:t>nhiễu</w:t>
      </w:r>
      <w:r>
        <w:rPr/>
        <w:t>: điểm số ban đầu đã yếu và việc bổ sung một ngày làm pha loãng tín hiệu đủ để đưa nó xuống dưới ngưỡng phát hiện. Đồ án không có thiết kế để phân biệt ba cơ chế này, do đó không đưa ra kết luận về tính hiệu quả của thị trường.</w:t>
      </w:r>
      <w:bookmarkEnd w:id="215"/>
      <w:bookmarkEnd w:id="217"/>
    </w:p>
    <w:p>
      <w:pPr>
        <w:pStyle w:val="Heading3"/>
        <w:rPr/>
      </w:pPr>
      <w:bookmarkStart w:id="218" w:name="__RefHeading___Toc11096_2435329662"/>
      <w:bookmarkStart w:id="219" w:name="sec%2525253Akq-excess"/>
      <w:bookmarkEnd w:id="218"/>
      <w:r>
        <w:rPr>
          <w:rFonts w:eastAsia="Times New Roman" w:cs="Times New Roman"/>
        </w:rPr>
        <w:t>4.5.5. Nhãn lợi suất vượt trội</w:t>
      </w:r>
    </w:p>
    <w:p>
      <w:pPr>
        <w:pStyle w:val="FirstParagraph"/>
        <w:rPr/>
      </w:pPr>
      <w:r>
        <w:rPr/>
        <w:t xml:space="preserve">Trong thiết lập mặc định của đồ án, nhãn là lợi suất phiên kế tiếp của chính mã cổ phiếu đó. Đối với mười mã VN30 trong cửa sổ nghiên cứu, một phần đáng kể biến động hằng ngày là nhịp chung: tương quan lợi suất ngày trung bình theo cặp là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418</m:t>
        </m:r>
      </m:oMath>
      <w:r>
        <w:rPr/>
        <w:t xml:space="preserve"> và hệ số xác định trung bình so với trung bình đồng hạng là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480</m:t>
        </m:r>
      </m:oMath>
      <w:r>
        <w:rPr/>
        <w:t>. Phần chung đó không phải thứ tin riêng của một doanh nghiệp giải thích được. Mục này chạy lại toàn bộ thang mô hình với một nhãn thay thế, được tính bằng lợi suất của từng mã trừ đi trung bình đồng hạng trong cùng ngày mục tiêu, qua đó phản ánh phần mã đó chạy nhanh hay chậm hơn rổ.</w:t>
      </w:r>
    </w:p>
    <w:p>
      <w:pPr>
        <w:pStyle w:val="BodyText"/>
        <w:rPr/>
      </w:pPr>
      <w:r>
        <w:rPr/>
        <w:t xml:space="preserve">Thay đổi này chỉ liên quan đến </w:t>
      </w:r>
      <w:r>
        <w:rPr>
          <w:i/>
          <w:iCs/>
        </w:rPr>
        <w:t>nhãn</w:t>
      </w:r>
      <w:r>
        <w:rPr/>
        <w:t>, không liên quan đến đặc trưng. Giá trị trung bình đồng hạng dùng để khấu trừ chỉ được quan sát vào đúng ngày mục tiêu, đồng thời với lợi suất, nên không có thông tin nào xuất hiện sớm hơn so với thiết lập ban đầu. Ngưỡng tam phân vẫn được khớp riêng trên phần huấn luyện của từng cửa sổ; toàn bộ cửa sổ, hạt giống và dòng kiểm thử được giữ nguyên.</w:t>
      </w:r>
    </w:p>
    <w:p>
      <w:pPr>
        <w:pStyle w:val="TableCaption"/>
        <w:rPr/>
      </w:pPr>
      <w:r>
        <w:rPr>
          <w:b/>
        </w:rPr>
        <w:t xml:space="preserve">Bảng 4.15: </w:t>
      </w:r>
      <w:r>
        <w:rPr/>
        <w:t>F1 vĩ mô theo hai cách gán nhãn, cùng điểm kiểm đóng băng và cùng cửa sổ kiểm thử.</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cantSplit/>
        </w:trPr>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Nhánh</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Nhãn lợi suất thô</w:t>
            </w:r>
          </w:p>
        </w:tc>
        <w:tc>
          <w:tcPr>
            <w:tcW w:w="26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Nhãn lợi suất vượt trội</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Lớp phổ biến nhất</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0,1453</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0,1627</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Ngẫu nhiên theo phân bố lớp</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0,3289</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0,3240</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Hồi quy logistic, chỉ giá</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0,3551</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0,3403</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Hồi quy logistic, giá và cảm xúc</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0,3666</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0,3396</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chỉ giá</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0,3756</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0,3399</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giá và cảm xúc</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0,3883</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0,3434</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chỉ giá</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0,3619</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0,3379</w:t>
            </w:r>
          </w:p>
        </w:tc>
      </w:tr>
      <w:tr>
        <w:trPr>
          <w:cantSplit/>
        </w:trPr>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giá và cảm xúc</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0,3549</w:t>
            </w:r>
          </w:p>
        </w:tc>
        <w:tc>
          <w:tcPr>
            <w:tcW w:w="26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0,3263</w:t>
            </w:r>
            <w:bookmarkStart w:id="220" w:name="tab%2525253Akq-excess"/>
            <w:bookmarkEnd w:id="220"/>
          </w:p>
        </w:tc>
      </w:tr>
    </w:tbl>
    <w:p>
      <w:pPr>
        <w:pStyle w:val="BodyText"/>
        <w:rPr/>
      </w:pPr>
      <w:r>
        <w:rPr>
          <w:i/>
          <w:iCs/>
        </w:rPr>
        <w:t>Nguồn: và .</w:t>
      </w:r>
    </w:p>
    <w:p>
      <w:pPr>
        <w:pStyle w:val="BodyText"/>
        <w:rPr/>
      </w:pPr>
      <w:r>
        <w:rPr/>
        <w:t xml:space="preserve">Kết quả cho thấy, với nhãn lợi suất vượt trội, mọi nhánh được huấn luyện đều đạt F1 vĩ mô </w:t>
      </w:r>
      <w:r>
        <w:rPr>
          <w:i/>
          <w:iCs/>
        </w:rPr>
        <w:t>thấp hơn</w:t>
      </w:r>
      <w:r>
        <w:rPr/>
        <w:t xml:space="preserve"> so với khi sử dụng nhãn lợi suất thô; chênh lệch giữa các nhánh cũng thu hẹp. Trên bộ dữ liệu này, bài toán xếp hạng tương đối trong phiên khó hơn bài toán dự báo chiều biến động thô.</w:t>
      </w:r>
    </w:p>
    <w:p>
      <w:pPr>
        <w:pStyle w:val="BodyText"/>
        <w:rPr/>
      </w:pPr>
      <w:r>
        <w:rPr/>
        <w:t xml:space="preserve">Không nên diễn giải bảng này như một phép phân rã. Hiệu số F1 vĩ mô giữa hai cột phản ánh chênh lệch giữa </w:t>
      </w:r>
      <w:r>
        <w:rPr>
          <w:b/>
          <w:bCs/>
        </w:rPr>
        <w:t>hai bài toán gán nhãn khác nhau, được huấn luyện riêng</w:t>
      </w:r>
      <w:r>
        <w:rPr/>
        <w:t xml:space="preserve">, không phải phép phân rã phương sai hoặc phân rã nhân quả. Ngoài ra, khi tập kiểm thử lệch lớp, mức ngẫu nhiên của F1 vĩ mô không chính xác bằng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3</m:t>
            </m:r>
          </m:den>
        </m:f>
      </m:oMath>
      <w:r>
        <w:rPr/>
        <w:t>; do đó, không thể quy đổi hai cột về cùng một tỷ lệ phần trăm.</w:t>
      </w:r>
    </w:p>
    <w:p>
      <w:pPr>
        <w:pStyle w:val="BodyText"/>
        <w:rPr/>
      </w:pPr>
      <w:r>
        <w:rPr/>
        <w:t xml:space="preserve">Đóng góp của thông tin phân cực đối với nhãn vượt trội, được đo bằng cùng đối chứng trung tính ghép cặp,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0005</m:t>
        </m:r>
      </m:oMath>
      <w:r>
        <w:rPr/>
        <w:t xml:space="preserve"> với khoảng theo ngày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0091</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0080</m:t>
        </m:r>
        <m:r>
          <w:rPr>
            <w:rFonts w:ascii="Cambria Math" w:hAnsi="Cambria Math"/>
          </w:rPr>
          <m:t xml:space="preserve">]</m:t>
        </m:r>
      </m:oMath>
      <w:r>
        <w:rPr/>
        <w:t xml:space="preserve"> ở lượt đóng băng và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0031</m:t>
        </m:r>
      </m:oMath>
      <w:r>
        <w:rPr/>
        <w:t xml:space="preserve"> với khoảng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0065</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0124</m:t>
        </m:r>
        <m:r>
          <w:rPr>
            <w:rFonts w:ascii="Cambria Math" w:hAnsi="Cambria Math"/>
          </w:rPr>
          <m:t xml:space="preserve">]</m:t>
        </m:r>
      </m:oMath>
      <w:r>
        <w:rPr/>
        <w:t xml:space="preserve"> ở lượt hồi cứu. Cả hai khoảng đều chứa 0. Đối với TFT, lượt đóng băng cho kết quả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0126</m:t>
        </m:r>
      </m:oMath>
      <w:r>
        <w:rPr/>
        <w:t xml:space="preserve"> với khoảng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0234</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0010</m:t>
        </m:r>
        <m:r>
          <w:rPr>
            <w:rFonts w:ascii="Cambria Math" w:hAnsi="Cambria Math"/>
          </w:rPr>
          <m:t xml:space="preserve">]</m:t>
        </m:r>
      </m:oMath>
      <w:r>
        <w:rPr/>
        <w:t>. Đây là một ô trong nhiều phép so sánh được thực hiện trên cùng bộ dữ liệu, nên không thể diễn giải riêng kết quả này là có ý nghĩa thống kê.</w:t>
      </w:r>
    </w:p>
    <w:p>
      <w:pPr>
        <w:pStyle w:val="BodyText"/>
        <w:rPr/>
      </w:pPr>
      <w:r>
        <w:rPr/>
        <w:t>Cuối cùng, mục này và Mục </w:t>
      </w:r>
      <w:hyperlink w:anchor="sec%2525253Akq-ic">
        <w:r>
          <w:rPr>
            <w:rStyle w:val="Hyperlink"/>
          </w:rPr>
          <w:t>4.5.4</w:t>
        </w:r>
      </w:hyperlink>
      <w:r>
        <w:rPr/>
        <w:t xml:space="preserve"> </w:t>
      </w:r>
      <w:r>
        <w:rPr>
          <w:b/>
          <w:bCs/>
        </w:rPr>
        <w:t>sử dụng chung một bộ dữ liệu</w:t>
      </w:r>
      <w:r>
        <w:rPr/>
        <w:t>. Hai mục không phải là các lần lặp lại độc lập và không củng cố lẫn nhau về mặt thống kê; chúng chỉ cung cấp hai góc nhìn khác nhau trên cùng một mẫu.</w:t>
      </w:r>
      <w:bookmarkEnd w:id="219"/>
    </w:p>
    <w:p>
      <w:pPr>
        <w:pStyle w:val="Heading3"/>
        <w:rPr/>
      </w:pPr>
      <w:bookmarkStart w:id="221" w:name="__RefHeading___Toc11098_2435329662"/>
      <w:bookmarkStart w:id="222" w:name="sec%2525253Akq-horizon"/>
      <w:bookmarkEnd w:id="221"/>
      <w:r>
        <w:rPr>
          <w:rFonts w:eastAsia="Times New Roman" w:cs="Times New Roman"/>
        </w:rPr>
        <w:t>4.5.6. Ablation chân trời dự báo</w:t>
      </w:r>
    </w:p>
    <w:p>
      <w:pPr>
        <w:pStyle w:val="FirstParagraph"/>
        <w:rPr/>
      </w:pPr>
      <w:r>
        <w:rPr/>
        <w:t xml:space="preserve">Chân trời một phiên là trường hợp khó nhất: hàm ý của một bài tin phải biểu hiện trong đúng một nhịp từ giá đóng cửa này đến giá đóng cửa kế tiếp; nếu không thì không hiện ra ở đâu cả. Mục này kiểm tra liệu kết quả rỗng tại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1</m:t>
        </m:r>
      </m:oMath>
      <w:r>
        <w:rPr/>
        <w:t xml:space="preserve"> có đặc thù cho nhịp thời gian này hay không bằng cách chạy lại toàn bộ thang mô hình và đối chứng trung tính ghép cặp tại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3</m:t>
        </m:r>
      </m:oMath>
      <w:r>
        <w:rPr/>
        <w:t xml:space="preserve"> và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5</m:t>
        </m:r>
      </m:oMath>
      <w:r>
        <w:rPr/>
        <w:t>. Điểm kiểm đóng băng, cửa sổ cuốn chiếu, hạt giống và mọi siêu tham số được giữ nguyên.</w:t>
      </w:r>
    </w:p>
    <w:p>
      <w:pPr>
        <w:pStyle w:val="TableCaption"/>
        <w:rPr/>
      </w:pPr>
      <w:r>
        <w:rPr>
          <w:b/>
        </w:rPr>
        <w:t xml:space="preserve">Bảng 4.16: </w:t>
      </w:r>
      <w:r>
        <w:rPr/>
        <w:t>F1 vĩ mô và đóng góp thông tin phân cực theo chân trời dự báo, điểm kiểm đóng băng.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cantSplit/>
        </w:trPr>
        <w:tc>
          <w:tcPr>
            <w:tcW w:w="132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Chân trời</w:t>
            </w:r>
          </w:p>
        </w:tc>
        <w:tc>
          <w:tcPr>
            <w:tcW w:w="13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Logistic chỉ giá</w:t>
            </w:r>
          </w:p>
        </w:tc>
        <w:tc>
          <w:tcPr>
            <w:tcW w:w="132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LSTM chỉ giá</w:t>
            </w:r>
          </w:p>
        </w:tc>
        <w:tc>
          <w:tcPr>
            <w:tcW w:w="132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LSTM giá–cảm xúc</w:t>
            </w:r>
          </w:p>
        </w:tc>
        <w:tc>
          <w:tcPr>
            <w:tcW w:w="13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Đóng góp</w:t>
            </w:r>
          </w:p>
        </w:tc>
        <w:tc>
          <w:tcPr>
            <w:tcW w:w="132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KTC 95% theo ngày</w:t>
            </w:r>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1</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0,3551</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0,3756</w:t>
            </w:r>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0,3883</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0094</m:t>
                </m:r>
              </m:oMath>
            </m:oMathPara>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0009</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0196</m:t>
                </m:r>
                <m:r>
                  <w:rPr>
                    <w:rFonts w:ascii="Cambria Math" w:hAnsi="Cambria Math"/>
                  </w:rPr>
                  <m:t xml:space="preserve">]</m:t>
                </m:r>
              </m:oMath>
            </m:oMathPara>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3</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0,3570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0,3668</w:t>
            </w:r>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0,3903</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0134</m:t>
                </m:r>
              </m:oMath>
            </m:oMathPara>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0020</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0249</m:t>
                </m:r>
                <m:r>
                  <w:rPr>
                    <w:rFonts w:ascii="Cambria Math" w:hAnsi="Cambria Math"/>
                  </w:rPr>
                  <m:t xml:space="preserve">]</m:t>
                </m:r>
              </m:oMath>
            </m:oMathPara>
          </w:p>
        </w:tc>
      </w:tr>
      <w:tr>
        <w:trPr>
          <w:cantSplit/>
        </w:trPr>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5</m:t>
                </m:r>
              </m:oMath>
            </m:oMathPara>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0,3374</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0,3575</w:t>
            </w:r>
          </w:p>
        </w:tc>
        <w:tc>
          <w:tcPr>
            <w:tcW w:w="13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0,3658</w:t>
            </w:r>
          </w:p>
        </w:tc>
        <w:tc>
          <w:tcPr>
            <w:tcW w:w="13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0007</m:t>
                </m:r>
              </m:oMath>
            </m:oMathPara>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0120</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0099</m:t>
                </m:r>
                <m:r>
                  <w:rPr>
                    <w:rFonts w:ascii="Cambria Math" w:hAnsi="Cambria Math"/>
                  </w:rPr>
                  <m:t xml:space="preserve">]</m:t>
                </m:r>
              </m:oMath>
            </m:oMathPara>
            <w:bookmarkStart w:id="223" w:name="tab%2525253Akq-horizon"/>
            <w:bookmarkEnd w:id="223"/>
          </w:p>
        </w:tc>
      </w:tr>
    </w:tbl>
    <w:p>
      <w:pPr>
        <w:pStyle w:val="BodyText"/>
        <w:rPr/>
      </w:pPr>
      <w:r>
        <w:rPr>
          <w:i/>
          <w:iCs/>
        </w:rPr>
        <w:t>Nguồn: , , .</w:t>
      </w:r>
    </w:p>
    <w:p>
      <w:pPr>
        <w:pStyle w:val="Heading5"/>
        <w:rPr/>
      </w:pPr>
      <w:bookmarkStart w:id="224" w:name="cảnh-báo-nhãn-chồng-lấn."/>
      <w:r>
        <w:rPr>
          <w:rFonts w:eastAsia="Times New Roman" w:cs="Times New Roman"/>
        </w:rPr>
        <w:t>Cảnh báo nhãn chồng lấn.</w:t>
      </w:r>
    </w:p>
    <w:p>
      <w:pPr>
        <w:pStyle w:val="FirstParagraph"/>
        <w:rPr/>
      </w:pPr>
      <w:r>
        <w:rPr/>
        <w:t xml:space="preserve">Khoảng tin cậy tại </w:t>
      </w:r>
      <w:r>
        <w:rPr/>
      </w:r>
      <m:oMath xmlns:m="http://schemas.openxmlformats.org/officeDocument/2006/math">
        <m:r>
          <w:rPr>
            <w:rFonts w:ascii="Cambria Math" w:hAnsi="Cambria Math"/>
          </w:rPr>
          <m:t xml:space="preserve">h</m:t>
        </m:r>
        <m:r>
          <w:rPr>
            <w:rFonts w:ascii="Cambria Math" w:hAnsi="Cambria Math"/>
          </w:rPr>
          <m:t xml:space="preserve">&gt;</m:t>
        </m:r>
        <m:r>
          <w:rPr>
            <w:rFonts w:ascii="Cambria Math" w:hAnsi="Cambria Math"/>
          </w:rPr>
          <m:t xml:space="preserve">1</m:t>
        </m:r>
      </m:oMath>
      <w:r>
        <w:rPr/>
        <w:t xml:space="preserve"> </w:t>
      </w:r>
      <w:r>
        <w:rPr>
          <w:b/>
          <w:bCs/>
        </w:rPr>
        <w:t>không</w:t>
      </w:r>
      <w:r>
        <w:rPr/>
        <w:t xml:space="preserve"> thể được diễn giải tương tự khoảng tại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1</m:t>
        </m:r>
      </m:oMath>
      <w:r>
        <w:rPr/>
        <w:t xml:space="preserve">. Với chân trời </w:t>
      </w:r>
      <w:r>
        <w:rPr/>
      </w:r>
      <m:oMath xmlns:m="http://schemas.openxmlformats.org/officeDocument/2006/math">
        <m:r>
          <w:rPr>
            <w:rFonts w:ascii="Cambria Math" w:hAnsi="Cambria Math"/>
          </w:rPr>
          <m:t xml:space="preserve">h</m:t>
        </m:r>
      </m:oMath>
      <w:r>
        <w:rPr/>
        <w:t xml:space="preserve"> phiên, hai dòng liên tiếp của cùng một mã sử dụng chung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1</m:t>
        </m:r>
      </m:oMath>
      <w:r>
        <w:rPr/>
        <w:t xml:space="preserve"> phiên, nên các nhãn bị chồng lấn và số quan sát độc lập hữu hiệu chỉ còn khoảng </w:t>
      </w:r>
      <w:r>
        <w:rPr/>
      </w:r>
      <m:oMath xmlns:m="http://schemas.openxmlformats.org/officeDocument/2006/math">
        <m:f>
          <m:fPr>
            <m:type m:val="lin"/>
          </m:fPr>
          <m:num>
            <m:r>
              <w:rPr>
                <w:rFonts w:ascii="Cambria Math" w:hAnsi="Cambria Math"/>
              </w:rPr>
              <m:t xml:space="preserve">n</m:t>
            </m:r>
          </m:num>
          <m:den>
            <m:r>
              <w:rPr>
                <w:rFonts w:ascii="Cambria Math" w:hAnsi="Cambria Math"/>
              </w:rPr>
              <m:t xml:space="preserve">h</m:t>
            </m:r>
          </m:den>
        </m:f>
      </m:oMath>
      <w:r>
        <w:rPr/>
        <w:t xml:space="preserve">. Thủ tục lấy mẫu lặp vẫn xem mỗi ngày kiểm thử là một khối độc lập; vì vậy, tại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3</m:t>
        </m:r>
      </m:oMath>
      <w:r>
        <w:rPr/>
        <w:t xml:space="preserve"> và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5</m:t>
        </m:r>
      </m:oMath>
      <w:r>
        <w:rPr/>
        <w:t xml:space="preserve">, khoảng ước lượng </w:t>
      </w:r>
      <w:r>
        <w:rPr>
          <w:i/>
          <w:iCs/>
        </w:rPr>
        <w:t>hẹp hơn mức bằng chứng cho phép</w:t>
      </w:r>
      <w:r>
        <w:rPr/>
        <w:t xml:space="preserve">. Do đó, khoảng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0020</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0249</m:t>
        </m:r>
        <m:r>
          <w:rPr>
            <w:rFonts w:ascii="Cambria Math" w:hAnsi="Cambria Math"/>
          </w:rPr>
          <m:t xml:space="preserve">]</m:t>
        </m:r>
      </m:oMath>
      <w:r>
        <w:rPr/>
        <w:t xml:space="preserve"> tại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3</m:t>
        </m:r>
      </m:oMath>
      <w:r>
        <w:rPr/>
        <w:t xml:space="preserve"> </w:t>
      </w:r>
      <w:r>
        <w:rPr>
          <w:b/>
          <w:bCs/>
        </w:rPr>
        <w:t>không</w:t>
      </w:r>
      <w:r>
        <w:rPr/>
        <w:t xml:space="preserve"> được xem là bằng chứng về một hiệu ứng khác 0.</w:t>
      </w:r>
    </w:p>
    <w:p>
      <w:pPr>
        <w:pStyle w:val="BodyText"/>
        <w:rPr/>
      </w:pPr>
      <w:r>
        <w:rPr/>
        <w:t>Sự chồng lấn không gây rò rỉ giữa tập huấn luyện và tập kiểm thử. Phép chia cuốn chiếu vẫn được thực hiện theo ngày mục tiêu, nên kết quả của một dòng huấn luyện luôn xảy ra trước mọi ngày mục tiêu trong tập kiểm thử. Sự chồng lấn ảnh hưởng đến phương sai, trong khi tính nhân quả không bị ảnh hưởng.</w:t>
      </w:r>
    </w:p>
    <w:p>
      <w:pPr>
        <w:pStyle w:val="BodyText"/>
        <w:rPr/>
      </w:pPr>
      <w:r>
        <w:rPr/>
        <w:t xml:space="preserve">Với cảnh báo trên, bảng cho thấy đóng góp ước lượng lần lượt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0094</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0134</m:t>
        </m:r>
      </m:oMath>
      <w:r>
        <w:rPr/>
        <w:t xml:space="preserve"> và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0007</m:t>
        </m:r>
      </m:oMath>
      <w:r>
        <w:rPr/>
        <w:t xml:space="preserve"> khi chân trời được mở rộng. Xu hướng này </w:t>
      </w:r>
      <w:r>
        <w:rPr>
          <w:b/>
          <w:bCs/>
        </w:rPr>
        <w:t>không đơn điệu</w:t>
      </w:r>
      <w:r>
        <w:rPr/>
        <w:t xml:space="preserve">, đồng thời biên độ dao động nằm trong cùng khoảng nhiễu đã quan sát ở các lượt khác. Mặt khác, mô hình chỉ giá suy giảm đều theo chân trời, từ 0,3756 xuống 0,3575, phù hợp với kỳ vọng khi mục tiêu dự báo xa dần. Kết quả này </w:t>
      </w:r>
      <w:r>
        <w:rPr>
          <w:b/>
          <w:bCs/>
        </w:rPr>
        <w:t>không xác lập được sự phụ thuộc của đóng góp cảm xúc vào chân trời dự báo</w:t>
      </w:r>
      <w:r>
        <w:rPr/>
        <w:t xml:space="preserve">; đồng thời, kết quả rỗng ở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1</m:t>
        </m:r>
      </m:oMath>
      <w:r>
        <w:rPr/>
        <w:t xml:space="preserve"> không phải là hệ quả riêng của việc chọn một phiên.</w:t>
      </w:r>
      <w:bookmarkEnd w:id="222"/>
      <w:bookmarkEnd w:id="224"/>
    </w:p>
    <w:p>
      <w:pPr>
        <w:pStyle w:val="Heading3"/>
        <w:rPr/>
      </w:pPr>
      <w:bookmarkStart w:id="225" w:name="__RefHeading___Toc11100_2435329662"/>
      <w:bookmarkStart w:id="226" w:name="sec%2525253Akq-kinh-te"/>
      <w:bookmarkEnd w:id="225"/>
      <w:r>
        <w:rPr>
          <w:rFonts w:eastAsia="Times New Roman" w:cs="Times New Roman"/>
        </w:rPr>
        <w:t>4.5.7. Chẩn đoán kinh tế</w:t>
      </w:r>
    </w:p>
    <w:p>
      <w:pPr>
        <w:pStyle w:val="FirstParagraph"/>
        <w:rPr/>
      </w:pPr>
      <w:r>
        <w:rPr>
          <w:b/>
          <w:bCs/>
        </w:rPr>
        <w:t>Kết quả trong mục này không giao dịch được</w:t>
      </w:r>
    </w:p>
    <w:p>
      <w:pPr>
        <w:pStyle w:val="BodyText"/>
        <w:rPr/>
      </w:pPr>
      <w:r>
        <w:rPr/>
        <w:t xml:space="preserve">Đặc trưng của ngày </w:t>
      </w:r>
      <w:r>
        <w:rPr/>
      </w:r>
      <m:oMath xmlns:m="http://schemas.openxmlformats.org/officeDocument/2006/math">
        <m:r>
          <w:rPr>
            <w:rFonts w:ascii="Cambria Math" w:hAnsi="Cambria Math"/>
          </w:rPr>
          <m:t xml:space="preserve">t</m:t>
        </m:r>
      </m:oMath>
      <w:r>
        <w:rPr/>
        <w:t xml:space="preserve"> bao gồm giá đóng cửa </w:t>
      </w:r>
      <w:r>
        <w:rPr/>
      </w:r>
      <m:oMath xmlns:m="http://schemas.openxmlformats.org/officeDocument/2006/math">
        <m:sSub>
          <m:e>
            <m:r>
              <m:rPr>
                <m:lit/>
                <m:nor/>
              </m:rPr>
              <w:rPr>
                <w:rFonts w:ascii="Cambria Math" w:hAnsi="Cambria Math"/>
              </w:rPr>
              <m:t xml:space="preserve">close</m:t>
            </m:r>
          </m:e>
          <m:sub>
            <m:r>
              <w:rPr>
                <w:rFonts w:ascii="Cambria Math" w:hAnsi="Cambria Math"/>
              </w:rPr>
              <m:t xml:space="preserve">t</m:t>
            </m:r>
          </m:sub>
        </m:sSub>
      </m:oMath>
      <w:r>
        <w:rPr/>
        <w:t xml:space="preserve"> và mọi bài tin công bố tới mốc cắt 15:00 của ngày </w:t>
      </w:r>
      <w:r>
        <w:rPr/>
      </w:r>
      <m:oMath xmlns:m="http://schemas.openxmlformats.org/officeDocument/2006/math">
        <m:r>
          <w:rPr>
            <w:rFonts w:ascii="Cambria Math" w:hAnsi="Cambria Math"/>
          </w:rPr>
          <m:t xml:space="preserve">t</m:t>
        </m:r>
      </m:oMath>
      <w:r>
        <w:rPr/>
        <w:t xml:space="preserve">. Sổ lệnh mô phỏng trong mục này vào lệnh tại </w:t>
      </w:r>
      <w:r>
        <w:rPr>
          <w:i/>
          <w:iCs/>
        </w:rPr>
        <w:t>chính</w:t>
      </w:r>
      <w:r>
        <w:rPr/>
        <w:t xml:space="preserve"> </w:t>
      </w:r>
      <w:r>
        <w:rPr/>
      </w:r>
      <m:oMath xmlns:m="http://schemas.openxmlformats.org/officeDocument/2006/math">
        <m:sSub>
          <m:e>
            <m:r>
              <m:rPr>
                <m:lit/>
                <m:nor/>
              </m:rPr>
              <w:rPr>
                <w:rFonts w:ascii="Cambria Math" w:hAnsi="Cambria Math"/>
              </w:rPr>
              <m:t xml:space="preserve">close</m:t>
            </m:r>
          </m:e>
          <m:sub>
            <m:r>
              <w:rPr>
                <w:rFonts w:ascii="Cambria Math" w:hAnsi="Cambria Math"/>
              </w:rPr>
              <m:t xml:space="preserve">t</m:t>
            </m:r>
          </m:sub>
        </m:sSub>
      </m:oMath>
      <w:r>
        <w:rPr/>
        <w:t>, tức mức giá đã được tín hiệu sử dụng và chỉ được biết sau khi phiên giao dịch kết thúc. Nhà đầu tư không thể khớp lệnh tại mức giá đó.</w:t>
      </w:r>
    </w:p>
    <w:p>
      <w:pPr>
        <w:pStyle w:val="BodyText"/>
        <w:rPr/>
      </w:pPr>
      <w:r>
        <w:rPr/>
        <w:t xml:space="preserve">Vì vậy, mọi kết quả bên dưới là </w:t>
      </w:r>
      <w:r>
        <w:rPr>
          <w:b/>
          <w:bCs/>
        </w:rPr>
        <w:t>cận trên theo giả định khớp lệnh hoàn hảo, tức thời và không có trượt giá</w:t>
      </w:r>
      <w:r>
        <w:rPr/>
        <w:t xml:space="preserve">, không phải lợi nhuận đạt được. Một phương án có thể giao dịch phải vào lệnh từ phiên mở cửa kế tiếp trở đi và sẽ bỏ lỡ phần biến động qua đêm, vốn thường chiếm phần lớn biên lợi thế ở tần suất ngày. Mục này trả lời câu hỏi “F1 vĩ mô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38</m:t>
        </m:r>
      </m:oMath>
      <w:r>
        <w:rPr/>
        <w:t xml:space="preserve"> tương ứng với mức lớn hay nhỏ tính bằng điểm cơ bản”, </w:t>
      </w:r>
      <w:r>
        <w:rPr>
          <w:b/>
          <w:bCs/>
        </w:rPr>
        <w:t>không</w:t>
      </w:r>
      <w:r>
        <w:rPr/>
        <w:t xml:space="preserve"> trả lời câu hỏi “chiến lược này có sinh lời hay không”.</w:t>
      </w:r>
    </w:p>
    <w:p>
      <w:pPr>
        <w:pStyle w:val="BodyText"/>
        <w:rPr/>
      </w:pPr>
      <w:r>
        <w:rPr/>
        <w:t xml:space="preserve">Thiết lập mô phỏng như sau: trong mỗi phiên, danh mục mua với trọng số đều các mã được dự báo </w:t>
      </w:r>
      <w:r>
        <w:rPr>
          <w:rStyle w:val="VerbatimChar"/>
        </w:rPr>
        <w:t>UP</w:t>
      </w:r>
      <w:r>
        <w:rPr/>
        <w:t xml:space="preserve">, bán khống với trọng số đều các mã được dự báo </w:t>
      </w:r>
      <w:r>
        <w:rPr>
          <w:rStyle w:val="VerbatimChar"/>
        </w:rPr>
        <w:t>DOWN</w:t>
      </w:r>
      <w:r>
        <w:rPr/>
        <w:t>, và tái cân bằng hằng ngày trong 300 phiên kiểm thử của lượt đóng băng. Lợi suất thực hiện được tính lại từ tệp giá thay vì suy ngược từ nhãn, nên một dòng bị gán nhãn sai được phản ánh thành một khoản lỗ. Chi phí được tính trên vòng quay thực tế so với các vị thế đã trôi giá, sau khi quy về cùng cơ sở vốn, với mức 20 điểm cơ bản cho mỗi đơn vị vòng quay.</w:t>
      </w:r>
    </w:p>
    <w:p>
      <w:pPr>
        <w:pStyle w:val="BodyText"/>
        <w:rPr/>
      </w:pPr>
      <w:r>
        <w:rPr/>
        <w:t xml:space="preserve">Sổ lệnh này </w:t>
      </w:r>
      <w:r>
        <w:rPr>
          <w:b/>
          <w:bCs/>
        </w:rPr>
        <w:t>không trung hòa thị trường</w:t>
      </w:r>
      <w:r>
        <w:rPr/>
        <w:t xml:space="preserve">. Khi cả hai vế đều có lệnh, các trọng số triệt tiêu nhau; tuy nhiên, </w:t>
      </w:r>
      <w:r>
        <w:rPr/>
      </w:r>
      <m:oMath xmlns:m="http://schemas.openxmlformats.org/officeDocument/2006/math">
        <m:r>
          <w:rPr>
            <w:rFonts w:ascii="Cambria Math" w:hAnsi="Cambria Math"/>
          </w:rPr>
          <m:t xml:space="preserve">23</m:t>
        </m:r>
        <m:r>
          <w:rPr>
            <w:rFonts w:ascii="Cambria Math" w:hAnsi="Cambria Math"/>
          </w:rPr>
          <m:t xml:space="preserve">,</m:t>
        </m:r>
        <m:r>
          <w:rPr>
            <w:rFonts w:ascii="Cambria Math" w:hAnsi="Cambria Math"/>
          </w:rPr>
          <m:t xml:space="preserve">2</m:t>
        </m:r>
        <m:r>
          <m:rPr>
            <m:lit/>
            <m:nor/>
          </m:rPr>
          <w:rPr>
            <w:rFonts w:ascii="Cambria Math" w:hAnsi="Cambria Math"/>
          </w:rPr>
          <m:t xml:space="preserve">%</m:t>
        </m:r>
      </m:oMath>
      <w:r>
        <w:rPr/>
        <w:t xml:space="preserve"> số phiên chỉ có một vế. Trong những phiên này, vế còn lại bị giảm một nửa nhưng vẫn duy trì rủi ro thị trường, với trạng thái ròng tuyệt đối trung bình là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101</m:t>
        </m:r>
      </m:oMath>
      <w:r>
        <w:rPr/>
        <w:t>.</w:t>
      </w:r>
    </w:p>
    <w:p>
      <w:pPr>
        <w:pStyle w:val="TableCaption"/>
        <w:rPr/>
      </w:pPr>
      <w:r>
        <w:rPr>
          <w:b/>
        </w:rPr>
        <w:t xml:space="preserve">Bảng 4.17: </w:t>
      </w:r>
      <w:r>
        <w:rPr/>
        <w:t>Chẩn đoán kinh tế của các nhánh trên 300 phiên kiểm thử, điểm kiểm đóng băng, phí 20 điểm cơ bản.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cantSplit/>
        </w:trPr>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Nhánh</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Sharpe trước phí</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Sharpe sau phí</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Phí hòa vốn</w:t>
            </w:r>
          </w:p>
        </w:tc>
        <w:tc>
          <w:tcPr>
            <w:tcW w:w="15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r>
            <m:oMath xmlns:m="http://schemas.openxmlformats.org/officeDocument/2006/math">
              <m:r>
                <w:rPr>
                  <w:rFonts w:ascii="Cambria Math" w:hAnsi="Cambria Math"/>
                </w:rPr>
                <m:t xml:space="preserve">α</m:t>
              </m:r>
            </m:oMath>
            <w:r>
              <w:rPr>
                <w:kern w:val="0"/>
                <w:szCs w:val="24"/>
                <w:lang w:val="en-US" w:eastAsia="zh-CN" w:bidi="ar-SA"/>
              </w:rPr>
              <w:t xml:space="preserve"> </w:t>
            </w:r>
            <w:r>
              <w:rPr>
                <w:kern w:val="0"/>
                <w:szCs w:val="24"/>
                <w:lang w:val="en-US" w:eastAsia="zh-CN" w:bidi="ar-SA"/>
              </w:rPr>
              <w:t>so với rổ (</w:t>
            </w:r>
            <w:r>
              <w:rPr/>
            </w:r>
            <m:oMath xmlns:m="http://schemas.openxmlformats.org/officeDocument/2006/math">
              <m:r>
                <w:rPr>
                  <w:rFonts w:ascii="Cambria Math" w:hAnsi="Cambria Math"/>
                </w:rPr>
                <m:t xml:space="preserve">t</m:t>
              </m:r>
            </m:oMath>
            <w:r>
              <w:rPr>
                <w:kern w:val="0"/>
                <w:szCs w:val="24"/>
                <w:lang w:val="en-US" w:eastAsia="zh-CN" w:bidi="ar-SA"/>
              </w:rPr>
              <w:t>)</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chỉ giá</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49</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05</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14,1 bps</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00202</m:t>
              </m:r>
            </m:oMath>
            <w:r>
              <w:rPr>
                <w:kern w:val="0"/>
                <w:szCs w:val="24"/>
                <w:lang w:val="en-US" w:eastAsia="zh-CN" w:bidi="ar-SA"/>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38</m:t>
              </m:r>
              <m:r>
                <w:rPr>
                  <w:rFonts w:ascii="Cambria Math" w:hAnsi="Cambria Math"/>
                </w:rPr>
                <m:t xml:space="preserve">)</m:t>
              </m:r>
            </m:oMath>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LSTM giá–cảm xúc</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44</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12</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15,1 bps</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00252</m:t>
              </m:r>
            </m:oMath>
            <w:r>
              <w:rPr>
                <w:kern w:val="0"/>
                <w:szCs w:val="24"/>
                <w:lang w:val="en-US" w:eastAsia="zh-CN" w:bidi="ar-SA"/>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39</m:t>
              </m:r>
              <m:r>
                <w:rPr>
                  <w:rFonts w:ascii="Cambria Math" w:hAnsi="Cambria Math"/>
                </w:rPr>
                <m:t xml:space="preserve">)</m:t>
              </m:r>
            </m:oMath>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chỉ giá</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93</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01</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9,8 bps</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00129</m:t>
              </m:r>
            </m:oMath>
            <w:r>
              <w:rPr>
                <w:kern w:val="0"/>
                <w:szCs w:val="24"/>
                <w:lang w:val="en-US" w:eastAsia="zh-CN" w:bidi="ar-SA"/>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71</m:t>
              </m:r>
              <m:r>
                <w:rPr>
                  <w:rFonts w:ascii="Cambria Math" w:hAnsi="Cambria Math"/>
                </w:rPr>
                <m:t xml:space="preserve">)</m:t>
              </m:r>
            </m:oMath>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TFT giá–cảm xúc</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13</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79</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16,0 bps</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00211</m:t>
              </m:r>
            </m:oMath>
            <w:r>
              <w:rPr>
                <w:kern w:val="0"/>
                <w:szCs w:val="24"/>
                <w:lang w:val="en-US" w:eastAsia="zh-CN" w:bidi="ar-SA"/>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92</m:t>
              </m:r>
              <m:r>
                <w:rPr>
                  <w:rFonts w:ascii="Cambria Math" w:hAnsi="Cambria Math"/>
                </w:rPr>
                <m:t xml:space="preserve">)</m:t>
              </m:r>
            </m:oMath>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Ngẫu nhiên theo phân bố lớp</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51</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00101</m:t>
              </m:r>
            </m:oMath>
            <w:r>
              <w:rPr>
                <w:kern w:val="0"/>
                <w:szCs w:val="24"/>
                <w:lang w:val="en-US" w:eastAsia="zh-CN" w:bidi="ar-SA"/>
              </w:rPr>
              <w:t xml:space="preserve">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03</m:t>
              </m:r>
              <m:r>
                <w:rPr>
                  <w:rFonts w:ascii="Cambria Math" w:hAnsi="Cambria Math"/>
                </w:rPr>
                <m:t xml:space="preserve">)</m:t>
              </m:r>
            </m:oMath>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Rổ đều, tái cân bằng hằng ngày</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95</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r>
      <w:tr>
        <w:trPr>
          <w:cantSplit/>
        </w:trPr>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Rổ đều, mua và nắm giữ</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61</m:t>
                </m:r>
              </m:oMath>
            </m:oMathPara>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p>
        </w:tc>
        <w:tc>
          <w:tcPr>
            <w:tcW w:w="15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w:t>
            </w:r>
            <w:bookmarkStart w:id="227" w:name="tab%2525253Akq-backtest"/>
            <w:bookmarkEnd w:id="227"/>
          </w:p>
        </w:tc>
      </w:tr>
    </w:tbl>
    <w:p>
      <w:pPr>
        <w:pStyle w:val="BodyText"/>
        <w:rPr/>
      </w:pPr>
      <w:r>
        <w:rPr>
          <w:i/>
          <w:iCs/>
        </w:rPr>
        <w:t xml:space="preserve">Nguồn: . </w:t>
      </w:r>
      <w:r>
        <w:rPr/>
      </w:r>
      <m:oMath xmlns:m="http://schemas.openxmlformats.org/officeDocument/2006/math">
        <m:r>
          <w:rPr>
            <w:rFonts w:ascii="Cambria Math" w:hAnsi="Cambria Math"/>
          </w:rPr>
          <m:t xml:space="preserve">α</m:t>
        </m:r>
      </m:oMath>
      <w:r>
        <w:rPr>
          <w:i/>
          <w:iCs/>
        </w:rPr>
        <w:t xml:space="preserve"> là hệ số chặn khi hồi quy lợi suất trước phí của sổ lệnh lên lợi suất rổ đều.</w:t>
      </w:r>
    </w:p>
    <w:p>
      <w:pPr>
        <w:pStyle w:val="Heading5"/>
        <w:rPr/>
      </w:pPr>
      <w:bookmarkStart w:id="228" w:name="mức-nhiễu-tham-chiếu."/>
      <w:r>
        <w:rPr>
          <w:rFonts w:eastAsia="Times New Roman" w:cs="Times New Roman"/>
        </w:rPr>
        <w:t>Mức nhiễu tham chiếu.</w:t>
      </w:r>
    </w:p>
    <w:p>
      <w:pPr>
        <w:pStyle w:val="FirstParagraph"/>
        <w:rPr/>
      </w:pPr>
      <w:r>
        <w:rPr/>
        <w:t xml:space="preserve">Nhánh ngẫu nhiên đạt Sharpe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m:t>
        </m:r>
      </m:oMath>
      <w:r>
        <w:rPr/>
        <w:t xml:space="preserve">, cho thấy 300 phiên </w:t>
      </w:r>
      <w:r>
        <w:rPr>
          <w:i/>
          <w:iCs/>
        </w:rPr>
        <w:t>không</w:t>
      </w:r>
      <w:r>
        <w:rPr/>
        <w:t xml:space="preserve"> đủ để phân biệt các mức Sharpe gần nhau. Mức tham chiếu phù hợp là phân phối null hoán vị, trong đó ngày, rổ mã và toàn bộ phương pháp hạch toán được giữ nguyên, còn nhãn dự báo được xáo trộn trong từng phiên qua 200 lần rút. Đối với nhánh LSTM giá–cảm xúc, phân phối null có Sharpe trung bình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w:r>
        <w:rPr/>
        <w:t xml:space="preserve">, độ lệch chuẩn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88</m:t>
        </m:r>
      </m:oMath>
      <w:r>
        <w:rPr/>
        <w:t xml:space="preserve"> và khoảng 95%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77</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70</m:t>
        </m:r>
        <m:r>
          <w:rPr>
            <w:rFonts w:ascii="Cambria Math" w:hAnsi="Cambria Math"/>
          </w:rPr>
          <m:t xml:space="preserve">]</m:t>
        </m:r>
      </m:oMath>
      <w:r>
        <w:rPr/>
        <w:t xml:space="preserve">. Kết quả này cho thấy hai điểm. Thứ nhất, phân phối null tập trung quanh 0, nên phương pháp hạch toán không có thiên lệch. Thứ hai, Sharpe trước phí </w:t>
      </w:r>
      <w:r>
        <w:rPr/>
      </w:r>
      <m:oMath xmlns:m="http://schemas.openxmlformats.org/officeDocument/2006/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44</m:t>
        </m:r>
      </m:oMath>
      <w:r>
        <w:rPr/>
        <w:t xml:space="preserve"> nằm ngoài khoảng này.</w:t>
      </w:r>
      <w:bookmarkEnd w:id="228"/>
    </w:p>
    <w:p>
      <w:pPr>
        <w:pStyle w:val="Heading5"/>
        <w:rPr/>
      </w:pPr>
      <w:bookmarkStart w:id="229" w:name="ba-kết-quả."/>
      <w:r>
        <w:rPr>
          <w:rFonts w:eastAsia="Times New Roman" w:cs="Times New Roman"/>
        </w:rPr>
        <w:t>Ba kết quả.</w:t>
      </w:r>
    </w:p>
    <w:p>
      <w:pPr>
        <w:pStyle w:val="FirstParagraph"/>
        <w:rPr/>
      </w:pPr>
      <w:r>
        <w:rPr/>
        <w:t xml:space="preserve">Thứ nhất, kết quả cho thấy biên lợi thế phân loại </w:t>
      </w:r>
      <w:r>
        <w:rPr>
          <w:i/>
          <w:iCs/>
        </w:rPr>
        <w:t>trước phí</w:t>
      </w:r>
      <w:r>
        <w:rPr/>
        <w:t xml:space="preserve"> tồn tại và không chỉ phản ánh trạng thái ròng một chiều. Sau khi hồi quy theo rổ, hệ số chặn vẫn dương với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39</m:t>
        </m:r>
      </m:oMath>
      <w:r>
        <w:rPr/>
        <w:t xml:space="preserve">, trong khi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186</m:t>
        </m:r>
      </m:oMath>
      <w:r>
        <w:rPr/>
        <w:t xml:space="preserve">. Thứ hai, chi phí </w:t>
      </w:r>
      <w:r>
        <w:rPr>
          <w:i/>
          <w:iCs/>
        </w:rPr>
        <w:t>triệt tiêu hoàn toàn biên lợi thế này</w:t>
      </w:r>
      <w:r>
        <w:rPr/>
        <w:t xml:space="preserve">: ngưỡng hòa vốn vào khoảng 15 điểm cơ bản cho mỗi đơn vị vòng quay, trong khi tổng phí môi giới và thuế bán thực tế tại HOSE cao hơn đáng kể; do đó, Sharpe sau phí âm ở mọi nhánh. Thứ ba, khi so sánh với mốc thụ động, chiến lược mua và nắm giữ rổ đều đạt Sharpe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61</m:t>
        </m:r>
      </m:oMath>
      <w:r>
        <w:rPr/>
        <w:t>. Vì vậy, ngay cả kết quả trước phí cũng không vượt xa một chiến lược không sử dụng mô hình.</w:t>
      </w:r>
    </w:p>
    <w:p>
      <w:pPr>
        <w:pStyle w:val="BodyText"/>
        <w:rPr/>
      </w:pPr>
      <w:r>
        <w:rPr/>
        <w:t>Với nhãn lợi suất vượt trội tại Mục </w:t>
      </w:r>
      <w:hyperlink w:anchor="sec%2525253Akq-excess">
        <w:r>
          <w:rPr>
            <w:rStyle w:val="Hyperlink"/>
          </w:rPr>
          <w:t>4.5.5</w:t>
        </w:r>
      </w:hyperlink>
      <w:r>
        <w:rPr/>
        <w:t xml:space="preserve">, Sharpe trước phí của nhánh LSTM giá–cảm xúc chỉ còn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42</m:t>
        </m:r>
      </m:oMath>
      <w:r>
        <w:rPr/>
        <w:t xml:space="preserve"> và hệ số chặn so với rổ là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00012</m:t>
        </m:r>
      </m:oMath>
      <w:r>
        <w:rPr/>
        <w:t xml:space="preserve"> với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15</m:t>
        </m:r>
      </m:oMath>
      <w:r>
        <w:rPr/>
        <w:t>. Quan sát này nhất quán với việc thang mô hình đạt điểm thấp hơn khi sử dụng nhãn lợi suất vượt trội. Tuy nhiên, kết quả được tính trên cùng một mẫu dữ liệu nên không phải là một xác nhận độc lập.</w:t>
      </w:r>
      <w:bookmarkEnd w:id="226"/>
      <w:bookmarkEnd w:id="229"/>
    </w:p>
    <w:p>
      <w:pPr>
        <w:pStyle w:val="Heading2"/>
        <w:rPr/>
      </w:pPr>
      <w:bookmarkStart w:id="230" w:name="__RefHeading___Toc11106_2435329662"/>
      <w:bookmarkStart w:id="231" w:name="sec%2525253Akq-ban-luan"/>
      <w:bookmarkEnd w:id="230"/>
      <w:r>
        <w:rPr>
          <w:rFonts w:eastAsia="Times New Roman" w:cs="Times New Roman" w:ascii="Times New Roman" w:hAnsi="Times New Roman"/>
        </w:rPr>
        <w:t>4.6. Bàn luận</w:t>
      </w:r>
    </w:p>
    <w:p>
      <w:pPr>
        <w:pStyle w:val="Heading3"/>
        <w:rPr/>
      </w:pPr>
      <w:bookmarkStart w:id="232" w:name="__RefHeading___Toc11108_2435329662"/>
      <w:bookmarkEnd w:id="232"/>
      <w:r>
        <w:rPr>
          <w:rFonts w:eastAsia="Times New Roman" w:cs="Times New Roman"/>
        </w:rPr>
        <w:t>4.6.1. Bàn luận theo câu hỏi nghiên cứu</w:t>
      </w:r>
    </w:p>
    <w:p>
      <w:pPr>
        <w:pStyle w:val="FirstParagraph"/>
        <w:rPr/>
      </w:pPr>
      <w:r>
        <w:rPr>
          <w:b/>
          <w:i w:val="false"/>
        </w:rPr>
        <w:t>Câu hỏi thứ nhất</w:t>
      </w:r>
      <w:r>
        <w:rPr>
          <w:b w:val="false"/>
          <w:i w:val="false"/>
        </w:rPr>
        <w:t>: mức độ chính xác của PhoBERT trên bộ dữ liệu tự xây dựng. Kết quả xác thực chéo theo tầng trên 1.306 mẫu đạt F1 vĩ mô 0,7298, độ chính xác 0,8125 và độ chính xác cân bằng 0,7689. Trong đề cương, mốc tham chiếu 85–90% được xác định theo độ chính xác; do đó, kết quả 0,8125 chưa đạt mốc này. Tuy nhiên, trên năm tập kiểm thử ngoài, 59 mẫu NEGATIVE đạt độ bao phủ 0,6803, so với 0,0619 trên 31 mẫu trong lượt lịch sử. Kết quả cho thấy cấu hình có trọng số trên tập mở rộng đã phân biệt được cả ba lớp, nhưng không phải bằng chứng rằng tín hiệu cảm xúc cải thiện dự báo giá.</w:t>
      </w:r>
    </w:p>
    <w:p>
      <w:pPr>
        <w:pStyle w:val="BodyText"/>
        <w:rPr/>
      </w:pPr>
      <w:r>
        <w:rPr>
          <w:b/>
          <w:i w:val="false"/>
        </w:rPr>
        <w:t>Câu hỏi thứ hai</w:t>
      </w:r>
      <w:r>
        <w:rPr>
          <w:b w:val="false"/>
          <w:i w:val="false"/>
        </w:rPr>
        <w:t>: xác suất cảm xúc có cải thiện kết quả dự báo hay không và mức cải thiện có ổn định hay không. Trong lượt hồi cứu, so với đối chứng trung tính ghép cặp, đóng góp của thông tin phân cực là +0,0080 F1 vĩ mô, với khoảng tin cậy theo ngày [−0,0025; +0,0186] chứa 0. Lượt ngoài mẫu sử dụng điểm kiểm đóng băng (Mục 4.5.3) cho kết quả +0,0094, với khoảng [−0,0009; +0,0196]; đối chứng cùng kích thước cho kết quả +0,0028, với khoảng [−0,0074; +0,0133]. Cả ba ước lượng điểm đều dương, nhưng tất cả khoảng tin cậy đều chứa 0. Bốn phân tích bổ sung (Mục 4.5.4–4.5.7) cũng không phát hiện cải thiện có khả năng tái lập. Vì vậy, chưa có bằng chứng đủ mạnh cho thấy đặc trưng cảm xúc cải thiện dự báo xu hướng phiên kế tiếp; dữ liệu hiện tại vẫn cho phép tồn tại một mức cải thiện nhỏ.</w:t>
      </w:r>
    </w:p>
    <w:p>
      <w:pPr>
        <w:pStyle w:val="BodyText"/>
        <w:rPr/>
      </w:pPr>
      <w:r>
        <w:rPr>
          <w:b/>
          <w:i w:val="false"/>
        </w:rPr>
        <w:t>Câu hỏi thứ ba</w:t>
      </w:r>
      <w:r>
        <w:rPr>
          <w:b w:val="false"/>
          <w:i w:val="false"/>
        </w:rPr>
        <w:t>: vai trò và giới hạn của đặc trưng cảm xúc trong quyết định dự báo. Hiệu số trực tiếp giữa LSTM hai nhánh và LSTM chỉ giá là +0,0113, nhưng giá trị này đồng thời phản ánh kiến trúc, sự hiện diện, khối lượng tin và xác suất cảm xúc. Đối chứng trung tính cho thấy kiến trúc và độ phủ tin đóng góp +0,0034, còn phần thông tin phân cực là +0,0080. Khoảng tin cậy của phần thông tin phân cực chứa 0; tương quan hạng với lợi suất phiên kế tiếp cũng gần 0. Vì vậy, các kết quả hiện có cho thấy đóng góp dự báo của đúng cách biểu diễn cảm xúc này còn yếu và chưa ổn định. Kết luận không loại trừ một quan hệ phi tuyến, một cách biểu diễn khác hoặc một hiệu ứng nhỏ.</w:t>
      </w:r>
    </w:p>
    <w:p>
      <w:pPr>
        <w:pStyle w:val="Heading3"/>
        <w:rPr/>
      </w:pPr>
      <w:bookmarkStart w:id="233" w:name="__RefHeading___Toc11110_2435329662"/>
      <w:bookmarkStart w:id="234" w:name="kiểm-tra-tính-hợp-lệ-và-độ-ổn-định"/>
      <w:bookmarkEnd w:id="233"/>
      <w:r>
        <w:rPr>
          <w:rFonts w:eastAsia="Times New Roman" w:cs="Times New Roman"/>
        </w:rPr>
        <w:t>4.6.2. Kiểm tra tính hợp lệ và độ ổn định</w:t>
      </w:r>
    </w:p>
    <w:p>
      <w:pPr>
        <w:pStyle w:val="FirstParagraph"/>
        <w:rPr/>
      </w:pPr>
      <w:r>
        <w:rPr/>
        <w:t>Các nội dung kiểm tra sau đã được thực hiện và ghi nhận kết quả thực tế:</w:t>
      </w:r>
    </w:p>
    <w:p>
      <w:pPr>
        <w:pStyle w:val="Normal"/>
        <w:numPr>
          <w:ilvl w:val="0"/>
          <w:numId w:val="1"/>
        </w:numPr>
        <w:rPr/>
      </w:pPr>
      <w:r>
        <w:rPr>
          <w:b/>
          <w:bCs/>
        </w:rPr>
        <w:t>Quy mô đánh giá</w:t>
      </w:r>
      <w:r>
        <w:rPr/>
        <w:t>: 5 cửa sổ, 3.000 dòng đánh giá cho mỗi hạt giống, khoảng 300 ngày kiểm thử. Đủ cho khoảng tin cậy theo ngày. Tuy nhiên, do chỉ có 5 khối theo cửa sổ, khoảng tin cậy theo cửa sổ còn thô và không được sử dụng làm căn cứ duy nhất.</w:t>
      </w:r>
    </w:p>
    <w:p>
      <w:pPr>
        <w:pStyle w:val="Normal"/>
        <w:numPr>
          <w:ilvl w:val="0"/>
          <w:numId w:val="1"/>
        </w:numPr>
        <w:rPr/>
      </w:pPr>
      <w:r>
        <w:rPr>
          <w:b/>
          <w:bCs/>
        </w:rPr>
        <w:t>Độ ổn định dấu</w:t>
      </w:r>
      <w:r>
        <w:rPr/>
        <w:t>: hiệu số đóng góp thông tin mang dấu dương ở bốn trên năm cửa sổ và mang dấu âm ở một cửa sổ. Dấu của hiệu số chưa đủ ổn định vì khoảng tin cậy theo ngày vẫn chứa 0.</w:t>
      </w:r>
    </w:p>
    <w:p>
      <w:pPr>
        <w:pStyle w:val="Normal"/>
        <w:numPr>
          <w:ilvl w:val="0"/>
          <w:numId w:val="1"/>
        </w:numPr>
        <w:rPr/>
      </w:pPr>
      <w:r>
        <w:rPr>
          <w:b/>
          <w:bCs/>
        </w:rPr>
        <w:t>Ngày không có tin</w:t>
      </w:r>
      <w:r>
        <w:rPr/>
        <w:t xml:space="preserve">: các ngày này được gán phân phối tiên nghiệm trung tính, đồng thời cờ </w:t>
      </w:r>
      <w:r>
        <w:rPr>
          <w:rStyle w:val="VerbatimChar"/>
        </w:rPr>
        <w:t>has_news</w:t>
      </w:r>
      <w:r>
        <w:rPr/>
        <w:t xml:space="preserve"> được đặt bằng 0, thay vì được gộp vào lớp trung tính. Quy tắc này đã được kiểm tra bằng kiểm thử tự động.</w:t>
      </w:r>
    </w:p>
    <w:p>
      <w:pPr>
        <w:pStyle w:val="Normal"/>
        <w:numPr>
          <w:ilvl w:val="0"/>
          <w:numId w:val="1"/>
        </w:numPr>
        <w:rPr/>
      </w:pPr>
      <w:r>
        <w:rPr>
          <w:b/>
          <w:bCs/>
        </w:rPr>
        <w:t>Ước lượng chỉ trên tập huấn luyện</w:t>
      </w:r>
      <w:r>
        <w:rPr/>
        <w:t>: ngưỡng nhãn và cả hai bộ chuẩn hóa đều được ước lượng lại trong từng cửa sổ, chỉ sử dụng phần huấn luyện. Sự thay đổi của ngưỡng theo từng cửa sổ (Bảng </w:t>
      </w:r>
      <w:hyperlink w:anchor="tab%2525253Akq-windows">
        <w:r>
          <w:rPr>
            <w:rStyle w:val="Hyperlink"/>
          </w:rPr>
          <w:t>4.3</w:t>
        </w:r>
      </w:hyperlink>
      <w:r>
        <w:rPr/>
        <w:t>) xác nhận quy trình này. Bất biến này cũng đã được kiểm tra bằng kiểm thử tự động.</w:t>
      </w:r>
    </w:p>
    <w:p>
      <w:pPr>
        <w:pStyle w:val="Normal"/>
        <w:numPr>
          <w:ilvl w:val="0"/>
          <w:numId w:val="1"/>
        </w:numPr>
        <w:rPr/>
      </w:pPr>
      <w:r>
        <w:rPr>
          <w:b/>
          <w:bCs/>
        </w:rPr>
        <w:t>Số tham số</w:t>
      </w:r>
      <w:r>
        <w:rPr/>
        <w:t xml:space="preserve">: mô hình một nhánh có 5.091 tham số, trong khi mô hình hai nhánh có 11.203 tham số, tương đương gấp 2,20 lần và tăng thêm 6.112 tham số. Đối chứng phân phối tiên nghiệm trung tính được dùng để tách đóng góp của thông tin phân cực; chênh lệch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0034</m:t>
        </m:r>
      </m:oMath>
      <w:r>
        <w:rPr/>
        <w:t xml:space="preserve"> F1 vĩ mô là phần đóng góp của kiến trúc và các đặc trưng về sự hiện diện, khối lượng tin.</w:t>
      </w:r>
    </w:p>
    <w:p>
      <w:pPr>
        <w:pStyle w:val="Normal"/>
        <w:numPr>
          <w:ilvl w:val="0"/>
          <w:numId w:val="1"/>
        </w:numPr>
        <w:rPr/>
      </w:pPr>
      <w:r>
        <w:rPr>
          <w:b/>
          <w:bCs/>
        </w:rPr>
        <w:t>Tính tái lập</w:t>
      </w:r>
      <w:r>
        <w:rPr/>
        <w:t>: hai lần chạy độc lập cho kết quả trùng khớp đến từng chữ số đối với các mô hình chỉ sử dụng dữ liệu giá. Trong quá trình thực nghiệm, một lỗi ảnh hưởng đến tính tái lập đã được phát hiện và sửa: trọng số mạng được khởi tạo trước khi gieo hạt giống, khiến kết quả của một cửa sổ phụ thuộc vào thứ tự chạy của các mô hình trước đó.</w:t>
      </w:r>
    </w:p>
    <w:p>
      <w:pPr>
        <w:pStyle w:val="Normal"/>
        <w:numPr>
          <w:ilvl w:val="0"/>
          <w:numId w:val="1"/>
        </w:numPr>
        <w:rPr/>
      </w:pPr>
      <w:r>
        <w:rPr>
          <w:b/>
          <w:bCs/>
        </w:rPr>
        <w:t>Dữ liệu bị loại và mã ít tin</w:t>
      </w:r>
      <w:r>
        <w:rPr/>
        <w:t>: 11 liên kết được đăng vào cuối ngày 31/12/2025 rơi sang phiên năm 2026 nên bị loại; không có bản ghi nào thiếu mốc thời gian hợp lệ. Độ phủ tin có mức chênh lệch lớn giữa các mã, từ 548 liên kết (GAS) đến 2.165 liên kết (MBB).</w:t>
      </w:r>
    </w:p>
    <w:p>
      <w:pPr>
        <w:pStyle w:val="Normal"/>
        <w:numPr>
          <w:ilvl w:val="0"/>
          <w:numId w:val="1"/>
        </w:numPr>
        <w:rPr/>
      </w:pPr>
      <w:r>
        <w:rPr>
          <w:b/>
          <w:bCs/>
        </w:rPr>
        <w:t>Giới hạn thời điểm của bộ sinh</w:t>
      </w:r>
      <w:r>
        <w:rPr/>
        <w:t>: thang dự báo chính sử dụng điểm kiểm được học từ toàn bộ 1.306 nhãn, bao gồm cả các nhãn sau những ngày kiểm thử trong giai đoạn 2024–2025, nên kết quả có tính hồi cứu. Lượt ngoài mẫu sử dụng điểm kiểm đóng băng trước ngày kiểm thử đầu tiên đã được đo lường và xác minh (</w:t>
      </w:r>
      <w:r>
        <w:rPr>
          <w:rStyle w:val="VerbatimChar"/>
        </w:rPr>
        <w:t>point_in_time: true</w:t>
      </w:r>
      <w:r>
        <w:rPr/>
        <w:t>); kết quả được trình bày tại Mục </w:t>
      </w:r>
      <w:hyperlink w:anchor="sec%2525253Akq-point-in-time">
        <w:r>
          <w:rPr>
            <w:rStyle w:val="Hyperlink"/>
          </w:rPr>
          <w:t>4.5.3</w:t>
        </w:r>
      </w:hyperlink>
      <w:r>
        <w:rPr/>
        <w:t>.</w:t>
      </w:r>
    </w:p>
    <w:p>
      <w:pPr>
        <w:pStyle w:val="Normal"/>
        <w:numPr>
          <w:ilvl w:val="0"/>
          <w:numId w:val="1"/>
        </w:numPr>
        <w:rPr/>
      </w:pPr>
      <w:r>
        <w:rPr>
          <w:b/>
          <w:bCs/>
        </w:rPr>
        <w:t>Đặc trưng cảm xúc trượt</w:t>
      </w:r>
      <w:r>
        <w:rPr/>
        <w:t>: các đặc trưng trung bình trượt và trung bình lũy giảm được tính theo nguyên tắc nhân quả. Kiểm thử đã xác nhận rằng một tin ở phiên sau không làm thay đổi giá trị của dòng trước đó.</w:t>
      </w:r>
    </w:p>
    <w:p>
      <w:pPr>
        <w:pStyle w:val="FirstParagraph"/>
        <w:rPr/>
      </w:pPr>
      <w:r>
        <w:rPr/>
        <w:t>Không phát hiện lỗi trong quá trình ánh xạ thời điểm tin và thực hiện các phép biến đổi của nhánh giá. Tập giữ lại của nhánh giá không bị sửa đổi, và toàn bộ cấu hình được lưu trong tệp kết quả. Các con số của thang chính vẫn mang tính hồi cứu; đánh giá ngoài mẫu được báo cáo riêng tại Mục </w:t>
      </w:r>
      <w:hyperlink w:anchor="sec%2525253Akq-point-in-time">
        <w:r>
          <w:rPr>
            <w:rStyle w:val="Hyperlink"/>
          </w:rPr>
          <w:t>4.5.3</w:t>
        </w:r>
      </w:hyperlink>
      <w:r>
        <w:rPr/>
        <w:t>.</w:t>
      </w:r>
      <w:bookmarkEnd w:id="234"/>
    </w:p>
    <w:p>
      <w:pPr>
        <w:pStyle w:val="Heading3"/>
        <w:rPr/>
      </w:pPr>
      <w:bookmarkStart w:id="235" w:name="__RefHeading___Toc11112_2435329662"/>
      <w:bookmarkStart w:id="236" w:name="sec%2525253Akq-limitations"/>
      <w:bookmarkEnd w:id="235"/>
      <w:r>
        <w:rPr>
          <w:rFonts w:eastAsia="Times New Roman" w:cs="Times New Roman"/>
        </w:rPr>
        <w:t>4.6.3. Giới hạn của thực nghiệm</w:t>
      </w:r>
    </w:p>
    <w:p>
      <w:pPr>
        <w:pStyle w:val="FirstParagraph"/>
        <w:rPr/>
      </w:pPr>
      <w:r>
        <w:rPr/>
        <w:t>Thứ nhất, rổ nghiên cứu chỉ gồm 10 mã và dữ liệu chỉ thuộc HOSE, nên khả năng khái quát kết quả cho HNX, UPCOM hoặc nhóm vốn hóa nhỏ chưa được kiểm tra. Thứ hai, nguồn tin chỉ gồm Vietstock, trong khi đề cương dự kiến sử dụng bốn nguồn; vì vậy, độ phủ tin chênh lệch lớn giữa các mã (MBB trên 2.000 liên kết, GAS 548). Thứ ba, khung dự báo phiên kế tiếp có thể quá ngắn để phản ánh tác động dài hạn của tin.</w:t>
      </w:r>
    </w:p>
    <w:p>
      <w:pPr>
        <w:pStyle w:val="BodyText"/>
        <w:rPr/>
      </w:pPr>
      <w:r>
        <w:rPr/>
        <w:t>Thứ tư, điểm kiểm cảm xúc của thang chính được tinh chỉnh trên toàn bộ 1.306 nhãn, bao gồm cả các bài sau những ngày kiểm thử dự báo, nên các con số của thang chính mang tính hồi cứu. Giới hạn này đã được khắc phục bằng một điểm kiểm đóng băng trước ngày kiểm thử đầu tiên và một điểm kiểm đối chứng khớp kích thước (Mục </w:t>
      </w:r>
      <w:hyperlink w:anchor="sec%2525253Akq-point-in-time">
        <w:r>
          <w:rPr>
            <w:rStyle w:val="Hyperlink"/>
          </w:rPr>
          <w:t>4.5.3</w:t>
        </w:r>
      </w:hyperlink>
      <w:r>
        <w:rPr/>
        <w:t>); cả hai đã được đo lường và xác minh. Tuy nhiên, lượt đối chứng mới chỉ được thực hiện với một hạt giống, nên kết quả chỉ có tính thăm dò và chưa phải là ước lượng ổn định về ảnh hưởng của kích thước tập.</w:t>
      </w:r>
    </w:p>
    <w:p>
      <w:pPr>
        <w:pStyle w:val="BodyText"/>
        <w:rPr/>
      </w:pPr>
      <w:r>
        <w:rPr/>
        <w:t xml:space="preserve">Thứ năm, ngưỡng phân vị một phần ba tạo ra lớp FLAT theo nghĩa thống kê, không theo nghĩa kinh tế. Ngưỡng khoảng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(Bảng </w:t>
      </w:r>
      <w:hyperlink w:anchor="tab%2525253Akq-windows">
        <w:r>
          <w:rPr>
            <w:rStyle w:val="Hyperlink"/>
          </w:rPr>
          <w:t>4.3</w:t>
        </w:r>
      </w:hyperlink>
      <w:r>
        <w:rPr/>
        <w:t>) là một lựa chọn thiết kế, không phải định nghĩa “đi ngang” được thị trường công nhận. Biến thể sử dụng dải cố định chưa được kiểm tra.</w:t>
      </w:r>
    </w:p>
    <w:p>
      <w:pPr>
        <w:pStyle w:val="BodyText"/>
        <w:rPr/>
      </w:pPr>
      <w:r>
        <w:rPr/>
        <w:t>Ngoài ra, điểm số phân loại không trực tiếp phản ánh giá trị kinh tế sau khi tính đến phí giao dịch, trượt giá và giới hạn thanh khoản. Vì vậy, kết quả của chương này không phải khuyến nghị đầu tư và không được xem là bằng chứng về một chiến lược giao dịch có lợi nhuận.</w:t>
      </w:r>
      <w:bookmarkEnd w:id="231"/>
      <w:bookmarkEnd w:id="236"/>
    </w:p>
    <w:p>
      <w:pPr>
        <w:pStyle w:val="Heading2"/>
        <w:rPr/>
      </w:pPr>
      <w:bookmarkStart w:id="237" w:name="__RefHeading___Toc11114_2435329662"/>
      <w:bookmarkStart w:id="238" w:name="sec%2525253Akq-mornhan"/>
      <w:bookmarkEnd w:id="237"/>
      <w:r>
        <w:rPr>
          <w:rFonts w:eastAsia="Times New Roman" w:cs="Times New Roman" w:ascii="Times New Roman" w:hAnsi="Times New Roman"/>
        </w:rPr>
        <w:t>4.7. Tập nhãn mở rộng và giao thức đánh giá</w:t>
      </w:r>
    </w:p>
    <w:p>
      <w:pPr>
        <w:pStyle w:val="FirstParagraph"/>
        <w:rPr/>
      </w:pPr>
      <w:r>
        <w:rPr/>
        <w:t>Xác thực chéo phân tầng trên tập nhãn mở rộng đã được hoàn tất và cung cấp bằng chứng đánh giá cho bộ phân loại hiện tại. Mục này trình bày thiết kế của đợt rút mẫu 1.000 bài theo tầng, được thực hiện nhằm đưa lớp NEGATIVE lên quy mô đủ để đo lường.</w:t>
      </w:r>
    </w:p>
    <w:p>
      <w:pPr>
        <w:pStyle w:val="BodyText"/>
        <w:rPr/>
      </w:pPr>
      <w:r>
        <w:rPr/>
        <w:t>Lấy mẫu ngẫu nhiên đều không khả thi cho mục tiêu này. Tỷ lệ NEGATIVE trong kho chỉ khoảng 10%, do đó cần gán nhãn khoảng 6.000 bài để thu được 600 mẫu NEGATIVE. Vì vậy, đợt rút mẫu sử dụng ba tầng với các vai trò riêng biệt (Bảng </w:t>
      </w:r>
      <w:hyperlink w:anchor="tab%2525253Akq-strata">
        <w:r>
          <w:rPr>
            <w:rStyle w:val="Hyperlink"/>
          </w:rPr>
          <w:t>4.18</w:t>
        </w:r>
      </w:hyperlink>
      <w:r>
        <w:rPr/>
        <w:t>).</w:t>
      </w:r>
    </w:p>
    <w:p>
      <w:pPr>
        <w:pStyle w:val="TableCaption"/>
        <w:rPr/>
      </w:pPr>
      <w:r>
        <w:rPr>
          <w:b/>
        </w:rPr>
        <w:t xml:space="preserve">Bảng 4.18: </w:t>
      </w:r>
      <w:r>
        <w:rPr/>
        <w:t>Thiết kế ba tầng của đợt rút mẫu mở rộng.</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cantSplit/>
        </w:trPr>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Tầng</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Số mẫu</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center"/>
              <w:rPr>
                <w:kern w:val="0"/>
                <w:szCs w:val="24"/>
                <w:lang w:val="en-US" w:eastAsia="zh-CN" w:bidi="ar-SA"/>
              </w:rPr>
            </w:pPr>
            <w:r>
              <w:rPr>
                <w:kern w:val="0"/>
                <w:szCs w:val="24"/>
                <w:lang w:val="en-US" w:eastAsia="zh-CN" w:bidi="ar-SA"/>
              </w:rPr>
              <w:t>Xác suất chọn</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Vai trò</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eval_random</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350</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0,0377</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Duy trì tỷ lệ lớp của kho; đây là tầng duy nhất có thể dùng để đánh giá không chệch</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train_negative</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400</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0,2633</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Làm giàu lớp NEGATIVE; chỉ dùng để huấn luyện</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train_positive</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250</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center"/>
              <w:rPr>
                <w:kern w:val="0"/>
                <w:szCs w:val="24"/>
                <w:lang w:val="en-US" w:eastAsia="zh-CN" w:bidi="ar-SA"/>
              </w:rPr>
            </w:pPr>
            <w:r>
              <w:rPr>
                <w:kern w:val="0"/>
                <w:szCs w:val="24"/>
                <w:lang w:val="en-US" w:eastAsia="zh-CN" w:bidi="ar-SA"/>
              </w:rPr>
              <w:t>0,0924</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Làm giàu lớp POSITIVE; chỉ dùng để huấn luyện</w:t>
            </w:r>
            <w:bookmarkStart w:id="239" w:name="tab%2525253Akq-strata"/>
            <w:bookmarkEnd w:id="239"/>
          </w:p>
        </w:tc>
      </w:tr>
    </w:tbl>
    <w:p>
      <w:pPr>
        <w:pStyle w:val="BodyText"/>
        <w:rPr/>
      </w:pPr>
      <w:r>
        <w:rPr>
          <w:i/>
          <w:iCs/>
        </w:rPr>
        <w:t xml:space="preserve">Nguồn: </w:t>
      </w:r>
      <w:r>
        <w:rPr>
          <w:rStyle w:val="VerbatimChar"/>
          <w:i/>
          <w:iCs/>
        </w:rPr>
        <w:t>to_label_batch2_manifest.json</w:t>
      </w:r>
      <w:r>
        <w:rPr>
          <w:i/>
          <w:iCs/>
        </w:rPr>
        <w:t>.</w:t>
      </w:r>
    </w:p>
    <w:p>
      <w:pPr>
        <w:pStyle w:val="BodyText"/>
        <w:rPr/>
      </w:pPr>
      <w:r>
        <w:rPr/>
        <w:t xml:space="preserve">Hai tầng làm giàu sử dụng một từ điển phân cực tài chính tiếng Việt cố định để mở rộng tập hợp lệ. Sau đó, các mẫu được rút ngẫu nhiên với trọng số dựa trên số lần khớp từ khóa và có giới hạn về tỷ lệ của từng mã, nhằm tránh trường hợp một mã có mật độ tin cao chiếm toàn bộ tầng. Từ điển và xác suất của mô hình </w:t>
      </w:r>
      <w:r>
        <w:rPr>
          <w:b/>
          <w:bCs/>
        </w:rPr>
        <w:t>chỉ quyết định bài nào được người đọc</w:t>
      </w:r>
      <w:r>
        <w:rPr/>
        <w:t>, không được dùng để gán nhãn.</w:t>
      </w:r>
    </w:p>
    <w:p>
      <w:pPr>
        <w:pStyle w:val="BodyText"/>
        <w:rPr/>
      </w:pPr>
      <w:r>
        <w:rPr/>
        <w:t xml:space="preserve">Việc lựa chọn xếp hạng theo từ điển thay vì theo xác suất của điểm kiểm dựa trên kết quả thực nghiệm. Trên toàn bộ 306 mẫu đã gán nhãn, từ điển làm tăng tỷ lệ NEGATIVE từ 0,101 lên 0,289, tương ứng với hệ số 2,85. Xác suất của điểm kiểm ban đầu cho hệ số cao hơn, nhưng kết quả này được tính trên chính các dòng đã dùng để huấn luyện điểm kiểm, do đó phản ánh khả năng ghi nhớ thay vì khả năng xếp hạng. Khi đánh giá lại trên 62 dòng kiểm thử ngoài của lượt 1, tức các dòng mà điểm kiểm chưa từng quan sát, </w:t>
      </w:r>
      <w:r>
        <w:rPr>
          <w:b/>
          <w:bCs/>
        </w:rPr>
        <w:t>không thể xác nhận</w:t>
      </w:r>
      <w:r>
        <w:rPr/>
        <w:t xml:space="preserve"> ưu thế này. Chỉ có 16 dòng thỏa mãn điều kiện hợp lệ và 7 mẫu thuộc lớp NEGATIVE, không đủ để so sánh hai phương pháp xếp hạng. Vì vậy, xác suất của điểm kiểm không được sử dụng làm căn cứ xếp hạng. Từ điển là một quy tắc cố định chưa từng quan sát nhãn, nên hệ số 2,85 của nó là ước lượng trung thực và được chọn làm cơ sở thiết kế.</w:t>
      </w:r>
    </w:p>
    <w:p>
      <w:pPr>
        <w:pStyle w:val="BodyText"/>
        <w:rPr/>
      </w:pPr>
      <w:r>
        <w:rPr/>
        <w:t xml:space="preserve">Toàn bộ 1.000 mẫu ban đầu được gán nhãn sơ bộ bằng mô hình ngôn ngữ lớn theo hướng dẫn gán nhãn của đề tài. Mỗi mẫu đi kèm mức độ tự tin và một câu lý giải. Sau quá trình rà soát, phân bố nhãn không thay đổi: tầng </w:t>
      </w:r>
      <w:r>
        <w:rPr>
          <w:rStyle w:val="VerbatimChar"/>
        </w:rPr>
        <w:t>train_negative</w:t>
      </w:r>
      <w:r>
        <w:rPr/>
        <w:t xml:space="preserve"> có 30,2% NEGATIVE, phù hợp với hệ số làm giàu được dự báo từ từ điển; tầng </w:t>
      </w:r>
      <w:r>
        <w:rPr>
          <w:rStyle w:val="VerbatimChar"/>
        </w:rPr>
        <w:t>eval_random</w:t>
      </w:r>
      <w:r>
        <w:rPr/>
        <w:t xml:space="preserve"> có 8,0%, gần với tỷ lệ 10,1% của tập 306 mẫu trong lượt đầu. Mức độ phù hợp này cung cấp một kiểm tra về tính nhất quán của thiết kế lấy mẫu.</w:t>
      </w:r>
    </w:p>
    <w:p>
      <w:pPr>
        <w:pStyle w:val="BodyText"/>
        <w:rPr/>
      </w:pPr>
      <w:r>
        <w:rPr/>
        <w:t xml:space="preserve">Người rà soát đã xác nhận toàn bộ 1.000 nhãn và không thay đổi bất kỳ nhãn sơ bộ nào. Các nhãn cuối cùng mang hai cờ </w:t>
      </w:r>
      <w:r>
        <w:rPr>
          <w:rStyle w:val="VerbatimChar"/>
        </w:rPr>
        <w:t>human_reviewed</w:t>
      </w:r>
      <w:r>
        <w:rPr/>
        <w:t xml:space="preserve"> và </w:t>
      </w:r>
      <w:r>
        <w:rPr>
          <w:rStyle w:val="VerbatimChar"/>
        </w:rPr>
        <w:t>REVIEWED</w:t>
      </w:r>
      <w:r>
        <w:rPr/>
        <w:t>, sau đó được hợp nhất thành tập gồm 1.306 mẫu, trong đó có 194 mẫu NEGATIVE. Xác thực chéo theo tầng trên tập này đã hoàn tất, với F1 vĩ mô trung bình đạt 0,7298. Kết quả được báo cáo tại Mục </w:t>
      </w:r>
      <w:hyperlink w:anchor="sec%2525253Akq-sentiment-metrics">
        <w:r>
          <w:rPr>
            <w:rStyle w:val="Hyperlink"/>
          </w:rPr>
          <w:t>4.4.2</w:t>
        </w:r>
      </w:hyperlink>
      <w:r>
        <w:rPr/>
        <w:t>.</w:t>
      </w:r>
    </w:p>
    <w:p>
      <w:pPr>
        <w:pStyle w:val="BodyText"/>
        <w:rPr/>
      </w:pPr>
      <w:r>
        <w:rPr/>
        <w:t xml:space="preserve">Thiết kế này có một đánh đổi cần được nêu rõ. Do hai tầng làm giàu làm thay đổi tỷ lệ lớp của kho, các tầng này chỉ được sử dụng để huấn luyện. Tập đánh giá gồm tầng </w:t>
      </w:r>
      <w:r>
        <w:rPr>
          <w:rStyle w:val="VerbatimChar"/>
        </w:rPr>
        <w:t>eval_random</w:t>
      </w:r>
      <w:r>
        <w:rPr/>
        <w:t xml:space="preserve"> và 306 mẫu cũ, tương ứng với 656 mẫu, trong đó có 59 mẫu NEGATIVE. Vì vậy, nửa độ rộng khoảng tin cậy của độ bao phủ lớp NEGATIVE giảm từ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176</m:t>
        </m:r>
      </m:oMath>
      <w:r>
        <w:rPr/>
        <w:t xml:space="preserve"> xuống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128</m:t>
        </m:r>
      </m:oMath>
      <w:r>
        <w:rPr/>
        <w:t xml:space="preserve">. Đây là một mức cải thiện thực tế, nhưng </w:t>
      </w:r>
      <w:r>
        <w:rPr>
          <w:b/>
          <w:bCs/>
        </w:rPr>
        <w:t>không</w:t>
      </w:r>
      <w:r>
        <w:rPr/>
        <w:t xml:space="preserve"> đạt mức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07</m:t>
        </m:r>
      </m:oMath>
      <w:r>
        <w:rPr/>
        <w:t xml:space="preserve"> như khi tính trên toàn bộ 194 mẫu. Để đạt mức này mà vẫn duy trì tỷ lệ lớp không lệch, cần gán nhãn khoảng 1.500 mẫu ngẫu nhiên, vượt quá ngân sách của đồ án.</w:t>
      </w:r>
    </w:p>
    <w:p>
      <w:pPr>
        <w:pStyle w:val="BodyText"/>
        <w:rPr/>
      </w:pPr>
      <w:r>
        <w:rPr/>
        <w:t>Đây là lựa chọn có chủ ý: khoảng tin cậy rộng hơn nhưng không chệch được ưu tiên hơn khoảng tin cậy hẹp được tính trên tập mẫu đã chọn để làm giàu lớp thiểu số. Độ bao phủ của từng lớp trên các tầng làm giàu vẫn có thể được báo cáo, nhưng phải được xác định rõ là số liệu chẩn đoán trên tập mẫu đã làm giàu, không phải là ước lượng cho toàn bộ kho.</w:t>
      </w:r>
      <w:bookmarkEnd w:id="238"/>
    </w:p>
    <w:p>
      <w:pPr>
        <w:pStyle w:val="Heading2"/>
        <w:rPr/>
      </w:pPr>
      <w:bookmarkStart w:id="240" w:name="__RefHeading___Toc11116_2435329662"/>
      <w:bookmarkStart w:id="241" w:name="sec%2525253Akq-taplap"/>
      <w:bookmarkEnd w:id="240"/>
      <w:r>
        <w:rPr>
          <w:rFonts w:eastAsia="Times New Roman" w:cs="Times New Roman" w:ascii="Times New Roman" w:hAnsi="Times New Roman"/>
        </w:rPr>
        <w:t>4.8. Tái lập kết quả</w:t>
      </w:r>
    </w:p>
    <w:p>
      <w:pPr>
        <w:pStyle w:val="FirstParagraph"/>
        <w:rPr/>
      </w:pPr>
      <w:r>
        <w:rPr/>
        <w:t>Bảng </w:t>
      </w:r>
      <w:hyperlink w:anchor="tab%2525253Akq-artifact">
        <w:r>
          <w:rPr>
            <w:rStyle w:val="Hyperlink"/>
          </w:rPr>
          <w:t>4.19</w:t>
        </w:r>
      </w:hyperlink>
      <w:r>
        <w:rPr/>
        <w:t xml:space="preserve"> liệt kê các lệnh và tệp kết quả tương ứng với từng bảng số liệu trong chương.</w:t>
      </w:r>
    </w:p>
    <w:p>
      <w:pPr>
        <w:pStyle w:val="TableCaption"/>
        <w:rPr/>
      </w:pPr>
      <w:r>
        <w:rPr>
          <w:b/>
        </w:rPr>
        <w:t xml:space="preserve">Bảng 4.19: </w:t>
      </w:r>
      <w:r>
        <w:rPr/>
        <w:t>Nguồn artifact của các bảng kết quả.</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cantSplit/>
        </w:trPr>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Bảng</w:t>
            </w:r>
          </w:p>
        </w:tc>
        <w:tc>
          <w:tcPr>
            <w:tcW w:w="39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Lệnh và tệp kết quả</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hyperlink w:anchor="tab%2525253Akq-sentiment">
              <w:r>
                <w:rPr>
                  <w:rStyle w:val="Hyperlink"/>
                  <w:kern w:val="0"/>
                  <w:szCs w:val="24"/>
                  <w:lang w:val="en-US" w:eastAsia="zh-CN" w:bidi="ar-SA"/>
                </w:rPr>
                <w:t>4.7</w:t>
              </w:r>
            </w:hyperlink>
            <w:r>
              <w:rPr>
                <w:kern w:val="0"/>
                <w:szCs w:val="24"/>
                <w:lang w:val="en-US" w:eastAsia="zh-CN" w:bidi="ar-SA"/>
              </w:rPr>
              <w:t xml:space="preserve">, </w:t>
            </w:r>
            <w:hyperlink w:anchor="tab%2525253Akq-sentiment-class">
              <w:r>
                <w:rPr>
                  <w:rStyle w:val="Hyperlink"/>
                  <w:kern w:val="0"/>
                  <w:szCs w:val="24"/>
                  <w:lang w:val="en-US" w:eastAsia="zh-CN" w:bidi="ar-SA"/>
                </w:rPr>
                <w:t>4.8</w:t>
              </w:r>
            </w:hyperlink>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stf.cli sentiment-cv</w:t>
            </w:r>
            <w:r>
              <w:rPr>
                <w:kern w:val="0"/>
                <w:szCs w:val="24"/>
                <w:lang w:val="en-US" w:eastAsia="zh-CN" w:bidi="ar-SA"/>
              </w:rPr>
              <w:t>; và tệp nén của lần chạy có trọng số</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hyperlink w:anchor="tab%2525253Akq-windows">
              <w:r>
                <w:rPr>
                  <w:rStyle w:val="Hyperlink"/>
                  <w:kern w:val="0"/>
                  <w:szCs w:val="24"/>
                  <w:lang w:val="en-US" w:eastAsia="zh-CN" w:bidi="ar-SA"/>
                </w:rPr>
                <w:t>4.3</w:t>
              </w:r>
            </w:hyperlink>
            <w:r>
              <w:rPr>
                <w:kern w:val="0"/>
                <w:szCs w:val="24"/>
                <w:lang w:val="en-US" w:eastAsia="zh-CN" w:bidi="ar-SA"/>
              </w:rPr>
              <w:t xml:space="preserve">, </w:t>
            </w:r>
            <w:hyperlink w:anchor="tab%2525253Akq-price-stats">
              <w:r>
                <w:rPr>
                  <w:rStyle w:val="Hyperlink"/>
                  <w:kern w:val="0"/>
                  <w:szCs w:val="24"/>
                  <w:lang w:val="en-US" w:eastAsia="zh-CN" w:bidi="ar-SA"/>
                </w:rPr>
                <w:t>4.5</w:t>
              </w:r>
            </w:hyperlink>
            <w:r>
              <w:rPr>
                <w:kern w:val="0"/>
                <w:szCs w:val="24"/>
                <w:lang w:val="en-US" w:eastAsia="zh-CN" w:bidi="ar-SA"/>
              </w:rPr>
              <w:t xml:space="preserve">, </w:t>
            </w:r>
            <w:hyperlink w:anchor="tab%2525253Aket-qua">
              <w:r>
                <w:rPr>
                  <w:rStyle w:val="Hyperlink"/>
                  <w:kern w:val="0"/>
                  <w:szCs w:val="24"/>
                  <w:lang w:val="en-US" w:eastAsia="zh-CN" w:bidi="ar-SA"/>
                </w:rPr>
                <w:t>4.9</w:t>
              </w:r>
            </w:hyperlink>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stf.cli forecast --news-sentiment ...</w:t>
            </w:r>
            <w:r>
              <w:rPr>
                <w:kern w:val="0"/>
                <w:szCs w:val="24"/>
                <w:lang w:val="en-US" w:eastAsia="zh-CN" w:bidi="ar-SA"/>
              </w:rPr>
              <w:t>;</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hyperlink w:anchor="tab%2525253Akq-ablation">
              <w:r>
                <w:rPr>
                  <w:rStyle w:val="Hyperlink"/>
                  <w:kern w:val="0"/>
                  <w:szCs w:val="24"/>
                  <w:lang w:val="en-US" w:eastAsia="zh-CN" w:bidi="ar-SA"/>
                </w:rPr>
                <w:t>4.11</w:t>
              </w:r>
            </w:hyperlink>
            <w:r>
              <w:rPr>
                <w:kern w:val="0"/>
                <w:szCs w:val="24"/>
                <w:lang w:val="en-US" w:eastAsia="zh-CN" w:bidi="ar-SA"/>
              </w:rPr>
              <w:t xml:space="preserve">, </w:t>
            </w:r>
            <w:hyperlink w:anchor="tab%2525253Akq-ablation-ci">
              <w:r>
                <w:rPr>
                  <w:rStyle w:val="Hyperlink"/>
                  <w:kern w:val="0"/>
                  <w:szCs w:val="24"/>
                  <w:lang w:val="en-US" w:eastAsia="zh-CN" w:bidi="ar-SA"/>
                </w:rPr>
                <w:t>4.12</w:t>
              </w:r>
            </w:hyperlink>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stf.cli forecast --neutral-news-sentiment ...</w:t>
            </w:r>
            <w:r>
              <w:rPr>
                <w:kern w:val="0"/>
                <w:szCs w:val="24"/>
                <w:lang w:val="en-US" w:eastAsia="zh-CN" w:bidi="ar-SA"/>
              </w:rPr>
              <w:t xml:space="preserve">, </w:t>
            </w:r>
            <w:r>
              <w:rPr>
                <w:rStyle w:val="VerbatimChar"/>
                <w:kern w:val="0"/>
                <w:szCs w:val="24"/>
                <w:lang w:val="en-US" w:eastAsia="zh-CN" w:bidi="ar-SA"/>
              </w:rPr>
              <w:t>stf.cli forecast-compare</w:t>
            </w:r>
            <w:r>
              <w:rPr>
                <w:kern w:val="0"/>
                <w:szCs w:val="24"/>
                <w:lang w:val="en-US" w:eastAsia="zh-CN" w:bidi="ar-SA"/>
              </w:rPr>
              <w:t>;</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hyperlink w:anchor="tab%2525253Akq-pit">
              <w:r>
                <w:rPr>
                  <w:rStyle w:val="Hyperlink"/>
                  <w:kern w:val="0"/>
                  <w:szCs w:val="24"/>
                  <w:lang w:val="en-US" w:eastAsia="zh-CN" w:bidi="ar-SA"/>
                </w:rPr>
                <w:t>4.13</w:t>
              </w:r>
            </w:hyperlink>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stf.cli forecast</w:t>
            </w:r>
            <w:r>
              <w:rPr>
                <w:kern w:val="0"/>
                <w:szCs w:val="24"/>
                <w:lang w:val="en-US" w:eastAsia="zh-CN" w:bidi="ar-SA"/>
              </w:rPr>
              <w:t xml:space="preserve"> + </w:t>
            </w:r>
            <w:r>
              <w:rPr>
                <w:rStyle w:val="VerbatimChar"/>
                <w:kern w:val="0"/>
                <w:szCs w:val="24"/>
                <w:lang w:val="en-US" w:eastAsia="zh-CN" w:bidi="ar-SA"/>
              </w:rPr>
              <w:t>forecast-compare</w:t>
            </w:r>
            <w:r>
              <w:rPr>
                <w:kern w:val="0"/>
                <w:szCs w:val="24"/>
                <w:lang w:val="en-US" w:eastAsia="zh-CN" w:bidi="ar-SA"/>
              </w:rPr>
              <w:t xml:space="preserve"> trên </w:t>
            </w:r>
            <w:r>
              <w:rPr>
                <w:rStyle w:val="VerbatimChar"/>
                <w:kern w:val="0"/>
                <w:szCs w:val="24"/>
                <w:lang w:val="en-US" w:eastAsia="zh-CN" w:bidi="ar-SA"/>
              </w:rPr>
              <w:t>news_sentiment_pit.parquet</w:t>
            </w:r>
            <w:r>
              <w:rPr>
                <w:kern w:val="0"/>
                <w:szCs w:val="24"/>
                <w:lang w:val="en-US" w:eastAsia="zh-CN" w:bidi="ar-SA"/>
              </w:rPr>
              <w:t xml:space="preserve"> và </w:t>
            </w:r>
            <w:r>
              <w:rPr>
                <w:rStyle w:val="VerbatimChar"/>
                <w:kern w:val="0"/>
                <w:szCs w:val="24"/>
                <w:lang w:val="en-US" w:eastAsia="zh-CN" w:bidi="ar-SA"/>
              </w:rPr>
              <w:t>news_sentiment_sizematched_s7.parquet</w:t>
            </w:r>
            <w:r>
              <w:rPr>
                <w:kern w:val="0"/>
                <w:szCs w:val="24"/>
                <w:lang w:val="en-US" w:eastAsia="zh-CN" w:bidi="ar-SA"/>
              </w:rPr>
              <w:t>; ,</w:t>
            </w:r>
          </w:p>
        </w:tc>
      </w:tr>
      <w:tr>
        <w:trPr>
          <w:cantSplit/>
        </w:trPr>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hyperlink w:anchor="tab%2525253Akq-strata">
              <w:r>
                <w:rPr>
                  <w:rStyle w:val="Hyperlink"/>
                  <w:kern w:val="0"/>
                  <w:szCs w:val="24"/>
                  <w:lang w:val="en-US" w:eastAsia="zh-CN" w:bidi="ar-SA"/>
                </w:rPr>
                <w:t>4.18</w:t>
              </w:r>
            </w:hyperlink>
          </w:p>
        </w:tc>
        <w:tc>
          <w:tcPr>
            <w:tcW w:w="39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rStyle w:val="VerbatimChar"/>
                <w:kern w:val="0"/>
                <w:szCs w:val="24"/>
                <w:lang w:val="en-US" w:eastAsia="zh-CN" w:bidi="ar-SA"/>
              </w:rPr>
              <w:t>stf.cli label-candidates</w:t>
            </w:r>
            <w:r>
              <w:rPr>
                <w:kern w:val="0"/>
                <w:szCs w:val="24"/>
                <w:lang w:val="en-US" w:eastAsia="zh-CN" w:bidi="ar-SA"/>
              </w:rPr>
              <w:t xml:space="preserve">; </w:t>
            </w:r>
            <w:r>
              <w:rPr>
                <w:rStyle w:val="VerbatimChar"/>
                <w:kern w:val="0"/>
                <w:szCs w:val="24"/>
                <w:lang w:val="en-US" w:eastAsia="zh-CN" w:bidi="ar-SA"/>
              </w:rPr>
              <w:t>to_label_batch2_manifest.json</w:t>
            </w:r>
            <w:bookmarkStart w:id="242" w:name="tab%2525253Akq-artifact"/>
            <w:bookmarkEnd w:id="242"/>
          </w:p>
        </w:tc>
      </w:tr>
    </w:tbl>
    <w:p>
      <w:pPr>
        <w:pStyle w:val="BodyText"/>
        <w:rPr/>
      </w:pPr>
      <w:r>
        <w:rPr>
          <w:i/>
          <w:iCs/>
        </w:rPr>
        <w:t>Nguồn: Tác giả tổng hợp.</w:t>
      </w:r>
    </w:p>
    <w:p>
      <w:pPr>
        <w:pStyle w:val="BodyText"/>
        <w:rPr/>
      </w:pPr>
      <w:r>
        <w:rPr/>
        <w:t xml:space="preserve">Kết quả của lần chạy đối chứng sử dụng phân phối tiên nghiệm trung tính được lưu riêng tại </w:t>
      </w:r>
      <w:r>
        <w:rPr>
          <w:rStyle w:val="VerbatimChar"/>
        </w:rPr>
        <w:t>outputs/forecast_merged_control/</w:t>
      </w:r>
      <w:r>
        <w:rPr/>
        <w:t xml:space="preserve">. Lần chạy này sử dụng cùng tệp xác suất đã được chấm như lần chạy chính, nhưng tham số </w:t>
      </w:r>
      <w:r>
        <w:rPr>
          <w:rStyle w:val="VerbatimChar"/>
        </w:rPr>
        <w:t>--neutral-news-sentiment</w:t>
      </w:r>
      <w:r>
        <w:rPr/>
        <w:t xml:space="preserve"> thay thế ba xác suất bằng phân phối tiên nghiệm trung tính. Lệnh </w:t>
      </w:r>
      <w:r>
        <w:rPr>
          <w:rStyle w:val="VerbatimChar"/>
        </w:rPr>
        <w:t>forecast-compare</w:t>
      </w:r>
      <w:r>
        <w:rPr/>
        <w:t xml:space="preserve"> từ chối các cặp khác nhau về cấu hình, mã băm giá, mã băm tệp cảm xúc, số dòng hoặc khóa dự đoán. Do đó, phép tách tại Mục </w:t>
      </w:r>
      <w:hyperlink w:anchor="sec%2525253Akq-donggop">
        <w:r>
          <w:rPr>
            <w:rStyle w:val="Hyperlink"/>
          </w:rPr>
          <w:t>4.5.2</w:t>
        </w:r>
      </w:hyperlink>
      <w:r>
        <w:rPr/>
        <w:t xml:space="preserve"> không thể trộn lẫn các đầu vào khác nhau.</w:t>
      </w:r>
      <w:bookmarkEnd w:id="171"/>
      <w:bookmarkEnd w:id="241"/>
    </w:p>
    <w:p>
      <w:pPr>
        <w:pStyle w:val="Heading1"/>
        <w:rPr/>
      </w:pPr>
      <w:bookmarkStart w:id="243" w:name="__RefHeading___Toc11118_2435329662"/>
      <w:bookmarkStart w:id="244" w:name="ch%2525253Aket-luan"/>
      <w:bookmarkEnd w:id="243"/>
      <w:r>
        <w:rPr>
          <w:rFonts w:eastAsia="Times New Roman" w:cs="Times New Roman" w:ascii="Times New Roman" w:hAnsi="Times New Roman"/>
        </w:rPr>
        <w:t>Chương 5. KẾT LUẬN</w:t>
      </w:r>
    </w:p>
    <w:p>
      <w:pPr>
        <w:pStyle w:val="FirstParagraph"/>
        <w:rPr/>
      </w:pPr>
      <w:r>
        <w:rPr/>
        <w:t>Chương này tổng hợp những nội dung đã thực hiện, đối chiếu kết quả với mục tiêu và câu hỏi nghiên cứu, sau đó nêu đóng góp, giới hạn và kết luận cuối cùng của đồ án. Các nhận định chỉ dựa trên số liệu đã trình bày tại Chương </w:t>
      </w:r>
      <w:hyperlink w:anchor="ch%2525253Aket-qua">
        <w:r>
          <w:rPr>
            <w:rStyle w:val="Hyperlink"/>
          </w:rPr>
          <w:t>4</w:t>
        </w:r>
      </w:hyperlink>
      <w:r>
        <w:rPr/>
        <w:t>. Kết quả hồi cứu, kết quả ngoài mẫu, phân tích thăm dò và nội dung chưa thực hiện được phân biệt rõ để tránh suy rộng vượt quá bằng chứng.</w:t>
      </w:r>
    </w:p>
    <w:p>
      <w:pPr>
        <w:pStyle w:val="Heading2"/>
        <w:rPr/>
      </w:pPr>
      <w:bookmarkStart w:id="245" w:name="__RefHeading___Toc11120_2435329662"/>
      <w:bookmarkStart w:id="246" w:name="tóm-tắt-nội-dung-thực-hiện"/>
      <w:bookmarkEnd w:id="245"/>
      <w:r>
        <w:rPr>
          <w:rFonts w:eastAsia="Times New Roman" w:cs="Times New Roman" w:ascii="Times New Roman" w:hAnsi="Times New Roman"/>
        </w:rPr>
        <w:t>5.1. Tóm tắt nội dung thực hiện</w:t>
      </w:r>
    </w:p>
    <w:p>
      <w:pPr>
        <w:pStyle w:val="FirstParagraph"/>
        <w:rPr/>
      </w:pPr>
      <w:r>
        <w:rPr/>
        <w:t>Đồ án đã xây dựng một quy trình dự báo xu hướng biến động giá cổ phiếu trên sàn HOSE bằng cách kết hợp dữ liệu giá với cảm xúc của tin tức tài chính tiếng Việt. Nhánh văn bản sử dụng PhoBERT để tạo xác suất của ba lớp NEGATIVE, NEUTRAL và POSITIVE. Các xác suất được tổng hợp theo mã cổ phiếu và phiên giao dịch cùng số lượng tin, độ phân tán và cờ thể hiện sự hiện diện của tin. Nhánh giá sử dụng dữ liệu OHLCV đã điều chỉnh, lợi suất và các đặc trưng kỹ thuật được tính theo nguyên tắc nhân quả.</w:t>
      </w:r>
    </w:p>
    <w:p>
      <w:pPr>
        <w:pStyle w:val="BodyText"/>
        <w:rPr/>
      </w:pPr>
      <w:r>
        <w:rPr/>
        <w:t>Hai nguồn dữ liệu được căn chỉnh theo mã, ngày giao dịch và mốc cắt 15 giờ. Tin sau mốc cắt, vào cuối tuần hoặc ngày nghỉ được chuyển sang phiên hợp lệ kế tiếp. Dữ liệu giá được đánh giá bằng năm cửa sổ cuốn chiếu không chồng lấn; bộ chuẩn hóa, bộ điền khuyết và ngưỡng tạo nhãn chỉ được ước lượng từ phần huấn luyện của từng cửa sổ. Thang mô hình gồm đối chứng lớp phổ biến, đối chứng ngẫu nhiên, hồi quy logistic, LSTM và Bộ biến đổi hợp nhất theo thời gian. Đối với nhánh có tin, một đối chứng giữ nguyên kiến trúc, bài tin, thời điểm và số lượng tin nhưng thay xác suất cảm xúc bằng phân phối tiên nghiệm trung tính được sử dụng để tách phần đóng góp của thông tin phân cực.</w:t>
      </w:r>
    </w:p>
    <w:p>
      <w:pPr>
        <w:pStyle w:val="BodyText"/>
        <w:rPr/>
      </w:pPr>
      <w:r>
        <w:rPr/>
        <w:t>Kho dữ liệu trong cửa sổ 2020–2025 gồm 10.695 bài tin, 12.624 liên kết tin–mã và 14.990 dòng mã–phiên của 10 mã thuộc VN30. Tập nhãn cảm xúc trong miền dữ liệu gồm 1.306 mẫu đã được rà soát. Sau khi khóa cấu hình, điểm kiểm triển khai được tinh chỉnh lại trên toàn bộ tập nhãn và dùng để chấm 14.256 liên kết tin–mã. Bên cạnh lượt hồi cứu này, đồ án đã thực hiện một lượt ngoài mẫu với điểm kiểm chỉ học từ 1.049 nhãn công bố trước ngày kiểm thử đầu tiên.</w:t>
      </w:r>
      <w:bookmarkEnd w:id="246"/>
    </w:p>
    <w:p>
      <w:pPr>
        <w:pStyle w:val="Heading2"/>
        <w:rPr/>
      </w:pPr>
      <w:bookmarkStart w:id="247" w:name="__RefHeading___Toc11122_2435329662"/>
      <w:bookmarkEnd w:id="247"/>
      <w:r>
        <w:rPr>
          <w:rFonts w:eastAsia="Times New Roman" w:cs="Times New Roman" w:ascii="Times New Roman" w:hAnsi="Times New Roman"/>
        </w:rPr>
        <w:t>5.2. Đối chiếu với mục tiêu và câu hỏi nghiên cứu</w:t>
      </w:r>
    </w:p>
    <w:p>
      <w:pPr>
        <w:pStyle w:val="Heading3"/>
        <w:rPr/>
      </w:pPr>
      <w:bookmarkStart w:id="248" w:name="__RefHeading___Toc11124_2435329662"/>
      <w:bookmarkEnd w:id="248"/>
      <w:r>
        <w:rPr>
          <w:rFonts w:eastAsia="Times New Roman" w:cs="Times New Roman"/>
        </w:rPr>
        <w:t>5.2.1. Mức độ hoàn thành các mục tiêu</w:t>
      </w:r>
    </w:p>
    <w:p>
      <w:pPr>
        <w:pStyle w:val="FirstParagraph"/>
        <w:rPr/>
      </w:pPr>
      <w:r>
        <w:rPr>
          <w:b w:val="false"/>
          <w:i w:val="false"/>
        </w:rPr>
        <w:t>Mục tiêu thứ nhất đã được thực hiện thông qua quy trình thu thập, làm sạch, loại trùng, ánh xạ bài tin theo phiên và xây dựng tập 1.306 nhãn cảm xúc đã rà soát. PhoBERT với tầng phân loại tuyến tính được đánh giá bằng xác thực chéo phân tầng 5 lượt và báo cáo chỉ số cho cả ba lớp.</w:t>
      </w:r>
    </w:p>
    <w:p>
      <w:pPr>
        <w:pStyle w:val="BodyText"/>
        <w:rPr/>
      </w:pPr>
      <w:r>
        <w:rPr/>
        <w:t>Mục tiêu thứ hai đã được thực hiện đối với toàn bộ thang mô hình đã khóa. Đặc trưng cảm xúc được tạo từ phân phối xác suất, sau đó được đưa vào hồi quy logistic, LSTM hai nhánh và TFT. Các cấu hình có cảm xúc được đặt cạnh đối chứng chỉ giá và đối chứng trung tính trên cùng ngày huấn luyện, xác thực và kiểm thử.</w:t>
      </w:r>
    </w:p>
    <w:p>
      <w:pPr>
        <w:pStyle w:val="BodyText"/>
        <w:rPr/>
      </w:pPr>
      <w:r>
        <w:rPr>
          <w:b w:val="false"/>
          <w:i w:val="false"/>
        </w:rPr>
        <w:t>Mục tiêu thứ ba đã được thực hiện bằng năm cửa sổ cuốn chiếu không chồng lấn, trong đó ngưỡng nhãn, bộ chuẩn hóa và bộ điền khuyết chỉ được ước lượng từ phần huấn luyện. Giới hạn thời điểm của bộ sinh cảm xúc được kiểm tra riêng bằng điểm kiểm đóng băng.</w:t>
      </w:r>
    </w:p>
    <w:p>
      <w:pPr>
        <w:pStyle w:val="BodyText"/>
        <w:rPr/>
      </w:pPr>
      <w:r>
        <w:rPr>
          <w:b w:val="false"/>
          <w:i w:val="false"/>
        </w:rPr>
        <w:t>Mục tiêu thứ tư đã được thực hiện thông qua bản kê cấu hình, mã băm dữ liệu, phần chia, tệp dự đoán, hệ thống dòng lệnh và dashboard. Phép loại bỏ đặc trưng, đối chứng trung tính và các phân tích bổ sung được dùng để nhận diện vai trò và giới hạn của tín hiệu cảm xúc.</w:t>
      </w:r>
    </w:p>
    <w:p>
      <w:pPr>
        <w:pStyle w:val="Heading3"/>
        <w:rPr/>
      </w:pPr>
      <w:bookmarkStart w:id="249" w:name="__RefHeading___Toc11126_2435329662"/>
      <w:bookmarkEnd w:id="249"/>
      <w:r>
        <w:rPr>
          <w:rFonts w:eastAsia="Times New Roman" w:cs="Times New Roman"/>
        </w:rPr>
        <w:t>5.2.2. Trả lời các câu hỏi nghiên cứu</w:t>
      </w:r>
    </w:p>
    <w:p>
      <w:pPr>
        <w:pStyle w:val="FirstParagraph"/>
        <w:rPr/>
      </w:pPr>
      <w:r>
        <w:rPr>
          <w:b w:val="false"/>
          <w:i w:val="false"/>
        </w:rPr>
        <w:t>Bảng 5.1 tóm tắt câu trả lời cho ba câu hỏi nghiên cứu dựa trên các kết quả thực nghiệm tại Chương 4.</w:t>
      </w:r>
    </w:p>
    <w:p>
      <w:pPr>
        <w:pStyle w:val="TableCaption"/>
        <w:rPr/>
      </w:pPr>
      <w:bookmarkStart w:id="250" w:name="tab%2525253Aket-luan-cau-hoi"/>
      <w:bookmarkEnd w:id="250"/>
      <w:r>
        <w:rPr>
          <w:b/>
        </w:rPr>
        <w:t xml:space="preserve">Bảng 5.1: </w:t>
      </w:r>
      <w:r>
        <w:rPr/>
        <w:t>Đối chiếu câu hỏi nghiên cứu với bằng chứng thực nghiệm.</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cantSplit/>
        </w:trPr>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Câu hỏi</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Nội dung cần trả lời</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Bằng chứng chính</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Trạng thái</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1</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Khả năng phân loại ba lớp cảm xúc của PhoBERT</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F1 vĩ mô 0,7298; độ chính xác 0,8125; độ chính xác cân bằng 0,7689.</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Đã trả lời</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2</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Giá trị gia tăng của cảm xúc đối với dự báo phiên kế tiếp</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Hiệu số ngoài mẫu: +0,0094. KTC 95% theo ngày: từ −0,0009 đến +0,0196; khoảng chứa 0.</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Đã trả lời</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3</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Vai trò và giới hạn của đặc trưng cảm xúc trong quyết định dự báo</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Đối chứng trung tính tách phần thông tin phân cực ở mức +0,0080; khoảng tin cậy chứa 0 và tương quan hạng phiên kế tiếp gần 0.</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Đã trả lời</w:t>
            </w:r>
          </w:p>
        </w:tc>
      </w:tr>
    </w:tbl>
    <w:p>
      <w:pPr>
        <w:pStyle w:val="BodyText"/>
        <w:rPr/>
      </w:pPr>
      <w:r>
        <w:rPr>
          <w:i/>
          <w:iCs/>
        </w:rPr>
        <w:t>Nguồn: Tác giả tổng hợp từ các kết quả tại Chương </w:t>
      </w:r>
      <w:hyperlink w:anchor="ch%2525253Aket-qua">
        <w:r>
          <w:rPr>
            <w:rStyle w:val="Hyperlink"/>
            <w:i/>
            <w:iCs/>
          </w:rPr>
          <w:t>4</w:t>
        </w:r>
      </w:hyperlink>
      <w:r>
        <w:rPr>
          <w:i/>
          <w:iCs/>
        </w:rPr>
        <w:t>.</w:t>
      </w:r>
    </w:p>
    <w:p>
      <w:pPr>
        <w:pStyle w:val="BodyText"/>
        <w:rPr/>
      </w:pPr>
      <w:r>
        <w:rPr>
          <w:b w:val="false"/>
          <w:i w:val="false"/>
        </w:rPr>
        <w:t>Đối với câu hỏi thứ nhất, cấu hình PhoBERT có trọng số lớp trên 1.306 mẫu đạt F1 vĩ mô 0,7298, độ chính xác 0,8125 và độ chính xác cân bằng 0,7689. Toàn bộ tập nhãn có 194 mẫu NEGATIVE; phần đánh giá không chệch có 59 mẫu NEGATIVE, đạt F1 0,6036 và độ bao phủ 0,6803. Kết quả cho thấy mô hình đã phân biệt được cả ba lớp và không còn suy biến về lớp NEUTRAL như cấu hình lịch sử.</w:t>
      </w:r>
    </w:p>
    <w:p>
      <w:pPr>
        <w:pStyle w:val="BodyText"/>
        <w:rPr/>
      </w:pPr>
      <w:r>
        <w:rPr>
          <w:b w:val="false"/>
          <w:i w:val="false"/>
        </w:rPr>
        <w:t>Đối với câu hỏi thứ hai, LSTM chỉ sử dụng giá đạt F1 vĩ mô 0,3756, cao hơn mức 0,3289 của đối chứng ngẫu nhiên và 0,1453 của đối chứng lớp phổ biến. TFT chỉ sử dụng giá đạt 0,3619, thấp hơn LSTM. Trong lượt hồi cứu, đóng góp riêng của thông tin phân cực là +0,0080 F1 vĩ mô với khoảng 95% theo ngày [−0,0025; +0,0186]. Lượt ngoài mẫu sử dụng điểm kiểm đóng băng đạt +0,0094, với khoảng [−0,0009; +0,0196]; điểm kiểm đối chứng cùng kích thước đạt +0,0028, với khoảng [−0,0074; +0,0133]. Cả ba khoảng đều chứa 0. Vì vậy, chưa có bằng chứng đủ mạnh cho thấy cảm xúc cải thiện dự báo, đồng thời dữ liệu hiện tại cũng không loại trừ khả năng tồn tại một mức cải thiện nhỏ.</w:t>
      </w:r>
    </w:p>
    <w:p>
      <w:pPr>
        <w:pStyle w:val="BodyText"/>
        <w:rPr/>
      </w:pPr>
      <w:r>
        <w:rPr>
          <w:b w:val="false"/>
          <w:i w:val="false"/>
        </w:rPr>
        <w:t>Đối với câu hỏi thứ ba, phép đối chứng trung tính cho phép tách thông tin phân cực khỏi ảnh hưởng của kiến trúc, sự hiện diện và khối lượng tin. Phần kiến trúc và độ phủ tin đóng góp +0,0034, trong khi phần thông tin phân cực đóng góp +0,0080 nhưng khoảng tin cậy chứa 0. Tương quan hạng giữa điểm sent_pos_minus_neg với lợi suất phiên kế tiếp gần 0. Các kết quả này cho thấy đúng cách biểu diễn cảm xúc hiện tại chưa tạo ra đóng góp dự báo ổn định; chúng không loại trừ quan hệ phi tuyến, cách biểu diễn khác hoặc một hiệu ứng nhỏ.</w:t>
      </w:r>
    </w:p>
    <w:p>
      <w:pPr>
        <w:pStyle w:val="Heading2"/>
        <w:rPr/>
      </w:pPr>
      <w:bookmarkStart w:id="251" w:name="__RefHeading___Toc11128_2435329662"/>
      <w:bookmarkStart w:id="252" w:name="đóng-góp-và-ý-nghĩa-của-đồ-án"/>
      <w:bookmarkEnd w:id="251"/>
      <w:r>
        <w:rPr>
          <w:rFonts w:eastAsia="Times New Roman" w:cs="Times New Roman" w:ascii="Times New Roman" w:hAnsi="Times New Roman"/>
        </w:rPr>
        <w:t>5.3. Đóng góp và ý nghĩa của đồ án</w:t>
      </w:r>
    </w:p>
    <w:p>
      <w:pPr>
        <w:pStyle w:val="FirstParagraph"/>
        <w:rPr/>
      </w:pPr>
      <w:r>
        <w:rPr/>
        <w:t>Đóng góp thứ nhất là một quy trình dữ liệu có khả năng truy nguyên, từ bài tin và giá gốc đến bảng mã–phiên dùng để huấn luyện. Quy trình lưu URL, nguồn, mốc thời gian, mã băm và trạng thái ánh xạ; đồng thời phân biệt ngày không có tin với ngày có tin trung tính. Cách tổ chức này giúp kiểm tra lại việc một bài viết có thực sự quan sát được tại thời điểm dự báo hay không.</w:t>
      </w:r>
    </w:p>
    <w:p>
      <w:pPr>
        <w:pStyle w:val="BodyText"/>
        <w:rPr/>
      </w:pPr>
      <w:r>
        <w:rPr/>
        <w:t>Đóng góp thứ hai là cách sử dụng phân phối xác suất cảm xúc thay cho một nhãn cứng. Việc giữ cả ba xác suất cho phép tổng hợp mức độ không chắc chắn và xây dựng đối chứng trung tính mà không thay đổi số bài, thời điểm hoặc cờ có tin. Nhờ đó, hiệu số giữa mô hình chỉ giá và mô hình hai nhánh được phân tách thành ảnh hưởng của kiến trúc–độ phủ tin và phần thông tin phân cực.</w:t>
      </w:r>
    </w:p>
    <w:p>
      <w:pPr>
        <w:pStyle w:val="BodyText"/>
        <w:rPr/>
      </w:pPr>
      <w:r>
        <w:rPr/>
        <w:t>Đóng góp thứ ba là giao thức đánh giá theo thời gian với năm đoạn kiểm thử tách biệt, tiền xử lý chỉ học từ phần huấn luyện và cơ chế xác minh điểm kiểm cảm xúc theo mốc thời gian. Việc báo cáo song song lượt hồi cứu và lượt ngoài mẫu giúp chỉ ra rằng một điểm số dương chưa đủ để kết luận khi khoảng tin cậy chứa 0 hoặc khi bộ sinh tín hiệu đã tiếp cận nhãn tương lai.</w:t>
      </w:r>
    </w:p>
    <w:p>
      <w:pPr>
        <w:pStyle w:val="BodyText"/>
        <w:rPr/>
      </w:pPr>
      <w:r>
        <w:rPr/>
        <w:t xml:space="preserve">Đóng góp cuối cùng là một kết quả thực nghiệm thận trọng. Trên dữ liệu đã đo, cảm xúc không tạo ra mức cải thiện có thể tái lập. Kết quả này vẫn có ý nghĩa vì nó được thu nhận bằng phép đối chứng ghép cặp và được kiểm tra qua nhiều góc nhìn, thay vì giả định trước rằng mô hình ngôn ngữ hoặc cơ chế hợp nhất phức tạp hơn sẽ cho kết quả tốt hơn. Các hướng dùng biểu diễn ngữ cảnh, sự kiện chi tiết hoặc mô hình ngôn ngữ lớn có khả năng giữ nhiều thông tin hơn, nhưng cũng yêu cầu dữ liệu và giao thức kiểm chứng tương ứng </w:t>
      </w:r>
      <w:hyperlink w:anchor="ref-Chen2021_210708721v1">
        <w:r>
          <w:rPr>
            <w:rStyle w:val="Hyperlink"/>
          </w:rPr>
          <w:t>[4]</w:t>
        </w:r>
      </w:hyperlink>
      <w:r>
        <w:rPr/>
        <w:t xml:space="preserve">, </w:t>
      </w:r>
      <w:hyperlink w:anchor="ref-Elahi2024_241101368v1">
        <w:r>
          <w:rPr>
            <w:rStyle w:val="Hyperlink"/>
          </w:rPr>
          <w:t>[6]</w:t>
        </w:r>
      </w:hyperlink>
      <w:r>
        <w:rPr/>
        <w:t xml:space="preserve">, </w:t>
      </w:r>
      <w:hyperlink w:anchor="ref-Liang2024_241210823v2">
        <w:r>
          <w:rPr>
            <w:rStyle w:val="Hyperlink"/>
          </w:rPr>
          <w:t>[12]</w:t>
        </w:r>
      </w:hyperlink>
      <w:r>
        <w:rPr/>
        <w:t>.</w:t>
      </w:r>
    </w:p>
    <w:p>
      <w:pPr>
        <w:pStyle w:val="BodyText"/>
        <w:rPr/>
      </w:pPr>
      <w:r>
        <w:rPr/>
        <w:t>Về thực tiễn, hệ thống có thể hỗ trợ thăm dò dữ liệu, theo dõi xác suất cảm xúc, trạng thái kỹ thuật và lớp dự báo theo ngày. Tuy nhiên, hệ thống chưa cấu thành một chiến lược giao dịch. Chẩn đoán kinh tế trong Chương </w:t>
      </w:r>
      <w:hyperlink w:anchor="ch%2525253Aket-qua">
        <w:r>
          <w:rPr>
            <w:rStyle w:val="Hyperlink"/>
          </w:rPr>
          <w:t>4</w:t>
        </w:r>
      </w:hyperlink>
      <w:r>
        <w:rPr/>
        <w:t xml:space="preserve"> sử dụng giá khớp không khả thi và chỉ cho thấy biên lợi thế trước phí bị triệt tiêu khi áp dụng mức chi phí đã giả định. Vì vậy, mọi đầu ra phải được hiểu là kết quả nghiên cứu, không phải khuyến nghị mua hoặc bán.</w:t>
      </w:r>
      <w:bookmarkEnd w:id="252"/>
    </w:p>
    <w:p>
      <w:pPr>
        <w:pStyle w:val="Heading2"/>
        <w:rPr/>
      </w:pPr>
      <w:bookmarkStart w:id="253" w:name="__RefHeading___Toc11130_2435329662"/>
      <w:bookmarkStart w:id="254" w:name="giới-hạn-của-đồ-án"/>
      <w:bookmarkEnd w:id="253"/>
      <w:r>
        <w:rPr>
          <w:rFonts w:eastAsia="Times New Roman" w:cs="Times New Roman" w:ascii="Times New Roman" w:hAnsi="Times New Roman"/>
        </w:rPr>
        <w:t>5.4. Giới hạn của đồ án</w:t>
      </w:r>
    </w:p>
    <w:p>
      <w:pPr>
        <w:pStyle w:val="FirstParagraph"/>
        <w:rPr/>
      </w:pPr>
      <w:r>
        <w:rPr/>
        <w:t>Thứ nhất, phạm vi nghiên cứu chỉ gồm 10 mã thuộc VN30 trên HOSE, một nguồn tin Vietstock và giai đoạn 2020–2025. Độ phủ tin chênh lệch đáng kể giữa các mã. Kết quả vì vậy không đại diện cho toàn bộ VN30, nhóm vốn hóa nhỏ, HNX, UPCOM hoặc thị trường khác.</w:t>
      </w:r>
    </w:p>
    <w:p>
      <w:pPr>
        <w:pStyle w:val="BodyText"/>
        <w:rPr/>
      </w:pPr>
      <w:r>
        <w:rPr/>
        <w:t>Thứ hai, tập cảm xúc chỉ có một người rà soát nên không có Cohen’s kappa hoặc Fleiss’ kappa. Năm tập kiểm thử ngoài chỉ có tổng cộng 59 mẫu NEGATIVE. Phép đánh giá đã đo được lớp này, nhưng khoảng bất định vẫn lớn hơn hai lớp còn lại. Ngoài ra, mô hình ngôn ngữ lớn được dùng để tạo nhãn sơ bộ trước khi người rà soát xác nhận; thiết kế này không thay thế được một quy trình gán nhãn độc lập bởi nhiều người.</w:t>
      </w:r>
    </w:p>
    <w:p>
      <w:pPr>
        <w:pStyle w:val="BodyText"/>
        <w:rPr/>
      </w:pPr>
      <w:r>
        <w:rPr/>
        <w:t>Thứ ba, điểm kiểm đóng băng loại bỏ các nhãn được công bố sau ngày kiểm thử đầu tiên, nhưng cấu hình đầu vào, cách cắt token và trọng số lớp vẫn được lựa chọn từ xác thực chéo trên toàn bộ 1.306 nhãn. Vì vậy, lượt này kiểm soát rò rỉ nhãn nhưng chưa tạo thành một quy trình lựa chọn mô hình hoàn toàn point-in-time. Đối chứng cùng kích thước chỉ sử dụng một hạt giống, nên chưa tách ổn định ảnh hưởng của thời điểm huấn luyện khỏi ảnh hưởng của thành phần mẫu được rút.</w:t>
      </w:r>
    </w:p>
    <w:p>
      <w:pPr>
        <w:pStyle w:val="BodyText"/>
        <w:rPr/>
      </w:pPr>
      <w:r>
        <w:rPr/>
        <w:t>Thứ tư, khoảng tin cậy theo ngày chưa mô hình hóa đầy đủ phụ thuộc giữa các phiên liên tiếp; khoảng theo cửa sổ chỉ dựa trên năm khối nên còn thô. Nhiều phép so sánh được thực hiện trên cùng bộ dữ liệu, gồm ba điểm kiểm, hai kiến trúc và bốn phân tích bổ sung. Do đó, một khoảng riêng lẻ có cận gần 0 không đủ để tuyên bố ý nghĩa thống kê.</w:t>
      </w:r>
    </w:p>
    <w:p>
      <w:pPr>
        <w:pStyle w:val="BodyText"/>
        <w:rPr/>
      </w:pPr>
      <w:r>
        <w:rPr/>
        <w:t>Thứ năm, nhãn tam phân được xác định theo phân vị của phần huấn luyện nên lớp FLAT mang ý nghĩa thống kê, không phải một ngưỡng đi ngang được thị trường công nhận. Chân trời một phiên có thể quá ngắn đối với thông tin dài hạn; ngược lại, các chân trời dài hơn tạo nhãn chồng lấn và cần phương pháp ước lượng độ bất định khác.</w:t>
      </w:r>
    </w:p>
    <w:p>
      <w:pPr>
        <w:pStyle w:val="BodyText"/>
        <w:rPr/>
      </w:pPr>
      <w:r>
        <w:rPr/>
        <w:t>Cuối cùng, chẩn đoán kinh tế chưa sử dụng mức giá có thể giao dịch và sổ theo dõi trực tuyến chưa có dòng dự báo hợp lệ được phát hành trước phiên mục tiêu. Hệ thống mới chứng minh đường xử lý có thể chạy từ đầu đến cuối và phát hiện lần chạy lại; chưa có bằng chứng về hiệu năng vận hành thực tế.</w:t>
      </w:r>
      <w:bookmarkEnd w:id="254"/>
    </w:p>
    <w:p>
      <w:pPr>
        <w:pStyle w:val="Heading2"/>
        <w:rPr/>
      </w:pPr>
      <w:bookmarkStart w:id="255" w:name="__RefHeading___Toc11132_2435329662"/>
      <w:bookmarkStart w:id="256" w:name="kết-luận-cuối-cùng"/>
      <w:bookmarkEnd w:id="255"/>
      <w:r>
        <w:rPr>
          <w:rFonts w:eastAsia="Times New Roman" w:cs="Times New Roman" w:ascii="Times New Roman" w:hAnsi="Times New Roman"/>
        </w:rPr>
        <w:t>5.5. Kết luận cuối cùng</w:t>
      </w:r>
    </w:p>
    <w:p>
      <w:pPr>
        <w:pStyle w:val="FirstParagraph"/>
        <w:rPr/>
      </w:pPr>
      <w:r>
        <w:rPr/>
        <w:t>Trên 10 mã HOSE trong giai đoạn 2020–2025, mô hình LSTM chỉ sử dụng giá đạt kết quả cao hơn hai đối chứng cơ sở về F1 vĩ mô. TFT tối giản không vượt LSTM. Khi giữ nguyên kiến trúc, bài tin, thời điểm và số lượng tin, xác suất cảm xúc tạo ra các ước lượng điểm nhỏ và dương đối với LSTM, nhưng các khoảng tin cậy theo ngày đều chứa 0. Các phân tích tương quan hạng, nhãn lợi suất vượt trội, chân trời dự báo và chẩn đoán kinh tế không cung cấp bằng chứng độc lập để thay đổi kết luận này.</w:t>
      </w:r>
    </w:p>
    <w:p>
      <w:pPr>
        <w:pStyle w:val="BodyText"/>
        <w:rPr/>
      </w:pPr>
      <w:r>
        <w:rPr/>
        <w:t xml:space="preserve">Vì vậy, trong phạm vi dữ liệu và giao thức đã đo, </w:t>
      </w:r>
      <w:r>
        <w:rPr>
          <w:b/>
          <w:bCs/>
        </w:rPr>
        <w:t>chưa có bằng chứng đủ mạnh cho thấy cảm xúc trong tin tài chính tiếng Việt cải thiện dự báo xu hướng của phiên giao dịch kế tiếp</w:t>
      </w:r>
      <w:r>
        <w:rPr/>
        <w:t>. Kết luận này không có nghĩa là cảm xúc không hữu ích trong mọi bối cảnh; dữ liệu hiện tại vẫn cho phép tồn tại một hiệu ứng nhỏ, một quan hệ phi tuyến hoặc một hiệu ứng chỉ xuất hiện trong một số điều kiện chưa được kiểm tra. Kết quả không chứng minh quan hệ nhân quả và không phải khuyến nghị đầu tư.</w:t>
      </w:r>
      <w:bookmarkEnd w:id="244"/>
      <w:bookmarkEnd w:id="256"/>
    </w:p>
    <w:p>
      <w:pPr>
        <w:pStyle w:val="Heading1"/>
        <w:rPr/>
      </w:pPr>
      <w:bookmarkStart w:id="257" w:name="__RefHeading___Toc11134_2435329662"/>
      <w:bookmarkEnd w:id="257"/>
      <w:r>
        <w:rPr>
          <w:rFonts w:eastAsia="Times New Roman" w:cs="Times New Roman" w:ascii="Times New Roman" w:hAnsi="Times New Roman"/>
        </w:rPr>
        <w:t>Chương 6. HƯỚNG PHÁT TRIỂN</w:t>
      </w:r>
    </w:p>
    <w:p>
      <w:pPr>
        <w:pStyle w:val="FirstParagraph"/>
        <w:rPr/>
      </w:pPr>
      <w:r>
        <w:rPr>
          <w:b w:val="false"/>
          <w:i w:val="false"/>
        </w:rPr>
        <w:t>Các hướng phát triển trong chương này xuất phát từ các giới hạn và khả năng mở rộng của đồ án. Thứ tự ưu tiên đặt độ tin cậy của dữ liệu và giao thức trước độ phức tạp của mô hình. Một kiến trúc mới chỉ có ý nghĩa khi được so sánh trên cùng phần chia, cùng ngân sách thử nghiệm và cùng điều kiện point-in-time.</w:t>
      </w:r>
    </w:p>
    <w:p>
      <w:pPr>
        <w:pStyle w:val="Heading2"/>
        <w:rPr/>
      </w:pPr>
      <w:bookmarkStart w:id="258" w:name="__RefHeading___Toc11136_2435329662"/>
      <w:bookmarkStart w:id="259" w:name="hoàn-thiện-các-mục-tiêu-còn-thiếu"/>
      <w:bookmarkEnd w:id="258"/>
      <w:r>
        <w:rPr>
          <w:rFonts w:eastAsia="Times New Roman" w:cs="Times New Roman" w:ascii="Times New Roman" w:hAnsi="Times New Roman"/>
        </w:rPr>
        <w:t>6.1. Mở rộng so sánh mô hình và điều kiện đánh giá</w:t>
      </w:r>
    </w:p>
    <w:p>
      <w:pPr>
        <w:pStyle w:val="FirstParagraph"/>
        <w:rPr/>
      </w:pPr>
      <w:r>
        <w:rPr/>
        <w:t>Hạng mục đầu tiên là so sánh tầng phân loại tuyến tính của PhoBERT với ít nhất một biến thể PhoBERT–CNN hoặc PhoBERT–BiLSTM trên cùng tập dữ liệu. Hai cấu hình phải sử dụng cùng đầu vào, cách cắt token, phần chia và tiêu chí chọn điểm kiểm. Kết quả cần báo cáo F1 vĩ mô, chỉ số theo lớp, số tham số, thời gian huấn luyện và độ nhạy theo hạt giống. Nếu kiến trúc kết hợp chỉ cải thiện trên tập xác thực nhưng không cải thiện trên các tập kiểm thử ngoài, cấu hình tuyến tính vẫn nên được giữ làm mức sàn.</w:t>
      </w:r>
    </w:p>
    <w:p>
      <w:pPr>
        <w:pStyle w:val="BodyText"/>
        <w:rPr/>
      </w:pPr>
      <w:r>
        <w:rPr/>
        <w:t>Hạng mục thứ hai là thực hiện ước lượng ghép cặp theo điều kiện thị trường. Các nhóm có thể gồm giai đoạn biến động cao và thấp, ngày nhiều tin và ít tin, ngày sự kiện và ngày thông thường, hoặc từng nhóm mã có độ phủ tương đương. Tiêu chí phân tầng phải được xác định trước khi quan sát hiệu số. Mỗi nhóm cần báo cáo số ngày, số dòng mã–phiên, phân bố lớp và khoảng tin cậy; nhóm quá nhỏ phải được ghi là không đủ cơ sở kết luận.</w:t>
      </w:r>
    </w:p>
    <w:p>
      <w:pPr>
        <w:pStyle w:val="BodyText"/>
        <w:rPr/>
      </w:pPr>
      <w:r>
        <w:rPr/>
        <w:t>Hạng mục thứ ba là bổ sung phương pháp giải thích phù hợp với từng kiến trúc. Đối với LSTM, có thể che từng nhóm đặc trưng hoặc hoán vị theo khối thời gian. Đối với TFT, có thể báo cáo tầm quan trọng của biến và trọng số chú ý trên các cửa sổ ngoài mẫu. Các giá trị này chỉ mô tả cách mô hình sử dụng đầu vào, không chứng minh cảm xúc gây ra biến động giá.</w:t>
      </w:r>
      <w:bookmarkEnd w:id="259"/>
    </w:p>
    <w:p>
      <w:pPr>
        <w:pStyle w:val="Heading2"/>
        <w:rPr/>
      </w:pPr>
      <w:bookmarkStart w:id="260" w:name="__RefHeading___Toc11138_2435329662"/>
      <w:bookmarkStart w:id="261" w:name="củng-cố-đánh-giá-point-in-time"/>
      <w:bookmarkEnd w:id="260"/>
      <w:r>
        <w:rPr>
          <w:rFonts w:eastAsia="Times New Roman" w:cs="Times New Roman" w:ascii="Times New Roman" w:hAnsi="Times New Roman"/>
        </w:rPr>
        <w:t>6.2. Củng cố đánh giá point-in-time</w:t>
      </w:r>
    </w:p>
    <w:p>
      <w:pPr>
        <w:pStyle w:val="FirstParagraph"/>
        <w:rPr/>
      </w:pPr>
      <w:r>
        <w:rPr/>
        <w:t xml:space="preserve">Ưu tiên phương pháp quan trọng nhất là đưa cả bước lựa chọn cấu hình cảm xúc vào giao thức point-in-time. Thay vì lựa chọn </w:t>
      </w:r>
      <w:r>
        <w:rPr>
          <w:rStyle w:val="VerbatimChar"/>
        </w:rPr>
        <w:t>title_context</w:t>
      </w:r>
      <w:r>
        <w:rPr/>
        <w:t xml:space="preserve">, </w:t>
      </w:r>
      <w:r>
        <w:rPr>
          <w:rStyle w:val="VerbatimChar"/>
        </w:rPr>
        <w:t>head_tail</w:t>
      </w:r>
      <w:r>
        <w:rPr/>
        <w:t xml:space="preserve"> và trọng số lớp trên toàn bộ 1.306 nhãn rồi mới loại nhãn tương lai, mỗi cửa sổ dự báo cần sử dụng một quy trình lồng. Phần nhãn công bố trước cửa sổ được chia thành huấn luyện và xác thực để chọn cấu hình; điểm kiểm sau đó được tinh chỉnh lại chỉ từ dữ liệu quá khứ và dùng để chấm các bài tin của cửa sổ tương ứng.</w:t>
      </w:r>
    </w:p>
    <w:p>
      <w:pPr>
        <w:pStyle w:val="BodyText"/>
        <w:rPr/>
      </w:pPr>
      <w:r>
        <w:rPr/>
        <w:t>Đối chứng cùng kích thước cần được lặp lại với nhiều hạt giống. Mỗi lần rút phải giữ đúng số mẫu của từng lớp, lưu danh sách dòng và mã băm, sau đó chạy lại toàn bộ phép đối chứng trung tính. Phân phối của hiệu số qua các lần rút mới cho phép tách ảnh hưởng của thời điểm huấn luyện khỏi ảnh hưởng ngẫu nhiên của thành phần mẫu. Nếu chi phí tinh chỉnh theo từng cửa sổ quá lớn, có thể sử dụng một điểm kiểm được khóa trước toàn bộ giai đoạn kiểm thử, nhưng mọi quyết định về đầu vào và siêu tham số cũng phải được đưa ra trước mốc này.</w:t>
      </w:r>
    </w:p>
    <w:p>
      <w:pPr>
        <w:pStyle w:val="BodyText"/>
        <w:rPr/>
      </w:pPr>
      <w:r>
        <w:rPr/>
        <w:t>Khoảng tin cậy cần được điều chỉnh cho phụ thuộc chuỗi thời gian. Có thể sử dụng lấy mẫu lặp theo khối ngày liên tiếp hoặc lấy mẫu lặp theo cửa sổ khi số cửa sổ được tăng lên. Đối với chân trời nhiều phiên, độ dài khối phải phản ánh mức chồng lấn của nhãn. Các phép kiểm tra cần được đăng ký trước hoặc ghi đầy đủ số lần thử để hạn chế việc lựa chọn một kết quả thuận lợi từ nhiều phép so sánh.</w:t>
      </w:r>
      <w:bookmarkEnd w:id="261"/>
    </w:p>
    <w:p>
      <w:pPr>
        <w:pStyle w:val="Heading2"/>
        <w:rPr/>
      </w:pPr>
      <w:bookmarkStart w:id="262" w:name="__RefHeading___Toc11140_2435329662"/>
      <w:bookmarkStart w:id="263" w:name="mở-rộng-dữ-liệu-và-chất-lượng-nhãn"/>
      <w:bookmarkEnd w:id="262"/>
      <w:r>
        <w:rPr>
          <w:rFonts w:eastAsia="Times New Roman" w:cs="Times New Roman" w:ascii="Times New Roman" w:hAnsi="Times New Roman"/>
        </w:rPr>
        <w:t>6.3. Mở rộng dữ liệu và chất lượng nhãn</w:t>
      </w:r>
    </w:p>
    <w:p>
      <w:pPr>
        <w:pStyle w:val="FirstParagraph"/>
        <w:rPr/>
      </w:pPr>
      <w:r>
        <w:rPr/>
        <w:t>Nguồn tin có thể được mở rộng sang CafeF, VnEconomy hoặc Stockbiz. Mỗi nguồn mới cần được kiểm tra về điều kiện truy cập, độ phủ theo mã, mốc thời gian, nội dung, bản đăng lại và khả năng tái lập. Các bài cùng xuất phát từ một thông cáo phải được nhận diện trước khi chia tập. Bản ghi thiếu thời gian hoặc không xác định được mã không nên được đưa vào bảng đặc trưng chính bằng một giá trị suy đoán.</w:t>
      </w:r>
    </w:p>
    <w:p>
      <w:pPr>
        <w:pStyle w:val="BodyText"/>
        <w:rPr/>
      </w:pPr>
      <w:r>
        <w:rPr/>
        <w:t xml:space="preserve">Tập đánh giá cảm xúc cần được mở rộng bằng lấy mẫu ngẫu nhiên không chệch. Theo phân bố đã quan sát, khoảng 1.500 mẫu ngẫu nhiên là một mục tiêu phù hợp để thu hẹp khoảng tin cậy của độ bao phủ lớp NEGATIVE. Ít nhất hai người nên gán một phần giao nhau của tập mẫu để tính độ đồng thuận và phân tích các trường hợp bất đồng. Nhãn có thể được mở rộng thêm chủ thể, loại sự kiện, cường độ và mức độ chắc chắn. Biểu diễn sự kiện chi tiết có thể bổ sung cho ba lớp phân cực, nhưng cần một hướng dẫn gán nhãn và phép đánh giá riêng </w:t>
      </w:r>
      <w:hyperlink w:anchor="ref-Chen2019_191005078v1">
        <w:r>
          <w:rPr>
            <w:rStyle w:val="Hyperlink"/>
          </w:rPr>
          <w:t>[3]</w:t>
        </w:r>
      </w:hyperlink>
      <w:r>
        <w:rPr/>
        <w:t>.</w:t>
      </w:r>
    </w:p>
    <w:p>
      <w:pPr>
        <w:pStyle w:val="BodyText"/>
        <w:rPr/>
      </w:pPr>
      <w:r>
        <w:rPr/>
        <w:t>Độ phủ giữa các mã cũng cần được cân bằng hơn. Khi bổ sung mã hoặc nguồn, báo cáo phải nêu số bài, tỷ lệ ngày có tin, số bản ghi bị loại và phân bố nhãn theo từng mã. Không nên gộp toàn bộ thành một điểm số nếu một số mã có mật độ tin cao hơn nhiều so với các mã còn lại.</w:t>
      </w:r>
      <w:bookmarkEnd w:id="263"/>
    </w:p>
    <w:p>
      <w:pPr>
        <w:pStyle w:val="Heading2"/>
        <w:rPr/>
      </w:pPr>
      <w:bookmarkStart w:id="264" w:name="__RefHeading___Toc11142_2435329662"/>
      <w:bookmarkStart w:id="265" w:name="mở-rộng-biểu-diễn-và-cơ-chế-hợp-nhất"/>
      <w:bookmarkEnd w:id="264"/>
      <w:r>
        <w:rPr>
          <w:rFonts w:eastAsia="Times New Roman" w:cs="Times New Roman" w:ascii="Times New Roman" w:hAnsi="Times New Roman"/>
        </w:rPr>
        <w:t>6.4. Mở rộng biểu diễn và cơ chế hợp nhất</w:t>
      </w:r>
    </w:p>
    <w:p>
      <w:pPr>
        <w:pStyle w:val="FirstParagraph"/>
        <w:rPr/>
      </w:pPr>
      <w:r>
        <w:rPr/>
        <w:t>Trước khi thay đổi mô hình, cần thực hiện loại bỏ đầu vào của nhánh văn bản. Các cấu hình nên bao gồm chỉ tiêu đề, tiêu đề với phần đầu, tiêu đề với phần cuối và kết hợp đầu–cuối trong cùng giới hạn 256 token. So sánh này giúp xác định liệu ngữ cảnh dài hơn có bổ sung thông tin hay chỉ đưa thêm quảng cáo, nội dung lặp và sự kiện không liên quan. Mọi cấu hình phải dùng cùng các tập nhãn và cùng quy trình point-in-time.</w:t>
      </w:r>
    </w:p>
    <w:p>
      <w:pPr>
        <w:pStyle w:val="BodyText"/>
        <w:rPr/>
      </w:pPr>
      <w:r>
        <w:rPr/>
        <w:t xml:space="preserve">Khi dữ liệu đủ lớn, phép nối hai trạng thái cuối có thể được thay bằng cơ chế hợp nhất có cổng hoặc chú ý chéo. Cổng có thể điều chỉnh đóng góp của nhánh cảm xúc theo độ biến động, số tin và độ chắc chắn của bộ phân loại. Chú ý chéo cho phép chuỗi giá truy vấn chuỗi tin và ngược lại. Các mô hình đa phương thức cho thấy hướng này có khả năng giữ được tương tác phong phú hơn phép nối, nhưng số tham số và phương sai cũng tăng </w:t>
      </w:r>
      <w:hyperlink w:anchor="ref-Elahi2024_241101368v1">
        <w:r>
          <w:rPr>
            <w:rStyle w:val="Hyperlink"/>
          </w:rPr>
          <w:t>[6]</w:t>
        </w:r>
      </w:hyperlink>
      <w:r>
        <w:rPr/>
        <w:t xml:space="preserve">, </w:t>
      </w:r>
      <w:hyperlink w:anchor="ref-Omranpour2024_241210540v1">
        <w:r>
          <w:rPr>
            <w:rStyle w:val="Hyperlink"/>
          </w:rPr>
          <w:t>[17]</w:t>
        </w:r>
      </w:hyperlink>
      <w:r>
        <w:rPr/>
        <w:t>. Vì vậy, mỗi biến thể phải được đặt cạnh LSTM hai nhánh trên cùng cửa sổ, hạt giống, đối chứng trung tính và khoảng tin cậy.</w:t>
      </w:r>
    </w:p>
    <w:p>
      <w:pPr>
        <w:pStyle w:val="BodyText"/>
        <w:rPr/>
      </w:pPr>
      <w:r>
        <w:rPr/>
        <w:t xml:space="preserve">Một hướng khác là biểu diễn cảm xúc theo khía cạnh hoặc theo sự kiện thay vì một hiệu xác suất duy nhất. Có thể tách thông tin về kết quả kinh doanh, cổ tức, quản trị, pháp lý và đầu tư, sau đó tổng hợp theo loại sự kiện. Mô hình ngôn ngữ lớn có thể hỗ trợ tạo nhãn sơ bộ hoặc biểu diễn ngữ cảnh, nhưng phiên bản, câu lệnh, chi phí và quy trình rà soát phải được ghi lại. Hệ thống này không nên thay thế đối chứng PhoBERT mở khi chưa chứng minh được khả năng tái lập </w:t>
      </w:r>
      <w:hyperlink w:anchor="ref-Liang2024_241210823v2">
        <w:r>
          <w:rPr>
            <w:rStyle w:val="Hyperlink"/>
          </w:rPr>
          <w:t>[12]</w:t>
        </w:r>
      </w:hyperlink>
      <w:r>
        <w:rPr/>
        <w:t xml:space="preserve">, </w:t>
      </w:r>
      <w:hyperlink w:anchor="ref-Siala2026_260200086v3">
        <w:r>
          <w:rPr>
            <w:rStyle w:val="Hyperlink"/>
          </w:rPr>
          <w:t>[18]</w:t>
        </w:r>
      </w:hyperlink>
      <w:r>
        <w:rPr/>
        <w:t>.</w:t>
      </w:r>
      <w:bookmarkEnd w:id="265"/>
    </w:p>
    <w:p>
      <w:pPr>
        <w:pStyle w:val="Heading2"/>
        <w:rPr/>
      </w:pPr>
      <w:bookmarkStart w:id="266" w:name="__RefHeading___Toc11144_2435329662"/>
      <w:bookmarkStart w:id="267" w:name="X24f4efa40045d7ed1dbe08e0d93b74b54f4308c"/>
      <w:bookmarkEnd w:id="266"/>
      <w:r>
        <w:rPr>
          <w:rFonts w:eastAsia="Times New Roman" w:cs="Times New Roman" w:ascii="Times New Roman" w:hAnsi="Times New Roman"/>
        </w:rPr>
        <w:t>6.5. Mở rộng phạm vi và xử lý trôi dạt khái niệm</w:t>
      </w:r>
    </w:p>
    <w:p>
      <w:pPr>
        <w:pStyle w:val="FirstParagraph"/>
        <w:rPr/>
      </w:pPr>
      <w:r>
        <w:rPr/>
        <w:t>Sau khi quy trình ổn định trên 10 mã, nghiên cứu có thể mở rộng từng bước sang toàn bộ VN30, các nhóm ngành, HNX hoặc UPCOM. Mỗi lần mở rộng cần khóa danh sách mã, ngày bắt đầu, lịch giao dịch và nguồn tin. Khả năng tổng quát nên được đánh giá theo mã hoặc theo ngành, thay vì chỉ báo cáo một điểm trung bình.</w:t>
      </w:r>
    </w:p>
    <w:p>
      <w:pPr>
        <w:pStyle w:val="BodyText"/>
        <w:rPr/>
      </w:pPr>
      <w:r>
        <w:rPr/>
        <w:t xml:space="preserve">Quan hệ giữa các cổ phiếu có thể được mô hình hóa bằng đồ thị ngành, quan hệ doanh nghiệp hoặc tương quan được học từ dữ liệu quá khứ. HIST và REST là hai hướng khai thác thông tin liên mã, trong khi DoubleAdapt tập trung vào khả năng thích nghi khi phân phối thay đổi </w:t>
      </w:r>
      <w:hyperlink w:anchor="ref-Xu2021_211013716v2">
        <w:r>
          <w:rPr>
            <w:rStyle w:val="Hyperlink"/>
          </w:rPr>
          <w:t>[22]</w:t>
        </w:r>
      </w:hyperlink>
      <w:r>
        <w:rPr/>
        <w:t xml:space="preserve">, </w:t>
      </w:r>
      <w:hyperlink w:anchor="ref-Xu2021_210207372v2">
        <w:r>
          <w:rPr>
            <w:rStyle w:val="Hyperlink"/>
          </w:rPr>
          <w:t>[23]</w:t>
        </w:r>
      </w:hyperlink>
      <w:r>
        <w:rPr/>
        <w:t xml:space="preserve">, </w:t>
      </w:r>
      <w:hyperlink w:anchor="ref-Zhao2023_230609862v3">
        <w:r>
          <w:rPr>
            <w:rStyle w:val="Hyperlink"/>
          </w:rPr>
          <w:t>[25]</w:t>
        </w:r>
      </w:hyperlink>
      <w:r>
        <w:rPr/>
        <w:t>. Nếu đồ thị được suy ra từ dữ liệu, đồ thị phải được xây dựng lại trong phần huấn luyện của từng cửa sổ để tránh sử dụng quan hệ của tương lai.</w:t>
      </w:r>
    </w:p>
    <w:p>
      <w:pPr>
        <w:pStyle w:val="BodyText"/>
        <w:rPr/>
      </w:pPr>
      <w:r>
        <w:rPr/>
        <w:t>Trôi dạt khái niệm có thể được kiểm tra bằng cách so sánh cửa sổ mở rộng với cửa sổ trượt, theo dõi chênh lệch giữa tập huấn luyện và kiểm thử, sau đó cập nhật điểm kiểm theo một lịch cố định. Mỗi lần cập nhật cần lưu phiên bản dữ liệu, thời điểm, cấu hình và khả năng quay lại điểm kiểm trước. Không nên cập nhật mô hình sau mỗi phiên khi chưa có đối chứng riêng, vì khó phân biệt khả năng thích nghi với hiện tượng quá khớp.</w:t>
      </w:r>
      <w:bookmarkEnd w:id="267"/>
    </w:p>
    <w:p>
      <w:pPr>
        <w:pStyle w:val="Heading2"/>
        <w:rPr/>
      </w:pPr>
      <w:bookmarkStart w:id="268" w:name="__RefHeading___Toc11146_2435329662"/>
      <w:bookmarkStart w:id="269" w:name="Xd53deba39826484ae6eac3a9cd546752f7806da"/>
      <w:bookmarkEnd w:id="268"/>
      <w:r>
        <w:rPr>
          <w:rFonts w:eastAsia="Times New Roman" w:cs="Times New Roman" w:ascii="Times New Roman" w:hAnsi="Times New Roman"/>
        </w:rPr>
        <w:t>6.6. Đánh giá giá trị kinh tế có khả năng giao dịch</w:t>
      </w:r>
    </w:p>
    <w:p>
      <w:pPr>
        <w:pStyle w:val="FirstParagraph"/>
        <w:rPr/>
      </w:pPr>
      <w:r>
        <w:rPr/>
        <w:t xml:space="preserve">Một đánh giá tiếp theo phải sử dụng mức giá có thể giao dịch. Tín hiệu được tạo sau khi có giá đóng cửa và tin đến mốc cắt của ngày </w:t>
      </w:r>
      <w:r>
        <w:rPr/>
      </w:r>
      <m:oMath xmlns:m="http://schemas.openxmlformats.org/officeDocument/2006/math">
        <m:r>
          <w:rPr>
            <w:rFonts w:ascii="Cambria Math" w:hAnsi="Cambria Math"/>
          </w:rPr>
          <m:t xml:space="preserve">t</m:t>
        </m:r>
      </m:oMath>
      <w:r>
        <w:rPr/>
        <w:t xml:space="preserve"> chỉ có thể vào lệnh từ phiên kế tiếp. Backtest cần khóa quy tắc chuyển xác suất thành vị thế, giá khớp, phí, thuế, trượt giá, thanh khoản, vòng quay và giới hạn vị thế trước khi xem kết quả. Sổ lệnh cũng cần kiểm soát trạng thái ròng để tách khả năng chọn mã khỏi biến động chung của thị trường.</w:t>
      </w:r>
    </w:p>
    <w:p>
      <w:pPr>
        <w:pStyle w:val="BodyText"/>
        <w:rPr/>
      </w:pPr>
      <w:r>
        <w:rPr/>
        <w:t xml:space="preserve">Các chỉ số có thể gồm lợi suất tích lũy, lợi suất năm hóa, tỷ số Sharpe, mức suy giảm tối đa, vòng quay và hệ số chặn so với rổ tham chiếu. Dự đoán phải là dự đoán ngoài mẫu từ quy trình cuốn chiếu. Không được điều chỉnh chiến lược trên các đoạn kiểm thử rồi báo cáo lại trên chính các đoạn đó. Mô phỏng giao dịch có thể bổ sung cho chỉ số phân loại, nhưng kết quả vẫn phụ thuộc vào giả định khớp lệnh và đặc điểm thị trường </w:t>
      </w:r>
      <w:hyperlink w:anchor="ref-Chen2021_210708721v1">
        <w:r>
          <w:rPr>
            <w:rStyle w:val="Hyperlink"/>
          </w:rPr>
          <w:t>[4]</w:t>
        </w:r>
      </w:hyperlink>
      <w:r>
        <w:rPr/>
        <w:t xml:space="preserve">, </w:t>
      </w:r>
      <w:hyperlink w:anchor="ref-Feng2018_181009936v2">
        <w:r>
          <w:rPr>
            <w:rStyle w:val="Hyperlink"/>
          </w:rPr>
          <w:t>[7]</w:t>
        </w:r>
      </w:hyperlink>
      <w:r>
        <w:rPr/>
        <w:t>.</w:t>
      </w:r>
      <w:bookmarkEnd w:id="269"/>
    </w:p>
    <w:p>
      <w:pPr>
        <w:pStyle w:val="Heading2"/>
        <w:rPr/>
      </w:pPr>
      <w:bookmarkStart w:id="270" w:name="__RefHeading___Toc11148_2435329662"/>
      <w:bookmarkStart w:id="271" w:name="hoàn-thiện-vận-hành-và-khả-năng-tái-lập"/>
      <w:bookmarkEnd w:id="270"/>
      <w:r>
        <w:rPr>
          <w:rFonts w:eastAsia="Times New Roman" w:cs="Times New Roman" w:ascii="Times New Roman" w:hAnsi="Times New Roman"/>
        </w:rPr>
        <w:t>6.7. Hoàn thiện vận hành và khả năng tái lập</w:t>
      </w:r>
    </w:p>
    <w:p>
      <w:pPr>
        <w:pStyle w:val="FirstParagraph"/>
        <w:rPr/>
      </w:pPr>
      <w:r>
        <w:rPr/>
        <w:t>Đường xử lý hằng ngày cần được chạy vào buổi sáng sau khi nguồn giá đã công bố dữ liệu của phiên trước và trước phiên khớp lệnh mở cửa. Mỗi dự báo phải ghi thời điểm phát hành, phiên mục tiêu, phiên giá mới nhất, mã băm đầu vào và điểm kiểm. Chỉ những dòng được phát hành trước phiên mục tiêu mới được đưa vào thống kê trực tuyến; các lần chạy lại phải được lưu riêng.</w:t>
      </w:r>
    </w:p>
    <w:p>
      <w:pPr>
        <w:pStyle w:val="BodyText"/>
        <w:rPr/>
      </w:pPr>
      <w:r>
        <w:rPr/>
        <w:t>Dashboard nên trình bày dữ liệu được cập nhật đến thời điểm nào, xác suất của ba lớp, số tin, trạng thái dữ liệu thiếu, phiên bản mô hình và lịch sử các dự báo hợp lệ. Giao diện không nên gọi đầu ra là khuyến nghị đầu tư. Để tăng khả năng tái lập, hệ thống cần công bố tệp cấu hình, hạt giống, mã băm dữ liệu, bản kê điểm kiểm, nhật ký chia tập và quy trình dựng môi trường. Nếu dữ liệu gốc không thể phân phối, có thể công bố lược đồ, mã băm và quy trình thu thập cùng các giới hạn truy cập.</w:t>
      </w:r>
      <w:bookmarkEnd w:id="271"/>
    </w:p>
    <w:p>
      <w:pPr>
        <w:pStyle w:val="Heading2"/>
        <w:rPr/>
      </w:pPr>
      <w:bookmarkStart w:id="272" w:name="__RefHeading___Toc11150_2435329662"/>
      <w:bookmarkEnd w:id="272"/>
      <w:r>
        <w:rPr>
          <w:rFonts w:eastAsia="Times New Roman" w:cs="Times New Roman" w:ascii="Times New Roman" w:hAnsi="Times New Roman"/>
        </w:rPr>
        <w:t>6.8. Lộ trình ưu tiên</w:t>
      </w:r>
    </w:p>
    <w:p>
      <w:pPr>
        <w:pStyle w:val="FirstParagraph"/>
        <w:rPr/>
      </w:pPr>
      <w:r>
        <w:rPr>
          <w:b w:val="false"/>
          <w:i w:val="false"/>
        </w:rPr>
        <w:t>Bảng 6.1 sắp xếp các hướng phát triển theo mức độ cần thiết đối với kết luận hiện tại. Thứ tự này không dựa trên độ mới của mô hình mà dựa trên khả năng giảm bất định và mở rộng phạm vi bằng chứng.</w:t>
      </w:r>
    </w:p>
    <w:p>
      <w:pPr>
        <w:pStyle w:val="TableCaption"/>
        <w:rPr/>
      </w:pPr>
      <w:r>
        <w:rPr>
          <w:b/>
        </w:rPr>
        <w:t xml:space="preserve">Bảng 6.1: </w:t>
      </w:r>
      <w:r>
        <w:rPr/>
        <w:t>Lộ trình ưu tiên cho các hướng phát triển.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cantSplit/>
        </w:trPr>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Ưu tiên</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Hướng thực hiện</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Điều kiện kiểm soát</w:t>
            </w:r>
          </w:p>
        </w:tc>
        <w:tc>
          <w:tcPr>
            <w:tcW w:w="198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jc w:val="left"/>
              <w:rPr>
                <w:kern w:val="0"/>
                <w:szCs w:val="24"/>
                <w:lang w:val="en-US" w:eastAsia="zh-CN" w:bidi="ar-SA"/>
              </w:rPr>
            </w:pPr>
            <w:r>
              <w:rPr>
                <w:kern w:val="0"/>
                <w:szCs w:val="24"/>
                <w:lang w:val="en-US" w:eastAsia="zh-CN" w:bidi="ar-SA"/>
              </w:rPr>
              <w:t>Kết quả cần thu được</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1</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Đánh giá point-in-time lồng và đối chứng nhiều hạt giống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Chọn cấu hình chỉ từ nhãn quá khứ; lưu mã băm từng lần rút</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Phân phối hiệu số và khoảng tin cậy ổn định</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2</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Mở rộng nhãn ngẫu nhiên và thêm người gán nhãn</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Tập đánh giá không chệch; hướng dẫn gán nhãn cố định</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Chỉ số theo lớp và độ đồng thuận</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3</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So sánh CNN/BiLSTM và phân tích theo điều kiện thị trường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Cùng phần chia, đầu vào, ngân sách và đối chứng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b w:val="false"/>
                <w:i w:val="false"/>
              </w:rPr>
              <w:t>Bằng chứng theo kiến trúc và từng nhóm điều kiện</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4</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Kiểm tra độ bền theo mã, thời gian và chân trời</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Lấy mẫu lặp theo khối; ghi nhận số phép thử</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Phạm vi áp dụng và độ ổn định của kết quả</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5</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Thử biểu diễn sự kiện và hợp nhất động</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Chỉ thực hiện sau khi giao thức cơ sở ổn định</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So sánh có kiểm soát với LSTM hai nhánh</w:t>
            </w:r>
          </w:p>
        </w:tc>
      </w:tr>
      <w:tr>
        <w:trPr>
          <w:cantSplit/>
        </w:trPr>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6</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Backtest có thể giao dịch và theo dõi trực tuyến</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Giá vào lệnh khả thi, chi phí đầy đủ, phát hành trước phiên</w:t>
            </w:r>
          </w:p>
        </w:tc>
        <w:tc>
          <w:tcPr>
            <w:tcW w:w="198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jc w:val="left"/>
              <w:rPr>
                <w:kern w:val="0"/>
                <w:szCs w:val="24"/>
                <w:lang w:val="en-US" w:eastAsia="zh-CN" w:bidi="ar-SA"/>
              </w:rPr>
            </w:pPr>
            <w:r>
              <w:rPr>
                <w:kern w:val="0"/>
                <w:szCs w:val="24"/>
                <w:lang w:val="en-US" w:eastAsia="zh-CN" w:bidi="ar-SA"/>
              </w:rPr>
              <w:t>Bằng chứng kinh tế và vận hành ngoài mẫu</w:t>
            </w:r>
            <w:bookmarkStart w:id="273" w:name="tab%2525253Ahuong-phat-trien-uu-tien"/>
            <w:bookmarkEnd w:id="273"/>
          </w:p>
        </w:tc>
      </w:tr>
    </w:tbl>
    <w:p>
      <w:pPr>
        <w:pStyle w:val="BodyText"/>
        <w:rPr/>
      </w:pPr>
      <w:r>
        <w:rPr>
          <w:i/>
          <w:iCs/>
        </w:rPr>
        <w:t>Nguồn: Tác giả đề xuất từ các giới hạn của đồ án.</w:t>
      </w:r>
    </w:p>
    <w:p>
      <w:pPr>
        <w:pStyle w:val="BodyText"/>
        <w:rPr/>
      </w:pPr>
      <w:r>
        <w:rPr>
          <w:b w:val="false"/>
          <w:i w:val="false"/>
        </w:rPr>
        <w:t>Lộ trình trên bảo vệ mục tiêu cốt lõi của đề tài. Trước hết cần giảm bất định của bộ sinh cảm xúc, sau đó mới mở rộng phép so sánh kiến trúc, điều kiện thị trường, biểu diễn và phạm vi áp dụng. Đánh giá kinh tế và vận hành trực tuyến được thực hiện cuối cùng vì hai nội dung này yêu cầu dự đoán ngoài mẫu có thời điểm phát hành hợp lệ, giả định giao dịch rõ ràng và một giai đoạn quan sát đủ dài.</w:t>
      </w:r>
    </w:p>
    <w:p>
      <w:pPr>
        <w:pStyle w:val="Heading1"/>
        <w:rPr/>
      </w:pPr>
      <w:bookmarkStart w:id="274" w:name="__RefHeading___Toc11152_2435329662"/>
      <w:bookmarkStart w:id="275" w:name="ch%2525253Aphu-luc"/>
      <w:bookmarkEnd w:id="274"/>
      <w:r>
        <w:rPr>
          <w:rFonts w:eastAsia="Times New Roman" w:cs="Times New Roman" w:ascii="Times New Roman" w:hAnsi="Times New Roman"/>
        </w:rPr>
        <w:t>TÀI LIỆU THAM KHẢO</w:t>
      </w:r>
    </w:p>
    <w:p>
      <w:pPr>
        <w:pStyle w:val="Bibliography"/>
        <w:rPr/>
      </w:pPr>
      <w:r>
        <w:rPr/>
        <w:t xml:space="preserve">[1] </w:t>
        <w:tab/>
        <w:t xml:space="preserve">G. Appel, </w:t>
      </w:r>
      <w:r>
        <w:rPr>
          <w:i/>
          <w:iCs/>
        </w:rPr>
        <w:t>Technical analysis: Power tools for active investors</w:t>
      </w:r>
      <w:r>
        <w:rPr/>
        <w:t>. Financial Times Prentice Hall, 2005.</w:t>
      </w:r>
    </w:p>
    <w:p>
      <w:pPr>
        <w:pStyle w:val="Bibliography"/>
        <w:rPr/>
      </w:pPr>
      <w:r>
        <w:rPr/>
        <w:t xml:space="preserve">[2] </w:t>
        <w:tab/>
        <w:t xml:space="preserve">D. Boyle and J. Kalita, “Spatiotemporal transformer for stock movement prediction,” 2023, Available: </w:t>
      </w:r>
      <w:hyperlink r:id="rId21">
        <w:r>
          <w:rPr>
            <w:rStyle w:val="Hyperlink"/>
          </w:rPr>
          <w:t>https://arxiv.org/abs/2305.03835v1</w:t>
        </w:r>
      </w:hyperlink>
    </w:p>
    <w:p>
      <w:pPr>
        <w:pStyle w:val="Bibliography"/>
        <w:rPr/>
      </w:pPr>
      <w:r>
        <w:rPr/>
        <w:t xml:space="preserve">[3] </w:t>
        <w:tab/>
        <w:t xml:space="preserve">D. Chen, Y. Zou, K. Harimoto, R. Bao, X. Ren, and X. Sun, “Incorporating fine-grained events in stock movement prediction,” in </w:t>
      </w:r>
      <w:r>
        <w:rPr>
          <w:i/>
          <w:iCs/>
        </w:rPr>
        <w:t>Proceedings of the second workshop on economics and natural language processing</w:t>
      </w:r>
      <w:r>
        <w:rPr/>
        <w:t xml:space="preserve">, Hong Kong, 2019, pp. 31–40. Available: </w:t>
      </w:r>
      <w:hyperlink r:id="rId22">
        <w:r>
          <w:rPr>
            <w:rStyle w:val="Hyperlink"/>
          </w:rPr>
          <w:t>https://aclanthology.org/D19-5105/</w:t>
        </w:r>
      </w:hyperlink>
    </w:p>
    <w:p>
      <w:pPr>
        <w:pStyle w:val="Bibliography"/>
        <w:rPr/>
      </w:pPr>
      <w:r>
        <w:rPr/>
        <w:t xml:space="preserve">[4] </w:t>
        <w:tab/>
        <w:t xml:space="preserve">Q. Chen, “Stock movement prediction with financial news using contextualized embedding from BERT,” 2021, Available: </w:t>
      </w:r>
      <w:hyperlink r:id="rId23">
        <w:r>
          <w:rPr>
            <w:rStyle w:val="Hyperlink"/>
          </w:rPr>
          <w:t>https://arxiv.org/abs/2107.08721v1</w:t>
        </w:r>
      </w:hyperlink>
    </w:p>
    <w:p>
      <w:pPr>
        <w:pStyle w:val="Bibliography"/>
        <w:rPr/>
      </w:pPr>
      <w:r>
        <w:rPr/>
        <w:t xml:space="preserve">[5] </w:t>
        <w:tab/>
        <w:t xml:space="preserve">J. Devlin, M.-W. Chang, K. Lee, and K. Toutanova, “BERT: Pre-training of deep bidirectional transformers for language understanding,” in </w:t>
      </w:r>
      <w:r>
        <w:rPr>
          <w:i/>
          <w:iCs/>
        </w:rPr>
        <w:t>Proceedings of NAACL-HLT</w:t>
      </w:r>
      <w:r>
        <w:rPr/>
        <w:t xml:space="preserve">, 2019. Available: </w:t>
      </w:r>
      <w:hyperlink r:id="rId24">
        <w:r>
          <w:rPr>
            <w:rStyle w:val="Hyperlink"/>
          </w:rPr>
          <w:t>https://arxiv.org/abs/1810.04805</w:t>
        </w:r>
      </w:hyperlink>
    </w:p>
    <w:p>
      <w:pPr>
        <w:pStyle w:val="Bibliography"/>
        <w:rPr/>
      </w:pPr>
      <w:r>
        <w:rPr/>
        <w:t xml:space="preserve">[6] </w:t>
        <w:tab/>
        <w:t xml:space="preserve">A. Elahi and F. Taghvaei, “Combining financial data and news articles for stock price movement prediction using large language models,” 2024, Available: </w:t>
      </w:r>
      <w:hyperlink r:id="rId25">
        <w:r>
          <w:rPr>
            <w:rStyle w:val="Hyperlink"/>
          </w:rPr>
          <w:t>https://arxiv.org/abs/2411.01368v1</w:t>
        </w:r>
      </w:hyperlink>
    </w:p>
    <w:p>
      <w:pPr>
        <w:pStyle w:val="Bibliography"/>
        <w:rPr/>
      </w:pPr>
      <w:r>
        <w:rPr/>
        <w:t xml:space="preserve">[7] </w:t>
        <w:tab/>
        <w:t xml:space="preserve">F. Feng, H. Chen, X. He, J. Ding, M. Sun, and T.-S. Chua, “Enhancing stock movement prediction with adversarial training,” in </w:t>
      </w:r>
      <w:r>
        <w:rPr>
          <w:i/>
          <w:iCs/>
        </w:rPr>
        <w:t>Proceedings of the twenty-eighth international joint conference on artificial intelligence (IJCAI)</w:t>
      </w:r>
      <w:r>
        <w:rPr/>
        <w:t xml:space="preserve">, 2019, pp. 5843–5849. doi: </w:t>
      </w:r>
      <w:hyperlink r:id="rId26">
        <w:r>
          <w:rPr>
            <w:rStyle w:val="Hyperlink"/>
          </w:rPr>
          <w:t>10.24963/ijcai.2019/810</w:t>
        </w:r>
      </w:hyperlink>
      <w:r>
        <w:rPr/>
        <w:t>.</w:t>
      </w:r>
    </w:p>
    <w:p>
      <w:pPr>
        <w:pStyle w:val="Bibliography"/>
        <w:rPr/>
      </w:pPr>
      <w:r>
        <w:rPr/>
        <w:t xml:space="preserve">[8] </w:t>
        <w:tab/>
        <w:t xml:space="preserve">W. Gu </w:t>
      </w:r>
      <w:r>
        <w:rPr>
          <w:i/>
          <w:iCs/>
        </w:rPr>
        <w:t>et al.</w:t>
      </w:r>
      <w:r>
        <w:rPr/>
        <w:t xml:space="preserve">, “Predicting stock prices with FinBERT-LSTM: Integrating news sentiment analysis,” 2024, Available: </w:t>
      </w:r>
      <w:hyperlink r:id="rId27">
        <w:r>
          <w:rPr>
            <w:rStyle w:val="Hyperlink"/>
          </w:rPr>
          <w:t>https://arxiv.org/abs/2407.16150v1</w:t>
        </w:r>
      </w:hyperlink>
    </w:p>
    <w:p>
      <w:pPr>
        <w:pStyle w:val="Bibliography"/>
        <w:rPr/>
      </w:pPr>
      <w:r>
        <w:rPr/>
        <w:t xml:space="preserve">[9] </w:t>
        <w:tab/>
        <w:t xml:space="preserve">S. Halder, “FinBERT-LSTM: Deep learning based stock price prediction using news sentiment analysis,” 2022, Available: </w:t>
      </w:r>
      <w:hyperlink r:id="rId28">
        <w:r>
          <w:rPr>
            <w:rStyle w:val="Hyperlink"/>
          </w:rPr>
          <w:t>https://arxiv.org/abs/2211.07392v1</w:t>
        </w:r>
      </w:hyperlink>
    </w:p>
    <w:p>
      <w:pPr>
        <w:pStyle w:val="Bibliography"/>
        <w:rPr/>
      </w:pPr>
      <w:r>
        <w:rPr/>
        <w:t xml:space="preserve">[10] </w:t>
        <w:tab/>
        <w:t xml:space="preserve">S. Hochreiter and J. Schmidhuber, “Long short-term memory,” </w:t>
      </w:r>
      <w:r>
        <w:rPr>
          <w:i/>
          <w:iCs/>
        </w:rPr>
        <w:t>Neural Computation</w:t>
      </w:r>
      <w:r>
        <w:rPr/>
        <w:t>, vol. 9, no. 8, pp. 1735–1780, 1997.</w:t>
      </w:r>
    </w:p>
    <w:p>
      <w:pPr>
        <w:pStyle w:val="Bibliography"/>
        <w:rPr/>
      </w:pPr>
      <w:r>
        <w:rPr/>
        <w:t xml:space="preserve">[11] </w:t>
        <w:tab/>
        <w:t xml:space="preserve">T. Jiang and Q. Zeng, “Financial sentiment analysis using FinBERT with application in predicting stock movement,” 2023, Available: </w:t>
      </w:r>
      <w:hyperlink r:id="rId29">
        <w:r>
          <w:rPr>
            <w:rStyle w:val="Hyperlink"/>
          </w:rPr>
          <w:t>https://arxiv.org/abs/2306.02136v3</w:t>
        </w:r>
      </w:hyperlink>
    </w:p>
    <w:p>
      <w:pPr>
        <w:pStyle w:val="Bibliography"/>
        <w:rPr/>
      </w:pPr>
      <w:r>
        <w:rPr/>
        <w:t xml:space="preserve">[12] </w:t>
        <w:tab/>
        <w:t xml:space="preserve">Y. Liang, Y. Liu, N. Wang, H. Yang, B. Zhang, and C. D. Wang, “FinGPT: Enhancing sentiment-based stock movement prediction with dissemination-aware and context-enriched LLMs,” 2024, Available: </w:t>
      </w:r>
      <w:hyperlink r:id="rId30">
        <w:r>
          <w:rPr>
            <w:rStyle w:val="Hyperlink"/>
          </w:rPr>
          <w:t>https://arxiv.org/abs/2412.10823v2</w:t>
        </w:r>
      </w:hyperlink>
    </w:p>
    <w:p>
      <w:pPr>
        <w:pStyle w:val="Bibliography"/>
        <w:rPr/>
      </w:pPr>
      <w:r>
        <w:rPr/>
        <w:t xml:space="preserve">[13] </w:t>
        <w:tab/>
        <w:t xml:space="preserve">B. Lim, S. Ö. Arık, N. Loeff, and T. Pfister, “Temporal fusion transformers for interpretable multi-horizon time series forecasting,” </w:t>
      </w:r>
      <w:r>
        <w:rPr>
          <w:i/>
          <w:iCs/>
        </w:rPr>
        <w:t>International Journal of Forecasting</w:t>
      </w:r>
      <w:r>
        <w:rPr/>
        <w:t>, vol. 37, no. 4, pp. 1748–1764, 2021.</w:t>
      </w:r>
    </w:p>
    <w:p>
      <w:pPr>
        <w:pStyle w:val="Bibliography"/>
        <w:rPr/>
      </w:pPr>
      <w:r>
        <w:rPr/>
        <w:t xml:space="preserve">[14] </w:t>
        <w:tab/>
        <w:t xml:space="preserve">Z. Liu, P. Duan, M. Geng, and B. Zhang, “A distillation-based future-aware graph neural network for stock trend prediction,” in </w:t>
      </w:r>
      <w:r>
        <w:rPr>
          <w:i/>
          <w:iCs/>
        </w:rPr>
        <w:t>ICASSP 2025 — IEEE international conference on acoustics, speech and signal processing</w:t>
      </w:r>
      <w:r>
        <w:rPr/>
        <w:t xml:space="preserve">, 2025. Available: </w:t>
      </w:r>
      <w:hyperlink r:id="rId31">
        <w:r>
          <w:rPr>
            <w:rStyle w:val="Hyperlink"/>
          </w:rPr>
          <w:t>https://ieeexplore.ieee.org/document/10889901/</w:t>
        </w:r>
      </w:hyperlink>
    </w:p>
    <w:p>
      <w:pPr>
        <w:pStyle w:val="Bibliography"/>
        <w:rPr/>
      </w:pPr>
      <w:r>
        <w:rPr/>
        <w:t xml:space="preserve">[15] </w:t>
        <w:tab/>
        <w:t>Y. Lu, K. Hu, and L. Zhang, “S</w:t>
      </w:r>
      <w:r>
        <w:rPr/>
      </w:r>
      <m:oMath xmlns:m="http://schemas.openxmlformats.org/officeDocument/2006/math">
        <m:sSup>
          <m:e/>
          <m:sup>
            <m:r>
              <w:rPr>
                <w:rFonts w:ascii="Cambria Math" w:hAnsi="Cambria Math"/>
              </w:rPr>
              <m:t xml:space="preserve">3</m:t>
            </m:r>
          </m:sup>
        </m:sSup>
      </m:oMath>
      <w:r>
        <w:rPr/>
        <w:t xml:space="preserve">g: Stock state space graph for enhanced stock trend prediction,” 2026, Available: </w:t>
      </w:r>
      <w:hyperlink r:id="rId32">
        <w:r>
          <w:rPr>
            <w:rStyle w:val="Hyperlink"/>
          </w:rPr>
          <w:t>https://arxiv.org/abs/2603.24236v1</w:t>
        </w:r>
      </w:hyperlink>
    </w:p>
    <w:p>
      <w:pPr>
        <w:pStyle w:val="Bibliography"/>
        <w:rPr/>
      </w:pPr>
      <w:r>
        <w:rPr/>
        <w:t xml:space="preserve">[16] </w:t>
        <w:tab/>
        <w:t xml:space="preserve">D. Q. Nguyen and A. T. Nguyen, “PhoBERT: Pre-trained language models for Vietnamese,” in </w:t>
      </w:r>
      <w:r>
        <w:rPr>
          <w:i/>
          <w:iCs/>
        </w:rPr>
        <w:t>Findings of the association for computational linguistics: EMNLP 2020</w:t>
      </w:r>
      <w:r>
        <w:rPr/>
        <w:t xml:space="preserve">, 2020, pp. 1037–1042. doi: </w:t>
      </w:r>
      <w:hyperlink r:id="rId33">
        <w:r>
          <w:rPr>
            <w:rStyle w:val="Hyperlink"/>
          </w:rPr>
          <w:t>10.18653/v1/2020.findings-emnlp.92</w:t>
        </w:r>
      </w:hyperlink>
      <w:r>
        <w:rPr/>
        <w:t>.</w:t>
      </w:r>
    </w:p>
    <w:p>
      <w:pPr>
        <w:pStyle w:val="Bibliography"/>
        <w:rPr/>
      </w:pPr>
      <w:r>
        <w:rPr/>
        <w:t xml:space="preserve">[17] </w:t>
        <w:tab/>
        <w:t xml:space="preserve">S. Omranpour, G. Rabusseau, and R. Rabbany, “Higher order transformers: Enhancing stock movement prediction on multimodal time-series data,” 2024, Available: </w:t>
      </w:r>
      <w:hyperlink r:id="rId34">
        <w:r>
          <w:rPr>
            <w:rStyle w:val="Hyperlink"/>
          </w:rPr>
          <w:t>https://arxiv.org/abs/2412.10540v1</w:t>
        </w:r>
      </w:hyperlink>
    </w:p>
    <w:p>
      <w:pPr>
        <w:pStyle w:val="Bibliography"/>
        <w:rPr/>
      </w:pPr>
      <w:r>
        <w:rPr/>
        <w:t xml:space="preserve">[18] </w:t>
        <w:tab/>
        <w:t xml:space="preserve">W. Siala, A. Khanfir, and M. Papadakis, “Impact of LLMs news sentiment analysis on stock price movement prediction,” 2026, Available: </w:t>
      </w:r>
      <w:hyperlink r:id="rId35">
        <w:r>
          <w:rPr>
            <w:rStyle w:val="Hyperlink"/>
          </w:rPr>
          <w:t>https://arxiv.org/abs/2602.00086v3</w:t>
        </w:r>
      </w:hyperlink>
    </w:p>
    <w:p>
      <w:pPr>
        <w:pStyle w:val="Bibliography"/>
        <w:rPr/>
      </w:pPr>
      <w:r>
        <w:rPr/>
        <w:t xml:space="preserve">[19] </w:t>
        <w:tab/>
        <w:t xml:space="preserve">A. Vaswani </w:t>
      </w:r>
      <w:r>
        <w:rPr>
          <w:i/>
          <w:iCs/>
        </w:rPr>
        <w:t>et al.</w:t>
      </w:r>
      <w:r>
        <w:rPr/>
        <w:t xml:space="preserve">, “Attention is all you need,” in </w:t>
      </w:r>
      <w:r>
        <w:rPr>
          <w:i/>
          <w:iCs/>
        </w:rPr>
        <w:t>Advances in neural information processing systems (NeurIPS)</w:t>
      </w:r>
      <w:r>
        <w:rPr/>
        <w:t xml:space="preserve">, 2017. Available: </w:t>
      </w:r>
      <w:hyperlink r:id="rId36">
        <w:r>
          <w:rPr>
            <w:rStyle w:val="Hyperlink"/>
          </w:rPr>
          <w:t>https://arxiv.org/abs/1706.03762</w:t>
        </w:r>
      </w:hyperlink>
    </w:p>
    <w:p>
      <w:pPr>
        <w:pStyle w:val="Bibliography"/>
        <w:rPr/>
      </w:pPr>
      <w:r>
        <w:rPr/>
        <w:t xml:space="preserve">[20] </w:t>
        <w:tab/>
        <w:t xml:space="preserve">M. Wang, J. Tian, M. Zhang, J. Guo, and W. Jia, “MTMD: Multi-scale temporal memory learning and efficient debiasing framework for stock trend forecasting,” </w:t>
      </w:r>
      <w:r>
        <w:rPr>
          <w:i/>
          <w:iCs/>
        </w:rPr>
        <w:t>IEEE Transactions on Emerging Topics in Computational Intelligence</w:t>
      </w:r>
      <w:r>
        <w:rPr/>
        <w:t xml:space="preserve">, 2025, Available: </w:t>
      </w:r>
      <w:hyperlink r:id="rId37">
        <w:r>
          <w:rPr>
            <w:rStyle w:val="Hyperlink"/>
          </w:rPr>
          <w:t>https://ieeexplore.ieee.org/document/10906481/</w:t>
        </w:r>
      </w:hyperlink>
    </w:p>
    <w:p>
      <w:pPr>
        <w:pStyle w:val="Bibliography"/>
        <w:rPr/>
      </w:pPr>
      <w:r>
        <w:rPr/>
        <w:t xml:space="preserve">[21] </w:t>
        <w:tab/>
        <w:t xml:space="preserve">J. W. Wilder, </w:t>
      </w:r>
      <w:r>
        <w:rPr>
          <w:i/>
          <w:iCs/>
        </w:rPr>
        <w:t>New concepts in technical trading systems</w:t>
      </w:r>
      <w:r>
        <w:rPr/>
        <w:t>. Trend Research, 1978.</w:t>
      </w:r>
    </w:p>
    <w:p>
      <w:pPr>
        <w:pStyle w:val="Bibliography"/>
        <w:rPr/>
      </w:pPr>
      <w:r>
        <w:rPr/>
        <w:t xml:space="preserve">[22] </w:t>
        <w:tab/>
        <w:t xml:space="preserve">W. Xu </w:t>
      </w:r>
      <w:r>
        <w:rPr>
          <w:i/>
          <w:iCs/>
        </w:rPr>
        <w:t>et al.</w:t>
      </w:r>
      <w:r>
        <w:rPr/>
        <w:t xml:space="preserve">, “HIST: A graph-based framework for stock trend forecasting via mining concept-oriented shared information,” 2021, Available: </w:t>
      </w:r>
      <w:hyperlink r:id="rId38">
        <w:r>
          <w:rPr>
            <w:rStyle w:val="Hyperlink"/>
          </w:rPr>
          <w:t>https://arxiv.org/abs/2110.13716v2</w:t>
        </w:r>
      </w:hyperlink>
    </w:p>
    <w:p>
      <w:pPr>
        <w:pStyle w:val="Bibliography"/>
        <w:rPr/>
      </w:pPr>
      <w:r>
        <w:rPr/>
        <w:t xml:space="preserve">[23] </w:t>
        <w:tab/>
        <w:t xml:space="preserve">W. Xu, W. Liu, C. Xu, J. Bian, J. Yin, and T.-Y. Liu, “REST: Relational event-driven stock trend forecasting,” in </w:t>
      </w:r>
      <w:r>
        <w:rPr>
          <w:i/>
          <w:iCs/>
        </w:rPr>
        <w:t>Proceedings of the web conference 2021 (WWW)</w:t>
      </w:r>
      <w:r>
        <w:rPr/>
        <w:t xml:space="preserve">, 2021. doi: </w:t>
      </w:r>
      <w:hyperlink r:id="rId39">
        <w:r>
          <w:rPr>
            <w:rStyle w:val="Hyperlink"/>
          </w:rPr>
          <w:t>10.1145/3442381.3450032</w:t>
        </w:r>
      </w:hyperlink>
      <w:r>
        <w:rPr/>
        <w:t>.</w:t>
      </w:r>
    </w:p>
    <w:p>
      <w:pPr>
        <w:pStyle w:val="Bibliography"/>
        <w:rPr/>
      </w:pPr>
      <w:r>
        <w:rPr/>
        <w:t xml:space="preserve">[24] </w:t>
        <w:tab/>
        <w:t xml:space="preserve">Y. Yang, M. C. S. UY, and A. Huang, “FinBERT: A pretrained language model for financial communications,” 2020, Available: </w:t>
      </w:r>
      <w:hyperlink r:id="rId40">
        <w:r>
          <w:rPr>
            <w:rStyle w:val="Hyperlink"/>
          </w:rPr>
          <w:t>https://arxiv.org/abs/2006.08097v2</w:t>
        </w:r>
      </w:hyperlink>
    </w:p>
    <w:p>
      <w:pPr>
        <w:pStyle w:val="Bibliography"/>
        <w:rPr/>
      </w:pPr>
      <w:r>
        <w:rPr/>
        <w:t xml:space="preserve">[25] </w:t>
        <w:tab/>
        <w:t xml:space="preserve">L. Zhao, S. Kong, and Y. Shen, “DoubleAdapt: A meta-learning approach to incremental learning for stock trend forecasting,” in </w:t>
      </w:r>
      <w:r>
        <w:rPr>
          <w:i/>
          <w:iCs/>
        </w:rPr>
        <w:t>Proceedings of the 29th ACM SIGKDD conference on knowledge discovery and data mining (KDD)</w:t>
      </w:r>
      <w:r>
        <w:rPr/>
        <w:t xml:space="preserve">, 2023, pp. 3492–3503. doi: </w:t>
      </w:r>
      <w:hyperlink r:id="rId41">
        <w:r>
          <w:rPr>
            <w:rStyle w:val="Hyperlink"/>
          </w:rPr>
          <w:t>10.1145/3580305.3599315</w:t>
        </w:r>
      </w:hyperlink>
      <w:r>
        <w:rPr/>
        <w:t>.</w:t>
      </w:r>
    </w:p>
    <w:p>
      <w:pPr>
        <w:pStyle w:val="Heading1"/>
        <w:rPr/>
      </w:pPr>
      <w:bookmarkStart w:id="276" w:name="__RefHeading___Toc11154_2435329662"/>
      <w:bookmarkEnd w:id="276"/>
      <w:r>
        <w:rPr>
          <w:rFonts w:eastAsia="Times New Roman" w:cs="Times New Roman" w:ascii="Times New Roman" w:hAnsi="Times New Roman"/>
        </w:rPr>
        <w:t>PHỤ LỤC A</w:t>
      </w:r>
    </w:p>
    <w:p>
      <w:pPr>
        <w:pStyle w:val="Heading2"/>
        <w:rPr/>
      </w:pPr>
      <w:bookmarkStart w:id="277" w:name="__RefHeading___Toc11156_2435329662"/>
      <w:bookmarkStart w:id="278" w:name="X43d9dcf0f70a95a084d4d24c3fcc767f25084a9"/>
      <w:bookmarkEnd w:id="277"/>
      <w:r>
        <w:rPr>
          <w:rFonts w:eastAsia="Times New Roman" w:cs="Times New Roman" w:ascii="Times New Roman" w:hAnsi="Times New Roman"/>
        </w:rPr>
        <w:t>A.1. Hướng dẫn gán nhãn cảm xúc trong miền dữ liệu</w:t>
      </w:r>
    </w:p>
    <w:p>
      <w:pPr>
        <w:pStyle w:val="FirstParagraph"/>
        <w:rPr/>
      </w:pPr>
      <w:r>
        <w:rPr/>
        <w:t>Tập dữ liệu trong miền được gán một trong ba nhãn NEGATIVE, NEUTRAL và POSITIVE. Nhãn phản ánh tác động kỳ vọng của nội dung đối với doanh nghiệp hoặc mã cổ phiếu liên quan, thay vì chỉ phản ánh sắc thái của từng câu riêng lẻ. Người gán nhãn phải đọc tiêu đề và phần nội dung hiện có, ghi nhận các trường hợp chứa nhiều sự kiện hoặc có hướng tác động không rõ ràng, đồng thời không suy luận nhãn dựa trên biến động giá xảy ra sau thời điểm đăng bài.</w:t>
      </w:r>
    </w:p>
    <w:p>
      <w:pPr>
        <w:pStyle w:val="BodyText"/>
        <w:rPr/>
      </w:pPr>
      <w:r>
        <w:rPr/>
        <w:t>Các mẫu được mô hình gán nhãn sơ bộ, sau đó được một người rà soát toàn bộ. Báo cáo cuối phải trình bày số người rà soát, số mẫu hợp lệ, phân bố của ba lớp, số mẫu cần chỉnh sửa và nguyên tắc xử lý các mẫu khó. Do chỉ có một người rà soát, Cohen’s kappa và Fleiss’ kappa không được tính.</w:t>
      </w:r>
      <w:bookmarkEnd w:id="278"/>
    </w:p>
    <w:p>
      <w:pPr>
        <w:pStyle w:val="Heading2"/>
        <w:rPr/>
      </w:pPr>
      <w:bookmarkStart w:id="279" w:name="__RefHeading___Toc11158_2435329662"/>
      <w:bookmarkStart w:id="280" w:name="hồ-sơ-thiết-kế-hệ-thống"/>
      <w:bookmarkEnd w:id="279"/>
      <w:r>
        <w:rPr>
          <w:rFonts w:eastAsia="Times New Roman" w:cs="Times New Roman" w:ascii="Times New Roman" w:hAnsi="Times New Roman"/>
        </w:rPr>
        <w:t>A.2. Hồ sơ thiết kế hệ thống</w:t>
      </w:r>
    </w:p>
    <w:p>
      <w:pPr>
        <w:pStyle w:val="Heading3"/>
        <w:rPr/>
      </w:pPr>
      <w:bookmarkStart w:id="281" w:name="__RefHeading___Toc11160_2435329662"/>
      <w:bookmarkStart w:id="282" w:name="tác-nhân-và-chức-năng"/>
      <w:bookmarkEnd w:id="281"/>
      <w:r>
        <w:rPr>
          <w:rFonts w:eastAsia="Times New Roman" w:cs="Times New Roman"/>
        </w:rPr>
        <w:t>A.2.1. Tác nhân và chức năng</w:t>
      </w:r>
    </w:p>
    <w:p>
      <w:pPr>
        <w:pStyle w:val="FirstParagraph"/>
        <w:rPr/>
      </w:pPr>
      <w:r>
        <w:rPr/>
        <w:t>Hệ thống có một tác nhân chính là người nghiên cứu. Người nghiên cứu cung cấp dữ liệu, khóa cấu hình và kiểm tra các báo cáo được tạo từ quy trình. Các chức năng chính bao gồm:</w:t>
      </w:r>
    </w:p>
    <w:p>
      <w:pPr>
        <w:pStyle w:val="Normal"/>
        <w:numPr>
          <w:ilvl w:val="0"/>
          <w:numId w:val="1"/>
        </w:numPr>
        <w:rPr/>
      </w:pPr>
      <w:r>
        <w:rPr/>
        <w:t>Thu thập và kiểm tra dữ liệu tin tức và dữ liệu giá;</w:t>
      </w:r>
    </w:p>
    <w:p>
      <w:pPr>
        <w:pStyle w:val="Normal"/>
        <w:numPr>
          <w:ilvl w:val="0"/>
          <w:numId w:val="1"/>
        </w:numPr>
        <w:rPr/>
      </w:pPr>
      <w:r>
        <w:rPr/>
        <w:t>Chuẩn hóa văn bản, loại bỏ bản ghi trùng, đồng thời lưu nguồn gốc và khả năng truy xuất;</w:t>
      </w:r>
    </w:p>
    <w:p>
      <w:pPr>
        <w:pStyle w:val="Normal"/>
        <w:numPr>
          <w:ilvl w:val="0"/>
          <w:numId w:val="1"/>
        </w:numPr>
        <w:rPr/>
      </w:pPr>
      <w:r>
        <w:rPr/>
        <w:t>Gán tin tức với mã cổ phiếu và phiên giao dịch theo mốc cắt;</w:t>
      </w:r>
    </w:p>
    <w:p>
      <w:pPr>
        <w:pStyle w:val="Normal"/>
        <w:numPr>
          <w:ilvl w:val="0"/>
          <w:numId w:val="1"/>
        </w:numPr>
        <w:rPr/>
      </w:pPr>
      <w:r>
        <w:rPr/>
        <w:t>Suy luận xác suất của ba lớp cảm xúc bằng PhoBERT;</w:t>
      </w:r>
    </w:p>
    <w:p>
      <w:pPr>
        <w:pStyle w:val="Normal"/>
        <w:numPr>
          <w:ilvl w:val="0"/>
          <w:numId w:val="1"/>
        </w:numPr>
        <w:rPr/>
      </w:pPr>
      <w:r>
        <w:rPr/>
        <w:t>Tạo đặc trưng theo mã và ngày, sau đó huấn luyện mô hình dự báo;</w:t>
      </w:r>
    </w:p>
    <w:p>
      <w:pPr>
        <w:pStyle w:val="Normal"/>
        <w:numPr>
          <w:ilvl w:val="0"/>
          <w:numId w:val="1"/>
        </w:numPr>
        <w:rPr/>
      </w:pPr>
      <w:r>
        <w:rPr/>
        <w:t>Đánh giá theo thứ tự thời gian và xuất bản kê, chỉ số và biểu đồ.</w:t>
      </w:r>
      <w:bookmarkEnd w:id="282"/>
    </w:p>
    <w:p>
      <w:pPr>
        <w:pStyle w:val="Heading3"/>
        <w:rPr/>
      </w:pPr>
      <w:bookmarkStart w:id="283" w:name="__RefHeading___Toc11162_2435329662"/>
      <w:bookmarkStart w:id="284" w:name="sơ-đồ-luồng-xử-lý"/>
      <w:bookmarkEnd w:id="283"/>
      <w:r>
        <w:rPr>
          <w:rFonts w:eastAsia="Times New Roman" w:cs="Times New Roman"/>
        </w:rPr>
        <w:t>A.2.2. Sơ đồ luồng xử lý</w:t>
      </w:r>
    </w:p>
    <w:p>
      <w:pPr>
        <w:pStyle w:val="FirstParagraph"/>
        <w:rPr/>
      </w:pPr>
      <w:r>
        <w:rPr/>
        <w:t>Sơ đồ dưới đây trình bày luồng xử lý của hệ thống. Khối đánh giá chấm mỗi đoạn kiểm thử cuốn chiếu đúng một lần cùng bản kê của lần chạy. Cấu hình không được điều chỉnh hồi cứu dựa trên kết quả của các đoạn kiểm thử.</w:t>
      </w:r>
    </w:p>
    <w:p>
      <w:pPr>
        <w:pStyle w:val="CaptionedFigure"/>
        <w:rPr/>
      </w:pPr>
      <w:bookmarkStart w:id="285" w:name="fig%2525253Aphu-luc-luong-xu-ly"/>
      <w:r>
        <w:rPr/>
        <w:drawing>
          <wp:inline distT="0" distB="0" distL="0" distR="0">
            <wp:extent cx="3956685" cy="34550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2"/>
                    <a:stretch>
                      <a:fillRect/>
                    </a:stretch>
                  </pic:blipFill>
                  <pic:spPr bwMode="auto">
                    <a:xfrm>
                      <a:off x="0" y="0"/>
                      <a:ext cx="3956685" cy="3455035"/>
                    </a:xfrm>
                    <a:prstGeom prst="rect">
                      <a:avLst/>
                    </a:prstGeom>
                    <a:noFill/>
                  </pic:spPr>
                </pic:pic>
              </a:graphicData>
            </a:graphic>
          </wp:inline>
        </w:drawing>
      </w:r>
    </w:p>
    <w:p>
      <w:pPr>
        <w:pStyle w:val="ImageCaption"/>
        <w:rPr/>
      </w:pPr>
      <w:r>
        <w:rPr>
          <w:b/>
        </w:rPr>
        <w:t xml:space="preserve">Hình A.1: </w:t>
      </w:r>
      <w:r>
        <w:rPr/>
        <w:t>Sơ đồ luồng xử lý và báo cáo kết quả của hệ thống.</w:t>
      </w:r>
      <w:bookmarkEnd w:id="285"/>
    </w:p>
    <w:p>
      <w:pPr>
        <w:pStyle w:val="BodyText"/>
        <w:rPr/>
      </w:pPr>
      <w:r>
        <w:rPr>
          <w:i/>
          <w:iCs/>
        </w:rPr>
        <w:t>Nguồn: Tác giả xây dựng.</w:t>
      </w:r>
      <w:bookmarkEnd w:id="284"/>
    </w:p>
    <w:p>
      <w:pPr>
        <w:pStyle w:val="Heading3"/>
        <w:rPr/>
      </w:pPr>
      <w:bookmarkStart w:id="286" w:name="__RefHeading___Toc11164_2435329662"/>
      <w:bookmarkStart w:id="287" w:name="các-mô-đun-chính"/>
      <w:bookmarkEnd w:id="286"/>
      <w:r>
        <w:rPr>
          <w:rFonts w:eastAsia="Times New Roman" w:cs="Times New Roman"/>
        </w:rPr>
        <w:t>A.2.3. Các mô-đun chính</w:t>
      </w:r>
    </w:p>
    <w:p>
      <w:pPr>
        <w:pStyle w:val="FirstParagraph"/>
        <w:rPr/>
      </w:pPr>
      <w:r>
        <w:rPr/>
        <w:t>Đọc và chuẩn hóa dữ liệu tin tức, đồng thời xử lý mốc thời gian, tiêu đề, nội dung và URL.</w:t>
      </w:r>
    </w:p>
    <w:p>
      <w:pPr>
        <w:pStyle w:val="BodyText"/>
        <w:rPr/>
      </w:pPr>
      <w:r>
        <w:rPr/>
        <w:t>Đọc chuỗi giá OHLCV theo mã cổ phiếu và kiểm tra mức độ bao phủ của lịch giao dịch.</w:t>
      </w:r>
    </w:p>
    <w:p>
      <w:pPr>
        <w:pStyle w:val="BodyText"/>
        <w:rPr/>
      </w:pPr>
      <w:r>
        <w:rPr/>
        <w:t xml:space="preserve">Đọc tập dữ liệu có nhãn, chuẩn hóa nhãn về ba lớp và tạo các tập huấn luyện, xác thực và kiểm thử theo ngày. Việc chia dữ liệu theo thời gian yêu cầu cột </w:t>
      </w:r>
      <w:r>
        <w:rPr>
          <w:rStyle w:val="VerbatimChar"/>
        </w:rPr>
        <w:t>date</w:t>
      </w:r>
      <w:r>
        <w:rPr/>
        <w:t xml:space="preserve"> hoặc </w:t>
      </w:r>
      <w:r>
        <w:rPr>
          <w:rStyle w:val="VerbatimChar"/>
        </w:rPr>
        <w:t>published_at</w:t>
      </w:r>
      <w:r>
        <w:rPr/>
        <w:t xml:space="preserve"> hợp lệ và báo lỗi nếu thiếu.</w:t>
      </w:r>
    </w:p>
    <w:p>
      <w:pPr>
        <w:pStyle w:val="BodyText"/>
        <w:rPr/>
      </w:pPr>
      <w:r>
        <w:rPr/>
        <w:t>Tinh chỉnh PhoBERT, lưu điểm kiểm và sinh xác suất cảm xúc cho ba lớp.</w:t>
      </w:r>
    </w:p>
    <w:p>
      <w:pPr>
        <w:pStyle w:val="BodyText"/>
        <w:rPr/>
      </w:pPr>
      <w:r>
        <w:rPr/>
        <w:t>Tính F1 vĩ mô cố định trên ba lớp và các chỉ số theo từng lớp.</w:t>
      </w:r>
      <w:bookmarkEnd w:id="280"/>
      <w:bookmarkEnd w:id="287"/>
    </w:p>
    <w:p>
      <w:pPr>
        <w:pStyle w:val="Heading2"/>
        <w:rPr/>
      </w:pPr>
      <w:bookmarkStart w:id="288" w:name="__RefHeading___Toc11166_2435329662"/>
      <w:bookmarkStart w:id="289" w:name="cấu-hình-tái-lập"/>
      <w:bookmarkEnd w:id="288"/>
      <w:r>
        <w:rPr>
          <w:rFonts w:eastAsia="Times New Roman" w:cs="Times New Roman" w:ascii="Times New Roman" w:hAnsi="Times New Roman"/>
        </w:rPr>
        <w:t>A.3. Cấu hình tái lập</w:t>
      </w:r>
    </w:p>
    <w:p>
      <w:pPr>
        <w:pStyle w:val="FirstParagraph"/>
        <w:rPr/>
      </w:pPr>
      <w:r>
        <w:rPr/>
        <w:t xml:space="preserve">Bản chụp dữ liệu đầu vào gồm </w:t>
      </w:r>
      <w:r>
        <w:rPr>
          <w:rStyle w:val="VerbatimChar"/>
        </w:rPr>
        <w:t>data/raw/news/articles.parquet</w:t>
      </w:r>
      <w:r>
        <w:rPr/>
        <w:t xml:space="preserve"> chứa dữ liệu tin tức, </w:t>
      </w:r>
      <w:r>
        <w:rPr>
          <w:rStyle w:val="VerbatimChar"/>
        </w:rPr>
        <w:t>data/raw/news/listings.parquet</w:t>
      </w:r>
      <w:r>
        <w:rPr/>
        <w:t xml:space="preserve"> chứa liên kết giữa tin tức và mã, các tệp giá theo mã trong </w:t>
      </w:r>
      <w:r>
        <w:rPr>
          <w:rStyle w:val="VerbatimChar"/>
        </w:rPr>
        <w:t>data/raw/prices/</w:t>
      </w:r>
      <w:r>
        <w:rPr/>
        <w:t xml:space="preserve">, cùng dữ liệu nhãn trong </w:t>
      </w:r>
      <w:r>
        <w:rPr>
          <w:rStyle w:val="VerbatimChar"/>
        </w:rPr>
        <w:t>data/labeled/</w:t>
      </w:r>
      <w:r>
        <w:rPr/>
        <w:t>. Mỗi lần chạy cần lưu phiên bản mã nguồn, phiên bản thư viện, hạt giống, điểm kiểm, mốc cắt, phạm vi ngày, danh sách mã, mã băm dữ liệu và các tham số huấn luyện. Bản kê được sử dụng làm nguồn đối chiếu chính cho mọi số liệu trình bày trong phần kết quả thực nghiệm.</w:t>
      </w:r>
    </w:p>
    <w:p>
      <w:pPr>
        <w:pStyle w:val="BodyText"/>
        <w:rPr/>
      </w:pPr>
      <w:r>
        <w:rPr/>
        <w:t>Quá trình tiền xử lý chỉ được ước lượng trên tập huấn luyện của từng cửa sổ. Mỗi đoạn kiểm thử chỉ được truy cập khi báo cáo chỉ số của chính đoạn đó; nghiên cứu không sử dụng một tập giữ lại cuối tách riêng. Khi thay đổi nguồn dữ liệu, mốc cắt, ngưỡng tạo nhãn hoặc phương pháp chia tập, phải tạo bản kê mới và không gộp kết quả giữa hai cấu hình.</w:t>
      </w:r>
      <w:bookmarkEnd w:id="289"/>
    </w:p>
    <w:p>
      <w:pPr>
        <w:pStyle w:val="Heading2"/>
        <w:rPr/>
      </w:pPr>
      <w:bookmarkStart w:id="290" w:name="__RefHeading___Toc11168_2435329662"/>
      <w:bookmarkStart w:id="291" w:name="cài-đặt-và-chạy-hệ-thống"/>
      <w:bookmarkEnd w:id="290"/>
      <w:r>
        <w:rPr>
          <w:rFonts w:eastAsia="Times New Roman" w:cs="Times New Roman" w:ascii="Times New Roman" w:hAnsi="Times New Roman"/>
        </w:rPr>
        <w:t>A.4. Cài đặt và chạy hệ thống</w:t>
      </w:r>
    </w:p>
    <w:p>
      <w:pPr>
        <w:pStyle w:val="FirstParagraph"/>
        <w:rPr/>
      </w:pPr>
      <w:r>
        <w:rPr/>
        <w:t xml:space="preserve">Môi trường được quản lý bằng </w:t>
      </w:r>
      <w:r>
        <w:rPr>
          <w:rStyle w:val="VerbatimChar"/>
        </w:rPr>
        <w:t>uv</w:t>
      </w:r>
      <w:r>
        <w:rPr/>
        <w:t xml:space="preserve"> và yêu cầu Python phiên bản 3.12 trở lên. Các lệnh kiểm tra ngoại tuyến tối thiểu gồm:</w:t>
      </w:r>
    </w:p>
    <w:p>
      <w:pPr>
        <w:pStyle w:val="SourceCode"/>
        <w:rPr/>
      </w:pPr>
      <w:r>
        <w:rPr>
          <w:rStyle w:val="VerbatimChar"/>
        </w:rPr>
        <w:t>uv sync</w:t>
      </w:r>
      <w:r>
        <w:rPr/>
        <w:br/>
      </w:r>
      <w:r>
        <w:rPr>
          <w:rStyle w:val="VerbatimChar"/>
        </w:rPr>
        <w:t>uv run python -m stf.cli verify</w:t>
      </w:r>
      <w:r>
        <w:rPr/>
        <w:br/>
      </w:r>
      <w:r>
        <w:rPr>
          <w:rStyle w:val="VerbatimChar"/>
        </w:rPr>
        <w:t>uv run python -m stf.cli sentiment-smoke --n 60</w:t>
      </w:r>
    </w:p>
    <w:p>
      <w:pPr>
        <w:pStyle w:val="FirstParagraph"/>
        <w:rPr/>
      </w:pPr>
      <w:r>
        <w:rPr/>
        <w:t xml:space="preserve">Quá trình huấn luyện PhoBERT yêu cầu tệp nhãn hoàn chỉnh, bao gồm các cột </w:t>
      </w:r>
      <w:r>
        <w:rPr>
          <w:rStyle w:val="VerbatimChar"/>
        </w:rPr>
        <w:t>text</w:t>
      </w:r>
      <w:r>
        <w:rPr/>
        <w:t xml:space="preserve"> và </w:t>
      </w:r>
      <w:r>
        <w:rPr>
          <w:rStyle w:val="VerbatimChar"/>
        </w:rPr>
        <w:t>label</w:t>
      </w:r>
      <w:r>
        <w:rPr/>
        <w:t>. Do đó, quá trình này chỉ được thực hiện sau khi hướng dẫn gán nhãn đã được khóa và bản kê tương ứng đã được lưu. Việc huấn luyện chính thức nên được tiến hành trên GPU; tên GPU, thời gian chạy và điểm kiểm phải được lưu cùng với kết quả.</w:t>
      </w:r>
      <w:bookmarkEnd w:id="291"/>
    </w:p>
    <w:p>
      <w:pPr>
        <w:pStyle w:val="Heading2"/>
        <w:rPr/>
      </w:pPr>
      <w:bookmarkStart w:id="292" w:name="__RefHeading___Toc11170_2435329662"/>
      <w:bookmarkStart w:id="293" w:name="mã-nguồn"/>
      <w:bookmarkEnd w:id="292"/>
      <w:r>
        <w:rPr>
          <w:rFonts w:eastAsia="Times New Roman" w:cs="Times New Roman" w:ascii="Times New Roman" w:hAnsi="Times New Roman"/>
        </w:rPr>
        <w:t>A.5. Mã nguồn</w:t>
      </w:r>
    </w:p>
    <w:p>
      <w:pPr>
        <w:pStyle w:val="FirstParagraph"/>
        <w:rPr/>
      </w:pPr>
      <w:r>
        <w:rPr/>
        <w:t xml:space="preserve">Mã nguồn của hệ thống được tổ chức trong gói </w:t>
      </w:r>
      <w:r>
        <w:rPr>
          <w:rStyle w:val="VerbatimChar"/>
        </w:rPr>
        <w:t>stf</w:t>
      </w:r>
      <w:r>
        <w:rPr/>
        <w:t xml:space="preserve"> thuộc kho mã nguồn của đề tài. Các mô-đun thu thập dữ liệu, xử lý cảm xúc, đánh giá và giao diện dòng lệnh được lưu trong thư mục </w:t>
      </w:r>
      <w:r>
        <w:rPr>
          <w:rStyle w:val="VerbatimChar"/>
        </w:rPr>
        <w:t>src/stf/</w:t>
      </w:r>
      <w:r>
        <w:rPr/>
        <w:t xml:space="preserve">. Notebook dùng để huấn luyện trên GPU và hướng dẫn thực thi được lưu trong thư mục </w:t>
      </w:r>
      <w:r>
        <w:rPr>
          <w:rStyle w:val="VerbatimChar"/>
        </w:rPr>
        <w:t>notebooks/</w:t>
      </w:r>
      <w:r>
        <w:rPr/>
        <w:t>. Phụ lục này trình bày giao diện và luồng xử lý; các kết quả định lượng chỉ được xác nhận dựa trên sản phẩm đầu ra của một lần chạy có bản kê.</w:t>
      </w:r>
      <w:bookmarkStart w:id="294" w:name="refs"/>
      <w:bookmarkStart w:id="295" w:name="ref-Zhao2023_230609862v3"/>
      <w:bookmarkStart w:id="296" w:name="ref-Yang2020_200608097v2"/>
      <w:bookmarkStart w:id="297" w:name="ref-Xu2021_210207372v2"/>
      <w:bookmarkStart w:id="298" w:name="ref-Xu2021_211013716v2"/>
      <w:bookmarkStart w:id="299" w:name="ref-Wilder1978_rsi"/>
      <w:bookmarkStart w:id="300" w:name="ref-Wang2022_221208656v2"/>
      <w:bookmarkStart w:id="301" w:name="ref-Vaswani2017_attention"/>
      <w:bookmarkStart w:id="302" w:name="ref-Siala2026_260200086v3"/>
      <w:bookmarkStart w:id="303" w:name="ref-Omranpour2024_241210540v1"/>
      <w:bookmarkStart w:id="304" w:name="ref-Nguyen2020_200300744v3"/>
      <w:bookmarkStart w:id="305" w:name="ref-Lu2026_260324236v1"/>
      <w:bookmarkStart w:id="306" w:name="ref-Liu2025_250210776v1"/>
      <w:bookmarkStart w:id="307" w:name="ref-Appel2005_macd"/>
      <w:bookmarkStart w:id="308" w:name="ref-Boyle2023_230503835v1"/>
      <w:bookmarkStart w:id="309" w:name="ref-Chen2019_191005078v1"/>
      <w:bookmarkStart w:id="310" w:name="ref-Chen2021_210708721v1"/>
      <w:bookmarkStart w:id="311" w:name="ref-Devlin2019_bert"/>
      <w:bookmarkStart w:id="312" w:name="ref-Elahi2024_241101368v1"/>
      <w:bookmarkStart w:id="313" w:name="ref-Feng2018_181009936v2"/>
      <w:bookmarkStart w:id="314" w:name="ref-Gu2024_240716150v1"/>
      <w:bookmarkStart w:id="315" w:name="ref-Halder2022_221107392v1"/>
      <w:bookmarkStart w:id="316" w:name="ref-Hochreiter1997_lstm"/>
      <w:bookmarkStart w:id="317" w:name="ref-Jiang2023_230602136v3"/>
      <w:bookmarkStart w:id="318" w:name="ref-Liang2024_241210823v2"/>
      <w:bookmarkStart w:id="319" w:name="ref-Lim2021_tft"/>
      <w:bookmarkEnd w:id="275"/>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sectPr>
      <w:headerReference w:type="even" r:id="rId43"/>
      <w:headerReference w:type="default" r:id="rId44"/>
      <w:headerReference w:type="first" r:id="rId45"/>
      <w:footerReference w:type="even" r:id="rId46"/>
      <w:footerReference w:type="default" r:id="rId47"/>
      <w:footerReference w:type="first" r:id="rId48"/>
      <w:type w:val="nextPage"/>
      <w:pgSz w:w="11906" w:h="16838"/>
      <w:pgMar w:left="1985" w:right="1134" w:gutter="0" w:header="708" w:top="1701" w:footer="708" w:bottom="198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119</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119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http://schemas.openxmlformats.org/wordprocessingml/2006/main">
  <w:zoom w:percent="100"/>
  <w:embedSystemFonts/>
  <w:stylePaneFormatFilter w:val="0004"/>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360" w:before="0" w:after="0"/>
      <w:ind w:firstLine="567"/>
      <w:jc w:val="both"/>
    </w:pPr>
    <w:rPr>
      <w:rFonts w:ascii="Times New Roman" w:hAnsi="Times New Roman" w:eastAsia="Times New Roman" w:cs="Times New Roman"/>
      <w:color w:val="auto"/>
      <w:kern w:val="0"/>
      <w:sz w:val="26"/>
      <w:szCs w:val="24"/>
      <w:lang w:val="en-US" w:eastAsia="zh-CN" w:bidi="ar-SA"/>
    </w:rPr>
  </w:style>
  <w:style w:type="paragraph" w:styleId="Heading1">
    <w:name w:val="heading 1"/>
    <w:basedOn w:val="Normal"/>
    <w:next w:val="BodyText"/>
    <w:link w:val="Heading1Char"/>
    <w:uiPriority w:val="9"/>
    <w:qFormat/>
    <w:rsid w:val="00a10fd9"/>
    <w:pPr>
      <w:keepNext w:val="true"/>
      <w:keepLines/>
      <w:pageBreakBefore/>
      <w:spacing w:lineRule="auto" w:line="360" w:before="240" w:after="120"/>
      <w:ind w:hanging="0"/>
      <w:jc w:val="left"/>
      <w:outlineLvl w:val="0"/>
    </w:pPr>
    <w:rPr>
      <w:rFonts w:ascii="Aptos Display" w:hAnsi="Aptos Display" w:eastAsia="" w:cs="" w:asciiTheme="majorHAnsi" w:cstheme="majorBidi" w:eastAsiaTheme="majorEastAsia" w:hAnsiTheme="majorHAnsi"/>
      <w:b/>
      <w:color w:val="000000"/>
      <w:sz w:val="28"/>
      <w:szCs w:val="40"/>
    </w:rPr>
  </w:style>
  <w:style w:type="paragraph" w:styleId="Heading2">
    <w:name w:val="heading 2"/>
    <w:basedOn w:val="Normal"/>
    <w:next w:val="BodyText"/>
    <w:link w:val="Heading2Char"/>
    <w:uiPriority w:val="9"/>
    <w:semiHidden/>
    <w:unhideWhenUsed/>
    <w:qFormat/>
    <w:rsid w:val="00a10fd9"/>
    <w:pPr>
      <w:keepNext w:val="true"/>
      <w:keepLines/>
      <w:spacing w:lineRule="auto" w:line="360" w:before="240" w:after="120"/>
      <w:ind w:hanging="0"/>
      <w:jc w:val="left"/>
      <w:outlineLvl w:val="1"/>
    </w:pPr>
    <w:rPr>
      <w:rFonts w:ascii="Aptos Display" w:hAnsi="Aptos Display" w:eastAsia="" w:cs="" w:asciiTheme="majorHAnsi" w:cstheme="majorBidi" w:eastAsiaTheme="majorEastAsia" w:hAnsiTheme="majorHAnsi"/>
      <w:b/>
      <w:color w:val="000000"/>
      <w:sz w:val="26"/>
      <w:szCs w:val="32"/>
    </w:rPr>
  </w:style>
  <w:style w:type="paragraph" w:styleId="Heading3">
    <w:name w:val="heading 3"/>
    <w:basedOn w:val="Normal"/>
    <w:next w:val="BodyText"/>
    <w:link w:val="Heading3Char"/>
    <w:uiPriority w:val="9"/>
    <w:semiHidden/>
    <w:unhideWhenUsed/>
    <w:qFormat/>
    <w:rsid w:val="00a10fd9"/>
    <w:pPr>
      <w:keepNext w:val="true"/>
      <w:keepLines/>
      <w:spacing w:lineRule="auto" w:line="360" w:before="240" w:after="120"/>
      <w:ind w:hanging="0"/>
      <w:jc w:val="left"/>
      <w:outlineLvl w:val="2"/>
    </w:pPr>
    <w:rPr>
      <w:rFonts w:ascii="Times New Roman" w:hAnsi="Times New Roman" w:eastAsia="" w:cs="" w:cstheme="majorBidi" w:eastAsiaTheme="majorEastAsia"/>
      <w:b/>
      <w:color w:val="000000"/>
      <w:sz w:val="26"/>
      <w:szCs w:val="28"/>
    </w:rPr>
  </w:style>
  <w:style w:type="paragraph" w:styleId="Heading4">
    <w:name w:val="heading 4"/>
    <w:basedOn w:val="Normal"/>
    <w:next w:val="BodyText"/>
    <w:link w:val="Heading4Char"/>
    <w:uiPriority w:val="9"/>
    <w:semiHidden/>
    <w:unhideWhenUsed/>
    <w:qFormat/>
    <w:rsid w:val="00a10fd9"/>
    <w:pPr>
      <w:keepNext w:val="true"/>
      <w:keepLines/>
      <w:spacing w:lineRule="auto" w:line="360" w:before="240" w:after="120"/>
      <w:ind w:hanging="0"/>
      <w:jc w:val="left"/>
      <w:outlineLvl w:val="3"/>
    </w:pPr>
    <w:rPr>
      <w:rFonts w:ascii="Times New Roman" w:hAnsi="Times New Roman" w:eastAsia="" w:cs="" w:cstheme="majorBidi" w:eastAsiaTheme="majorEastAsia"/>
      <w:b/>
      <w:i/>
      <w:iCs/>
      <w:color w:val="000000"/>
      <w:sz w:val="26"/>
    </w:rPr>
  </w:style>
  <w:style w:type="paragraph" w:styleId="Heading5">
    <w:name w:val="heading 5"/>
    <w:basedOn w:val="Normal"/>
    <w:next w:val="BodyText"/>
    <w:link w:val="Heading5Char"/>
    <w:uiPriority w:val="9"/>
    <w:semiHidden/>
    <w:unhideWhenUsed/>
    <w:qFormat/>
    <w:rsid w:val="00a10fd9"/>
    <w:pPr>
      <w:keepNext w:val="true"/>
      <w:keepLines/>
      <w:spacing w:lineRule="auto" w:line="360" w:before="240" w:after="120"/>
      <w:ind w:hanging="0"/>
      <w:jc w:val="left"/>
      <w:outlineLvl w:val="4"/>
    </w:pPr>
    <w:rPr>
      <w:rFonts w:ascii="Times New Roman" w:hAnsi="Times New Roman" w:eastAsia="" w:cs="" w:cstheme="majorBidi" w:eastAsiaTheme="majorEastAsia"/>
      <w:b/>
      <w:color w:val="000000"/>
      <w:sz w:val="26"/>
    </w:rPr>
  </w:style>
  <w:style w:type="paragraph" w:styleId="Heading6">
    <w:name w:val="heading 6"/>
    <w:basedOn w:val="Normal"/>
    <w:next w:val="BodyText"/>
    <w:link w:val="Heading6Char"/>
    <w:uiPriority w:val="9"/>
    <w:semiHidden/>
    <w:unhideWhenUsed/>
    <w:qFormat/>
    <w:rsid w:val="00a10fd9"/>
    <w:pPr>
      <w:keepNext w:val="true"/>
      <w:keepLines/>
      <w:spacing w:lineRule="auto" w:line="360" w:before="240" w:after="120"/>
      <w:ind w:hanging="0"/>
      <w:jc w:val="left"/>
      <w:outlineLvl w:val="5"/>
    </w:pPr>
    <w:rPr>
      <w:rFonts w:ascii="Times New Roman" w:hAnsi="Times New Roman" w:eastAsia="" w:cs="" w:cstheme="majorBidi" w:eastAsiaTheme="majorEastAsia"/>
      <w:b/>
      <w:i/>
      <w:iCs/>
      <w:color w:val="000000"/>
      <w:sz w:val="26"/>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ascii="Times New Roman" w:hAnsi="Times New Roman"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ascii="Times New Roman" w:hAnsi="Times New Roman"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ascii="Times New Roman" w:hAnsi="Times New Roman" w:eastAsia="" w:cs="" w:cstheme="majorBidi" w:eastAsiaTheme="majorEastAsia"/>
      <w:color w:themeColor="text1" w:themeTint="d8" w:val="272727"/>
    </w:rPr>
  </w:style>
  <w:style w:type="character" w:styleId="TitleChar" w:customStyle="1">
    <w:name w:val="Title Char"/>
    <w:basedOn w:val="DefaultParagraphFont"/>
    <w:link w:val="Title"/>
    <w:uiPriority w:val="10"/>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10fd9"/>
    <w:rPr>
      <w:rFonts w:ascii="Times New Roman" w:hAnsi="Times New Roman"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10fd9"/>
    <w:rPr>
      <w:rFonts w:ascii="Times New Roman" w:hAnsi="Times New Roman"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10fd9"/>
    <w:rPr>
      <w:rFonts w:ascii="Times New Roman" w:hAnsi="Times New Roman"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10fd9"/>
    <w:rPr>
      <w:rFonts w:ascii="Times New Roman" w:hAnsi="Times New Roman"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10fd9"/>
    <w:rPr>
      <w:rFonts w:ascii="Times New Roman" w:hAnsi="Times New Roman"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10fd9"/>
    <w:rPr>
      <w:rFonts w:ascii="Times New Roman" w:hAnsi="Times New Roman"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10fd9"/>
    <w:rPr>
      <w:rFonts w:ascii="Times New Roman" w:hAnsi="Times New Roman" w:eastAsia="" w:cs="" w:cstheme="majorBidi" w:eastAsiaTheme="majorEastAsia"/>
      <w:color w:themeColor="text1" w:themeTint="d8" w:val="272727"/>
    </w:rPr>
  </w:style>
  <w:style w:type="character" w:styleId="DefaultParagraphFont" w:default="1">
    <w:name w:val="Default Paragraph Font"/>
    <w:semiHidden/>
    <w:unhideWhenUsed/>
    <w:rPr/>
  </w:style>
  <w:style w:type="character" w:styleId="BodyTextChar" w:customStyle="1">
    <w:name w:val="Body Text Char"/>
    <w:basedOn w:val="DefaultParagraphFont"/>
    <w:rPr/>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rPr/>
  </w:style>
  <w:style w:type="character" w:styleId="FootnoteCharactersuser">
    <w:name w:val="Footnote Characters (user)"/>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360" w:before="0" w:after="0"/>
      <w:jc w:val="both"/>
    </w:pPr>
    <w:rPr>
      <w:rFonts w:ascii="Times New Roman" w:hAnsi="Times New Roman" w:eastAsia="Times New Roman" w:cs="Times New Roman"/>
      <w:sz w:val="26"/>
    </w:rPr>
  </w:style>
  <w:style w:type="paragraph" w:styleId="List">
    <w:name w:val="List"/>
    <w:basedOn w:val="BodyText"/>
    <w:pPr/>
    <w:rPr>
      <w:rFonts w:cs="FreeSans"/>
    </w:rPr>
  </w:style>
  <w:style w:type="paragraph" w:styleId="Caption">
    <w:name w:val="caption"/>
    <w:basedOn w:val="Normal"/>
    <w:link w:val="BodyTextChar"/>
    <w:pPr>
      <w:spacing w:lineRule="auto" w:line="360" w:before="120" w:after="120"/>
      <w:ind w:hanging="0"/>
      <w:jc w:val="center"/>
    </w:pPr>
    <w:rPr>
      <w:rFonts w:ascii="Times New Roman" w:hAnsi="Times New Roman" w:eastAsia="Times New Roman" w:cs="Times New Roman"/>
      <w:b w:val="false"/>
      <w:i/>
      <w:sz w:val="22"/>
    </w:rPr>
  </w:style>
  <w:style w:type="paragraph" w:styleId="Index">
    <w:name w:val="Index"/>
    <w:basedOn w:val="Normal"/>
    <w:pPr>
      <w:suppressLineNumbers/>
    </w:pPr>
    <w:rPr>
      <w:rFonts w:cs="FreeSans"/>
    </w:rPr>
  </w:style>
  <w:style w:type="paragraph" w:styleId="FirstParagraph" w:customStyle="1">
    <w:name w:val="First Paragraph"/>
    <w:basedOn w:val="BodyText"/>
    <w:next w:val="BodyText"/>
    <w:qFormat/>
    <w:pPr>
      <w:spacing w:lineRule="auto" w:line="360" w:before="0" w:after="0"/>
      <w:jc w:val="both"/>
    </w:pPr>
    <w:rPr>
      <w:rFonts w:ascii="Times New Roman" w:hAnsi="Times New Roman" w:eastAsia="Times New Roman" w:cs="Times New Roman"/>
      <w:sz w:val="26"/>
    </w:rPr>
  </w:style>
  <w:style w:type="paragraph" w:styleId="Compact" w:customStyle="1">
    <w:name w:val="Compact"/>
    <w:basedOn w:val="BodyText"/>
    <w:qFormat/>
    <w:pPr>
      <w:spacing w:lineRule="auto" w:line="360" w:before="0" w:after="0"/>
      <w:jc w:val="both"/>
    </w:pPr>
    <w:rPr>
      <w:rFonts w:ascii="Times New Roman" w:hAnsi="Times New Roman" w:eastAsia="Times New Roman" w:cs="Times New Roman"/>
      <w:sz w:val="26"/>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360"/>
      <w:ind w:hanging="425" w:left="425"/>
    </w:pPr>
    <w:rPr>
      <w:rFonts w:ascii="Times New Roman" w:hAnsi="Times New Roman" w:eastAsia="Times New Roman" w:cs="Times New Roman"/>
      <w:sz w:val="26"/>
    </w:rPr>
  </w:style>
  <w:style w:type="paragraph" w:styleId="BlockText">
    <w:name w:val="Block Text"/>
    <w:basedOn w:val="BodyText"/>
    <w:next w:val="BodyText"/>
    <w:uiPriority w:val="9"/>
    <w:unhideWhenUsed/>
    <w:qFormat/>
    <w:pPr>
      <w:spacing w:lineRule="auto" w:line="360" w:before="0" w:after="0"/>
      <w:ind w:hanging="0" w:left="480" w:right="480"/>
      <w:jc w:val="both"/>
    </w:pPr>
    <w:rPr>
      <w:rFonts w:ascii="Times New Roman" w:hAnsi="Times New Roman" w:eastAsia="Times New Roman" w:cs="Times New Roman"/>
      <w:sz w:val="26"/>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pPr>
      <w:keepNext w:val="true"/>
      <w:keepLines/>
      <w:spacing w:before="0" w:after="0"/>
    </w:pPr>
    <w:rPr>
      <w:b/>
    </w:rPr>
  </w:style>
  <w:style w:type="paragraph" w:styleId="Definition" w:customStyle="1">
    <w:name w:val="Definition"/>
    <w:basedOn w:val="Normal"/>
    <w:pPr/>
    <w:rPr/>
  </w:style>
  <w:style w:type="paragraph" w:styleId="TableCaption" w:customStyle="1">
    <w:name w:val="Table Caption"/>
    <w:basedOn w:val="Caption"/>
    <w:pPr>
      <w:keepNext w:val="true"/>
      <w:spacing w:lineRule="auto" w:line="360" w:before="120" w:after="120"/>
      <w:ind w:hanging="0"/>
      <w:jc w:val="center"/>
    </w:pPr>
    <w:rPr>
      <w:rFonts w:ascii="Times New Roman" w:hAnsi="Times New Roman" w:eastAsia="Times New Roman" w:cs="Times New Roman"/>
      <w:b w:val="false"/>
      <w:sz w:val="22"/>
    </w:rPr>
  </w:style>
  <w:style w:type="paragraph" w:styleId="ImageCaption" w:customStyle="1">
    <w:name w:val="Image Caption"/>
    <w:basedOn w:val="Caption"/>
    <w:pPr>
      <w:spacing w:lineRule="auto" w:line="360" w:before="120" w:after="120"/>
      <w:ind w:hanging="0"/>
      <w:jc w:val="center"/>
    </w:pPr>
    <w:rPr>
      <w:rFonts w:ascii="Times New Roman" w:hAnsi="Times New Roman" w:eastAsia="Times New Roman" w:cs="Times New Roman"/>
      <w:b w:val="false"/>
      <w:sz w:val="22"/>
    </w:rPr>
  </w:style>
  <w:style w:type="paragraph" w:styleId="Figure" w:customStyle="1">
    <w:name w:val="Figure"/>
    <w:basedOn w:val="Normal"/>
    <w:pPr/>
    <w:rPr/>
  </w:style>
  <w:style w:type="paragraph" w:styleId="CaptionedFigure" w:customStyle="1">
    <w:name w:val="Captioned Figure"/>
    <w:basedOn w:val="Figure"/>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ptos Display" w:hAnsi="Aptos Display" w:eastAsia="" w:cs="" w:asciiTheme="majorHAnsi" w:cstheme="majorBidi" w:eastAsiaTheme="majorEastAsia" w:hAnsiTheme="majorHAnsi"/>
      <w:b/>
      <w:bCs w:val="false"/>
      <w:color w:val="000000"/>
      <w:sz w:val="28"/>
    </w:rPr>
  </w:style>
  <w:style w:type="paragraph" w:styleId="SourceCode" w:customStyle="1">
    <w:name w:val="Source Code"/>
    <w:basedOn w:val="Normal"/>
    <w:link w:val="VerbatimChar"/>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946" w:leader="dot"/>
      </w:tabs>
      <w:ind w:hanging="0" w:left="0"/>
    </w:pPr>
    <w:rPr/>
  </w:style>
  <w:style w:type="paragraph" w:styleId="TOC2">
    <w:name w:val="toc 2"/>
    <w:basedOn w:val="Index"/>
    <w:pPr>
      <w:tabs>
        <w:tab w:val="clear" w:pos="720"/>
        <w:tab w:val="right" w:pos="10663" w:leader="dot"/>
      </w:tabs>
      <w:ind w:hanging="0" w:left="283"/>
    </w:pPr>
    <w:rPr/>
  </w:style>
  <w:style w:type="paragraph" w:styleId="TOC3">
    <w:name w:val="toc 3"/>
    <w:basedOn w:val="Index"/>
    <w:pPr>
      <w:tabs>
        <w:tab w:val="clear" w:pos="720"/>
        <w:tab w:val="right" w:pos="10379"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1.png"/><Relationship Id="rId21" Type="http://schemas.openxmlformats.org/officeDocument/2006/relationships/hyperlink" Target="https://arxiv.org/abs/2305.03835v1" TargetMode="External"/><Relationship Id="rId22" Type="http://schemas.openxmlformats.org/officeDocument/2006/relationships/hyperlink" Target="https://aclanthology.org/D19-5105/" TargetMode="External"/><Relationship Id="rId23" Type="http://schemas.openxmlformats.org/officeDocument/2006/relationships/hyperlink" Target="https://arxiv.org/abs/2107.08721v1" TargetMode="External"/><Relationship Id="rId24" Type="http://schemas.openxmlformats.org/officeDocument/2006/relationships/hyperlink" Target="https://arxiv.org/abs/1810.04805" TargetMode="External"/><Relationship Id="rId25" Type="http://schemas.openxmlformats.org/officeDocument/2006/relationships/hyperlink" Target="https://arxiv.org/abs/2411.01368v1" TargetMode="External"/><Relationship Id="rId26" Type="http://schemas.openxmlformats.org/officeDocument/2006/relationships/hyperlink" Target="https://doi.org/10.24963/ijcai.2019/810" TargetMode="External"/><Relationship Id="rId27" Type="http://schemas.openxmlformats.org/officeDocument/2006/relationships/hyperlink" Target="https://arxiv.org/abs/2407.16150v1" TargetMode="External"/><Relationship Id="rId28" Type="http://schemas.openxmlformats.org/officeDocument/2006/relationships/hyperlink" Target="https://arxiv.org/abs/2211.07392v1" TargetMode="External"/><Relationship Id="rId29" Type="http://schemas.openxmlformats.org/officeDocument/2006/relationships/hyperlink" Target="https://arxiv.org/abs/2306.02136v3" TargetMode="External"/><Relationship Id="rId30" Type="http://schemas.openxmlformats.org/officeDocument/2006/relationships/hyperlink" Target="https://arxiv.org/abs/2412.10823v2" TargetMode="External"/><Relationship Id="rId31" Type="http://schemas.openxmlformats.org/officeDocument/2006/relationships/hyperlink" Target="https://ieeexplore.ieee.org/document/10889901/" TargetMode="External"/><Relationship Id="rId32" Type="http://schemas.openxmlformats.org/officeDocument/2006/relationships/hyperlink" Target="https://arxiv.org/abs/2603.24236v1" TargetMode="External"/><Relationship Id="rId33" Type="http://schemas.openxmlformats.org/officeDocument/2006/relationships/hyperlink" Target="https://doi.org/10.18653/v1/2020.findings-emnlp.92" TargetMode="External"/><Relationship Id="rId34" Type="http://schemas.openxmlformats.org/officeDocument/2006/relationships/hyperlink" Target="https://arxiv.org/abs/2412.10540v1" TargetMode="External"/><Relationship Id="rId35" Type="http://schemas.openxmlformats.org/officeDocument/2006/relationships/hyperlink" Target="https://arxiv.org/abs/2602.00086v3" TargetMode="External"/><Relationship Id="rId36" Type="http://schemas.openxmlformats.org/officeDocument/2006/relationships/hyperlink" Target="https://arxiv.org/abs/1706.03762" TargetMode="External"/><Relationship Id="rId37" Type="http://schemas.openxmlformats.org/officeDocument/2006/relationships/hyperlink" Target="https://ieeexplore.ieee.org/document/10906481/" TargetMode="External"/><Relationship Id="rId38" Type="http://schemas.openxmlformats.org/officeDocument/2006/relationships/hyperlink" Target="https://arxiv.org/abs/2110.13716v2" TargetMode="External"/><Relationship Id="rId39" Type="http://schemas.openxmlformats.org/officeDocument/2006/relationships/hyperlink" Target="https://doi.org/10.1145/3442381.3450032" TargetMode="External"/><Relationship Id="rId40" Type="http://schemas.openxmlformats.org/officeDocument/2006/relationships/hyperlink" Target="https://arxiv.org/abs/2006.08097v2" TargetMode="External"/><Relationship Id="rId41" Type="http://schemas.openxmlformats.org/officeDocument/2006/relationships/hyperlink" Target="https://doi.org/10.1145/3580305.3599315" TargetMode="External"/><Relationship Id="rId42" Type="http://schemas.openxmlformats.org/officeDocument/2006/relationships/image" Target="media/image2.png"/><Relationship Id="rId43" Type="http://schemas.openxmlformats.org/officeDocument/2006/relationships/header" Target="header10.xml"/><Relationship Id="rId44" Type="http://schemas.openxmlformats.org/officeDocument/2006/relationships/header" Target="header11.xml"/><Relationship Id="rId45" Type="http://schemas.openxmlformats.org/officeDocument/2006/relationships/header" Target="header12.xml"/><Relationship Id="rId46" Type="http://schemas.openxmlformats.org/officeDocument/2006/relationships/footer" Target="footer10.xml"/><Relationship Id="rId47" Type="http://schemas.openxmlformats.org/officeDocument/2006/relationships/footer" Target="footer11.xml"/><Relationship Id="rId48" Type="http://schemas.openxmlformats.org/officeDocument/2006/relationships/footer" Target="footer12.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LibreOffice/26.8.0.3$Linux_X86_64 LibreOffice_project/680$Build-3</Application>
  <AppVersion>15.0000</AppVersion>
  <Pages>133</Pages>
  <Words>44116</Words>
  <Characters>159691</Characters>
  <CharactersWithSpaces>202473</CharactersWithSpaces>
  <Paragraphs>1425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2026-09-27T11:57:12Z</dcterms:created>
  <dc:creator/>
  <dc:description/>
  <dc:language>en-US</dc:language>
  <cp:lastModifiedBy/>
  <dcterms:modified xsi:type="dcterms:W3CDTF">2026-09-27T20:18:54Z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../../thesis-latex/references.bib</vt:lpwstr>
  </property>
  <property fmtid="{D5CDD505-2E9C-101B-9397-08002B2CF9AE}" pid="3" name="csl">
    <vt:lpwstr>../tools/ieee.csl</vt:lpwstr>
  </property>
  <property fmtid="{D5CDD505-2E9C-101B-9397-08002B2CF9AE}" pid="4" name="eqnPrefix">
    <vt:lpwstr>phương trình</vt:lpwstr>
  </property>
  <property fmtid="{D5CDD505-2E9C-101B-9397-08002B2CF9AE}" pid="5" name="figPrefix">
    <vt:lpwstr>Hình</vt:lpwstr>
  </property>
  <property fmtid="{D5CDD505-2E9C-101B-9397-08002B2CF9AE}" pid="6" name="link-citations">
    <vt:lpwstr>True</vt:lpwstr>
  </property>
  <property fmtid="{D5CDD505-2E9C-101B-9397-08002B2CF9AE}" pid="7" name="tblPrefix">
    <vt:lpwstr>Bảng</vt:lpwstr>
  </property>
</Properties>
</file>