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54B71" w14:textId="082805F0" w:rsidR="00C62554" w:rsidRPr="00806B8B" w:rsidRDefault="00C62554" w:rsidP="00281E21">
      <w:pPr>
        <w:jc w:val="center"/>
        <w:rPr>
          <w:b/>
          <w:bCs/>
        </w:rPr>
      </w:pPr>
      <w:r w:rsidRPr="00806B8B">
        <w:rPr>
          <w:b/>
          <w:bCs/>
        </w:rPr>
        <w:t xml:space="preserve">Economics </w:t>
      </w:r>
      <w:r w:rsidR="00806B8B" w:rsidRPr="00806B8B">
        <w:rPr>
          <w:b/>
          <w:bCs/>
        </w:rPr>
        <w:t>GU</w:t>
      </w:r>
      <w:r w:rsidR="005813C7" w:rsidRPr="00806B8B">
        <w:rPr>
          <w:b/>
          <w:bCs/>
        </w:rPr>
        <w:t>4720</w:t>
      </w:r>
    </w:p>
    <w:p w14:paraId="2CAC2CE8" w14:textId="3660409F" w:rsidR="009B1445" w:rsidRPr="00806B8B" w:rsidRDefault="0069367A" w:rsidP="00281E21">
      <w:pPr>
        <w:jc w:val="center"/>
        <w:rPr>
          <w:b/>
        </w:rPr>
      </w:pPr>
      <w:r w:rsidRPr="00806B8B">
        <w:rPr>
          <w:b/>
        </w:rPr>
        <w:t>Empirical macroeconomics and finance</w:t>
      </w:r>
    </w:p>
    <w:p w14:paraId="644387B0" w14:textId="25834ADF" w:rsidR="00C62554" w:rsidRPr="00806B8B" w:rsidRDefault="00C62554" w:rsidP="00281E21">
      <w:pPr>
        <w:jc w:val="center"/>
      </w:pPr>
      <w:r w:rsidRPr="00806B8B">
        <w:t xml:space="preserve">Instructor: </w:t>
      </w:r>
      <w:r w:rsidR="0069367A" w:rsidRPr="00806B8B">
        <w:t>Noémie Pinardon-Touati</w:t>
      </w:r>
    </w:p>
    <w:p w14:paraId="0DB948C0" w14:textId="5BC5B8ED" w:rsidR="00C62554" w:rsidRPr="00806B8B" w:rsidRDefault="0069367A" w:rsidP="00281E21">
      <w:pPr>
        <w:jc w:val="center"/>
      </w:pPr>
      <w:r w:rsidRPr="00806B8B">
        <w:t>Fall</w:t>
      </w:r>
      <w:r w:rsidR="00C62554" w:rsidRPr="00806B8B">
        <w:t xml:space="preserve"> 20</w:t>
      </w:r>
      <w:r w:rsidRPr="00806B8B">
        <w:t>2</w:t>
      </w:r>
      <w:r w:rsidR="00C62554" w:rsidRPr="00806B8B">
        <w:t>5</w:t>
      </w:r>
    </w:p>
    <w:p w14:paraId="1828B11D" w14:textId="77777777" w:rsidR="001D466A" w:rsidRPr="00806B8B" w:rsidRDefault="001D466A" w:rsidP="00233CC3">
      <w:pPr>
        <w:jc w:val="both"/>
      </w:pPr>
    </w:p>
    <w:p w14:paraId="6C1F6453" w14:textId="77777777" w:rsidR="00C62554" w:rsidRPr="00806B8B" w:rsidRDefault="00C62554" w:rsidP="00233CC3">
      <w:pPr>
        <w:jc w:val="both"/>
        <w:rPr>
          <w:b/>
        </w:rPr>
      </w:pPr>
      <w:r w:rsidRPr="00806B8B">
        <w:rPr>
          <w:b/>
        </w:rPr>
        <w:t>General information</w:t>
      </w:r>
    </w:p>
    <w:p w14:paraId="0B58A63D" w14:textId="0D4DF7CC" w:rsidR="00C62554" w:rsidRPr="00806B8B" w:rsidRDefault="00C62554" w:rsidP="00233CC3">
      <w:pPr>
        <w:jc w:val="both"/>
      </w:pPr>
      <w:r w:rsidRPr="00806B8B">
        <w:t xml:space="preserve">Class meetings:  </w:t>
      </w:r>
      <w:r w:rsidR="00806B8B" w:rsidRPr="00806B8B">
        <w:t>M</w:t>
      </w:r>
      <w:r w:rsidR="00806B8B">
        <w:t xml:space="preserve">onday &amp; </w:t>
      </w:r>
      <w:r w:rsidR="00806B8B" w:rsidRPr="00806B8B">
        <w:t>W</w:t>
      </w:r>
      <w:r w:rsidR="00806B8B">
        <w:t>ednesday</w:t>
      </w:r>
      <w:r w:rsidR="00806B8B" w:rsidRPr="00806B8B">
        <w:t xml:space="preserve"> 4:10-5:25pm, 517 Hamilton Hall</w:t>
      </w:r>
      <w:r w:rsidR="0069367A" w:rsidRPr="00806B8B">
        <w:tab/>
        <w:t xml:space="preserve"> </w:t>
      </w:r>
      <w:r w:rsidR="0069367A" w:rsidRPr="00806B8B">
        <w:tab/>
      </w:r>
      <w:r w:rsidRPr="00806B8B">
        <w:tab/>
      </w:r>
      <w:r w:rsidRPr="00806B8B">
        <w:tab/>
      </w:r>
    </w:p>
    <w:p w14:paraId="278C93BB" w14:textId="3004EE08" w:rsidR="00806B8B" w:rsidRDefault="00C62554" w:rsidP="00233CC3">
      <w:pPr>
        <w:jc w:val="both"/>
      </w:pPr>
      <w:r w:rsidRPr="00806B8B">
        <w:t xml:space="preserve">Office hours:  </w:t>
      </w:r>
      <w:r w:rsidR="00806B8B" w:rsidRPr="00806B8B">
        <w:t>M</w:t>
      </w:r>
      <w:r w:rsidR="00806B8B">
        <w:t xml:space="preserve">onday </w:t>
      </w:r>
      <w:r w:rsidR="00806B8B" w:rsidRPr="00806B8B">
        <w:t>5:45-6:45pm, 1133 IAB (my office)</w:t>
      </w:r>
      <w:r w:rsidRPr="00806B8B">
        <w:tab/>
      </w:r>
      <w:r w:rsidRPr="00806B8B">
        <w:tab/>
      </w:r>
      <w:r w:rsidRPr="00806B8B">
        <w:tab/>
      </w:r>
    </w:p>
    <w:p w14:paraId="62EE1CCB" w14:textId="15638FB3" w:rsidR="00C62554" w:rsidRPr="00806B8B" w:rsidRDefault="00C62554" w:rsidP="00233CC3">
      <w:pPr>
        <w:jc w:val="both"/>
      </w:pPr>
      <w:r w:rsidRPr="00806B8B">
        <w:t xml:space="preserve">Instructor email: </w:t>
      </w:r>
      <w:hyperlink r:id="rId5" w:history="1">
        <w:r w:rsidR="0069367A" w:rsidRPr="00806B8B">
          <w:rPr>
            <w:rStyle w:val="Hyperlink"/>
            <w:u w:val="none"/>
          </w:rPr>
          <w:t>np2842@columbia.edu</w:t>
        </w:r>
      </w:hyperlink>
    </w:p>
    <w:p w14:paraId="60E8548D" w14:textId="77777777" w:rsidR="00806B8B" w:rsidRDefault="00806B8B" w:rsidP="00233CC3">
      <w:pPr>
        <w:jc w:val="both"/>
      </w:pPr>
    </w:p>
    <w:p w14:paraId="63D37F25" w14:textId="7313AAD4" w:rsidR="00C62554" w:rsidRDefault="00C62554" w:rsidP="00233CC3">
      <w:pPr>
        <w:jc w:val="both"/>
      </w:pPr>
      <w:r w:rsidRPr="00806B8B">
        <w:t xml:space="preserve">Teaching assistant:  </w:t>
      </w:r>
      <w:r w:rsidR="00806B8B">
        <w:t>Ankit Bhutani</w:t>
      </w:r>
      <w:r w:rsidRPr="00806B8B">
        <w:tab/>
      </w:r>
      <w:r w:rsidRPr="00806B8B">
        <w:tab/>
      </w:r>
      <w:r w:rsidRPr="00806B8B">
        <w:tab/>
      </w:r>
    </w:p>
    <w:p w14:paraId="04E7FB80" w14:textId="77777777" w:rsidR="00806B8B" w:rsidRDefault="00806B8B" w:rsidP="00233CC3">
      <w:pPr>
        <w:jc w:val="both"/>
      </w:pPr>
      <w:r>
        <w:t>Recitations: TBA</w:t>
      </w:r>
      <w:r>
        <w:tab/>
      </w:r>
      <w:r>
        <w:tab/>
      </w:r>
      <w:r>
        <w:tab/>
      </w:r>
      <w:r>
        <w:tab/>
      </w:r>
      <w:r>
        <w:tab/>
      </w:r>
    </w:p>
    <w:p w14:paraId="564BC191" w14:textId="5434C6F0" w:rsidR="00806B8B" w:rsidRDefault="00806B8B" w:rsidP="00233CC3">
      <w:pPr>
        <w:jc w:val="both"/>
      </w:pPr>
      <w:r>
        <w:t xml:space="preserve">TA office hours: Tuesday 11:00am-12:00pm, </w:t>
      </w:r>
      <w:r w:rsidRPr="00806B8B">
        <w:t>IAB 1006A (TA Office)</w:t>
      </w:r>
    </w:p>
    <w:p w14:paraId="53726D8F" w14:textId="67E1F072" w:rsidR="00806B8B" w:rsidRPr="00806B8B" w:rsidRDefault="00806B8B" w:rsidP="00233CC3">
      <w:pPr>
        <w:jc w:val="both"/>
      </w:pPr>
      <w:r w:rsidRPr="00806B8B">
        <w:t xml:space="preserve">TA email:  </w:t>
      </w:r>
      <w:hyperlink r:id="rId6" w:history="1">
        <w:r w:rsidRPr="00806B8B">
          <w:rPr>
            <w:rStyle w:val="Hyperlink"/>
          </w:rPr>
          <w:t>ab4462@columbia.edu</w:t>
        </w:r>
      </w:hyperlink>
    </w:p>
    <w:p w14:paraId="43C1A1C2" w14:textId="77777777" w:rsidR="001D466A" w:rsidRPr="00806B8B" w:rsidRDefault="001D466A" w:rsidP="00233CC3">
      <w:pPr>
        <w:jc w:val="both"/>
      </w:pPr>
    </w:p>
    <w:p w14:paraId="766757DB" w14:textId="77777777" w:rsidR="00C62554" w:rsidRPr="00806B8B" w:rsidRDefault="00C62554" w:rsidP="00233CC3">
      <w:pPr>
        <w:jc w:val="both"/>
      </w:pPr>
    </w:p>
    <w:p w14:paraId="75A2583A" w14:textId="77777777" w:rsidR="00C62554" w:rsidRPr="00806B8B" w:rsidRDefault="00C62554" w:rsidP="00233CC3">
      <w:pPr>
        <w:jc w:val="both"/>
        <w:rPr>
          <w:b/>
        </w:rPr>
      </w:pPr>
      <w:r w:rsidRPr="00806B8B">
        <w:rPr>
          <w:b/>
        </w:rPr>
        <w:t>What this course is about</w:t>
      </w:r>
    </w:p>
    <w:p w14:paraId="09CA72E3" w14:textId="6D6A17D7" w:rsidR="001D466A" w:rsidRPr="00806B8B" w:rsidRDefault="001778D1" w:rsidP="00233CC3">
      <w:pPr>
        <w:jc w:val="both"/>
      </w:pPr>
      <w:r w:rsidRPr="00806B8B">
        <w:t xml:space="preserve">This course develops empirical methods to investigate key questions in macroeconomics and </w:t>
      </w:r>
      <w:proofErr w:type="gramStart"/>
      <w:r w:rsidRPr="00806B8B">
        <w:t>finance,</w:t>
      </w:r>
      <w:r w:rsidR="00F772D6" w:rsidRPr="00806B8B">
        <w:t xml:space="preserve"> </w:t>
      </w:r>
      <w:r w:rsidRPr="00806B8B">
        <w:t>and</w:t>
      </w:r>
      <w:proofErr w:type="gramEnd"/>
      <w:r w:rsidRPr="00806B8B">
        <w:t xml:space="preserve"> discusses the existing empirical evidence on those questions. While models developed in macroeconomics and finance provide theoretical frameworks for understanding economic fluctuations, long-run growth, and policy interventions, empirical work is crucial for testing these models and informing policy decisions. The course will examine key macroeconomics/finance questions</w:t>
      </w:r>
      <w:r w:rsidR="00F772D6" w:rsidRPr="00806B8B">
        <w:t>—such as the sources of short-run fluctuations, the determinants of long-run growth, or the role of financial markets in business cycles—</w:t>
      </w:r>
      <w:r w:rsidRPr="00806B8B">
        <w:t xml:space="preserve">through the lens of modern empirical techniques. </w:t>
      </w:r>
      <w:r w:rsidR="00F772D6" w:rsidRPr="00806B8B">
        <w:t xml:space="preserve">We will put a special emphasis on implications for the design of economic policy. For instance, we will consider what the empirical evidence tells us on questions such as: can stimulus checks boost consumer spending? does monetary policy affect investment? should governments invest in R&amp;D?  </w:t>
      </w:r>
      <w:r w:rsidRPr="00806B8B">
        <w:t>Special attention will be given to recent advances in identification strategies, including high-frequency event studies, differences-in-differences approaches, and instrumental variables tailored to macroeconomic settings. By integrating empirical evidence with theoretical insights, the course aims to equip students with the tools to critically assess macroeconomic policy and contribute to ongoing debates in the field.</w:t>
      </w:r>
    </w:p>
    <w:p w14:paraId="36A625B0" w14:textId="77777777" w:rsidR="00F5117C" w:rsidRPr="00806B8B" w:rsidRDefault="00F5117C" w:rsidP="00233CC3">
      <w:pPr>
        <w:jc w:val="both"/>
      </w:pPr>
    </w:p>
    <w:p w14:paraId="1F00A5C2" w14:textId="77777777" w:rsidR="00F5117C" w:rsidRPr="00806B8B" w:rsidRDefault="00F5117C" w:rsidP="00233CC3">
      <w:pPr>
        <w:jc w:val="both"/>
        <w:rPr>
          <w:b/>
        </w:rPr>
      </w:pPr>
      <w:r w:rsidRPr="00806B8B">
        <w:rPr>
          <w:b/>
        </w:rPr>
        <w:t>Goals</w:t>
      </w:r>
    </w:p>
    <w:p w14:paraId="1383B97C" w14:textId="77777777" w:rsidR="000D6CFB" w:rsidRPr="00806B8B" w:rsidRDefault="000D6CFB" w:rsidP="00233CC3">
      <w:pPr>
        <w:pStyle w:val="ListParagraph"/>
        <w:numPr>
          <w:ilvl w:val="0"/>
          <w:numId w:val="2"/>
        </w:numPr>
        <w:ind w:left="360"/>
        <w:jc w:val="both"/>
      </w:pPr>
      <w:r w:rsidRPr="00806B8B">
        <w:t>Gain a strong command of empirical methods in macroeconomics and finance, with an emphasis on causal identification strategies.</w:t>
      </w:r>
    </w:p>
    <w:p w14:paraId="17EBDAAE" w14:textId="3521A41A" w:rsidR="000D6CFB" w:rsidRPr="00806B8B" w:rsidRDefault="000D6CFB" w:rsidP="00233CC3">
      <w:pPr>
        <w:pStyle w:val="ListParagraph"/>
        <w:numPr>
          <w:ilvl w:val="0"/>
          <w:numId w:val="2"/>
        </w:numPr>
        <w:ind w:left="360"/>
        <w:jc w:val="both"/>
      </w:pPr>
      <w:r w:rsidRPr="00806B8B">
        <w:t>Learn how to connect theoretical macroeconomic and financial models to empirical tests, assessing their validity and applicability.</w:t>
      </w:r>
    </w:p>
    <w:p w14:paraId="4E311156" w14:textId="5C19DDFB" w:rsidR="000D6CFB" w:rsidRPr="00806B8B" w:rsidRDefault="000D6CFB" w:rsidP="00233CC3">
      <w:pPr>
        <w:pStyle w:val="ListParagraph"/>
        <w:numPr>
          <w:ilvl w:val="0"/>
          <w:numId w:val="2"/>
        </w:numPr>
        <w:ind w:left="360"/>
        <w:jc w:val="both"/>
      </w:pPr>
      <w:r w:rsidRPr="00806B8B">
        <w:t>Critically assess recent empirical research in macroeconomics and finance, evaluating both methodological approaches and substantive findings.</w:t>
      </w:r>
    </w:p>
    <w:p w14:paraId="549A1B54" w14:textId="63EE0300" w:rsidR="002E0869" w:rsidRPr="00255DBD" w:rsidRDefault="000D6CFB" w:rsidP="00233CC3">
      <w:pPr>
        <w:pStyle w:val="ListParagraph"/>
        <w:numPr>
          <w:ilvl w:val="0"/>
          <w:numId w:val="2"/>
        </w:numPr>
        <w:ind w:left="360"/>
        <w:jc w:val="both"/>
        <w:rPr>
          <w:b/>
        </w:rPr>
      </w:pPr>
      <w:r w:rsidRPr="00806B8B">
        <w:t>Understand the latest empirical evidence on key macroeconomic and financial questions and analyze its implications for economic policy and decision-making.</w:t>
      </w:r>
    </w:p>
    <w:p w14:paraId="4E68B072" w14:textId="77777777" w:rsidR="00255DBD" w:rsidRPr="00255DBD" w:rsidRDefault="00255DBD" w:rsidP="00233CC3">
      <w:pPr>
        <w:jc w:val="both"/>
        <w:rPr>
          <w:b/>
        </w:rPr>
      </w:pPr>
    </w:p>
    <w:p w14:paraId="371756E2" w14:textId="77777777" w:rsidR="005A5EE6" w:rsidRPr="00806B8B" w:rsidRDefault="002E0869" w:rsidP="00233CC3">
      <w:pPr>
        <w:jc w:val="both"/>
        <w:rPr>
          <w:b/>
        </w:rPr>
      </w:pPr>
      <w:r w:rsidRPr="00806B8B">
        <w:rPr>
          <w:b/>
        </w:rPr>
        <w:t>Prerequisites</w:t>
      </w:r>
    </w:p>
    <w:p w14:paraId="156CEF20" w14:textId="624446A3" w:rsidR="002E0869" w:rsidRPr="00806B8B" w:rsidRDefault="009224F5" w:rsidP="00233CC3">
      <w:pPr>
        <w:jc w:val="both"/>
      </w:pPr>
      <w:r w:rsidRPr="00806B8B">
        <w:t xml:space="preserve">ECON </w:t>
      </w:r>
      <w:r w:rsidR="00A943B7" w:rsidRPr="00806B8B">
        <w:t>3211</w:t>
      </w:r>
      <w:r w:rsidRPr="00806B8B">
        <w:t>,</w:t>
      </w:r>
      <w:r w:rsidR="00F90484" w:rsidRPr="00806B8B">
        <w:t xml:space="preserve"> </w:t>
      </w:r>
      <w:r w:rsidR="00A943B7" w:rsidRPr="00806B8B">
        <w:t>ECON 3213</w:t>
      </w:r>
      <w:r w:rsidR="000612CD" w:rsidRPr="00806B8B">
        <w:t xml:space="preserve">, </w:t>
      </w:r>
      <w:r w:rsidR="00A943B7" w:rsidRPr="00806B8B">
        <w:t xml:space="preserve">and </w:t>
      </w:r>
      <w:r w:rsidR="001A304D" w:rsidRPr="00806B8B">
        <w:t>UN 3412</w:t>
      </w:r>
      <w:r w:rsidR="00A943B7" w:rsidRPr="00806B8B">
        <w:t xml:space="preserve">. </w:t>
      </w:r>
    </w:p>
    <w:p w14:paraId="0F1E5BFF" w14:textId="77777777" w:rsidR="00F22E55" w:rsidRPr="00806B8B" w:rsidRDefault="00F22E55" w:rsidP="00233CC3">
      <w:pPr>
        <w:jc w:val="both"/>
      </w:pPr>
    </w:p>
    <w:p w14:paraId="1ABBF00C" w14:textId="77777777" w:rsidR="00F22E55" w:rsidRPr="00806B8B" w:rsidRDefault="00F22E55" w:rsidP="00233CC3">
      <w:pPr>
        <w:jc w:val="both"/>
        <w:rPr>
          <w:b/>
        </w:rPr>
      </w:pPr>
      <w:r w:rsidRPr="00806B8B">
        <w:rPr>
          <w:b/>
        </w:rPr>
        <w:lastRenderedPageBreak/>
        <w:t>Basis for Evaluation</w:t>
      </w:r>
    </w:p>
    <w:p w14:paraId="36F4CEDB" w14:textId="77777777" w:rsidR="00F22E55" w:rsidRPr="00806B8B" w:rsidRDefault="00F22E55" w:rsidP="00233CC3">
      <w:pPr>
        <w:jc w:val="both"/>
      </w:pPr>
      <w:r w:rsidRPr="00806B8B">
        <w:t>The course grade will be based on</w:t>
      </w:r>
      <w:r w:rsidR="00ED2BDE" w:rsidRPr="00806B8B">
        <w:t xml:space="preserve"> the following elements:</w:t>
      </w:r>
    </w:p>
    <w:p w14:paraId="742B5039" w14:textId="60AB12A2" w:rsidR="00054430" w:rsidRPr="00806B8B" w:rsidRDefault="0083186C" w:rsidP="00233CC3">
      <w:pPr>
        <w:jc w:val="both"/>
      </w:pPr>
      <w:r w:rsidRPr="00806B8B">
        <w:rPr>
          <w:i/>
          <w:iCs/>
        </w:rPr>
        <w:t>D</w:t>
      </w:r>
      <w:r w:rsidR="00054430" w:rsidRPr="00806B8B">
        <w:rPr>
          <w:i/>
          <w:iCs/>
        </w:rPr>
        <w:t>iagnostic exam</w:t>
      </w:r>
      <w:r w:rsidRPr="00806B8B">
        <w:rPr>
          <w:i/>
          <w:iCs/>
        </w:rPr>
        <w:t xml:space="preserve"> (improvement-only)</w:t>
      </w:r>
      <w:r w:rsidR="00054430" w:rsidRPr="00806B8B">
        <w:rPr>
          <w:i/>
          <w:iCs/>
        </w:rPr>
        <w:t>:</w:t>
      </w:r>
      <w:r w:rsidR="00054430" w:rsidRPr="00806B8B">
        <w:t xml:space="preserve"> 10 percent </w:t>
      </w:r>
    </w:p>
    <w:p w14:paraId="308E3223" w14:textId="10229637" w:rsidR="00054430" w:rsidRPr="00806B8B" w:rsidRDefault="00054430" w:rsidP="00233CC3">
      <w:pPr>
        <w:jc w:val="both"/>
      </w:pPr>
      <w:r w:rsidRPr="00806B8B">
        <w:rPr>
          <w:i/>
        </w:rPr>
        <w:t xml:space="preserve">In-class quizzes: </w:t>
      </w:r>
      <w:r w:rsidRPr="00806B8B">
        <w:t>15 percent</w:t>
      </w:r>
    </w:p>
    <w:p w14:paraId="564CD8A1" w14:textId="06E79718" w:rsidR="00ED2BDE" w:rsidRPr="00806B8B" w:rsidRDefault="00ED2BDE" w:rsidP="00233CC3">
      <w:pPr>
        <w:jc w:val="both"/>
      </w:pPr>
      <w:r w:rsidRPr="00806B8B">
        <w:rPr>
          <w:i/>
        </w:rPr>
        <w:t xml:space="preserve">Midterm </w:t>
      </w:r>
      <w:r w:rsidR="00207B8A" w:rsidRPr="00806B8B">
        <w:rPr>
          <w:i/>
        </w:rPr>
        <w:t>e</w:t>
      </w:r>
      <w:r w:rsidRPr="00806B8B">
        <w:rPr>
          <w:i/>
        </w:rPr>
        <w:t xml:space="preserve">xam:  </w:t>
      </w:r>
      <w:r w:rsidR="00207B8A" w:rsidRPr="00806B8B">
        <w:t>30</w:t>
      </w:r>
      <w:r w:rsidRPr="00806B8B">
        <w:t xml:space="preserve"> percent</w:t>
      </w:r>
    </w:p>
    <w:p w14:paraId="5D1F8EB9" w14:textId="53370F81" w:rsidR="00ED2BDE" w:rsidRDefault="00ED2BDE" w:rsidP="00233CC3">
      <w:pPr>
        <w:jc w:val="both"/>
      </w:pPr>
      <w:r w:rsidRPr="00806B8B">
        <w:rPr>
          <w:i/>
        </w:rPr>
        <w:t>Final</w:t>
      </w:r>
      <w:r w:rsidR="00207B8A" w:rsidRPr="00806B8B">
        <w:rPr>
          <w:i/>
        </w:rPr>
        <w:t xml:space="preserve"> e</w:t>
      </w:r>
      <w:r w:rsidRPr="00806B8B">
        <w:rPr>
          <w:i/>
        </w:rPr>
        <w:t xml:space="preserve">xam:  </w:t>
      </w:r>
      <w:r w:rsidRPr="00806B8B">
        <w:t>4</w:t>
      </w:r>
      <w:r w:rsidR="00054430" w:rsidRPr="00806B8B">
        <w:t>5</w:t>
      </w:r>
      <w:r w:rsidRPr="00806B8B">
        <w:t xml:space="preserve"> percent</w:t>
      </w:r>
    </w:p>
    <w:p w14:paraId="648FBD24" w14:textId="77777777" w:rsidR="00255DBD" w:rsidRPr="00806B8B" w:rsidRDefault="00255DBD" w:rsidP="00233CC3">
      <w:pPr>
        <w:jc w:val="both"/>
      </w:pPr>
    </w:p>
    <w:p w14:paraId="72C4378F" w14:textId="23201A27" w:rsidR="00054430" w:rsidRPr="00806B8B" w:rsidRDefault="00054430" w:rsidP="00233CC3">
      <w:pPr>
        <w:jc w:val="both"/>
      </w:pPr>
      <w:r w:rsidRPr="00806B8B">
        <w:t xml:space="preserve">In the third week of class, there will be a 45 minutes “diagnostic” exam. This exam is meant to help you assess your command of the important concepts introduced in the first weeks of class. This exam will count towards your final grade only if it improves the grade. </w:t>
      </w:r>
    </w:p>
    <w:p w14:paraId="4652D417" w14:textId="15FF3CD8" w:rsidR="00F45518" w:rsidRPr="00806B8B" w:rsidRDefault="00ED2BDE" w:rsidP="00233CC3">
      <w:pPr>
        <w:jc w:val="both"/>
      </w:pPr>
      <w:r w:rsidRPr="00806B8B">
        <w:t xml:space="preserve">There will be a series of </w:t>
      </w:r>
      <w:r w:rsidR="001026C3" w:rsidRPr="00806B8B">
        <w:t>five</w:t>
      </w:r>
      <w:r w:rsidRPr="00806B8B">
        <w:t xml:space="preserve"> </w:t>
      </w:r>
      <w:r w:rsidR="00207B8A" w:rsidRPr="00806B8B">
        <w:t>short in-class quizzes</w:t>
      </w:r>
      <w:r w:rsidR="00870ACF" w:rsidRPr="00806B8B">
        <w:t xml:space="preserve"> (</w:t>
      </w:r>
      <w:r w:rsidR="00F84B6F" w:rsidRPr="00806B8B">
        <w:t>approx.</w:t>
      </w:r>
      <w:r w:rsidR="00FE643A" w:rsidRPr="00806B8B">
        <w:t xml:space="preserve"> </w:t>
      </w:r>
      <w:r w:rsidR="00054430" w:rsidRPr="00806B8B">
        <w:t>15</w:t>
      </w:r>
      <w:r w:rsidR="00870ACF" w:rsidRPr="00806B8B">
        <w:t xml:space="preserve"> minutes)</w:t>
      </w:r>
      <w:r w:rsidRPr="00806B8B">
        <w:t xml:space="preserve"> over the course of the term [see calendar]. </w:t>
      </w:r>
      <w:r w:rsidR="00F45518" w:rsidRPr="00806B8B">
        <w:t xml:space="preserve">The part of the course grade based on </w:t>
      </w:r>
      <w:r w:rsidR="00207B8A" w:rsidRPr="00806B8B">
        <w:t>these quizzes</w:t>
      </w:r>
      <w:r w:rsidR="00F45518" w:rsidRPr="00806B8B">
        <w:t xml:space="preserve"> will be based on the student’s best </w:t>
      </w:r>
      <w:r w:rsidR="001026C3" w:rsidRPr="00806B8B">
        <w:t>4</w:t>
      </w:r>
      <w:r w:rsidR="00F45518" w:rsidRPr="00806B8B">
        <w:t xml:space="preserve"> out of the </w:t>
      </w:r>
      <w:r w:rsidR="001026C3" w:rsidRPr="00806B8B">
        <w:t>5</w:t>
      </w:r>
      <w:r w:rsidR="00F45518" w:rsidRPr="00806B8B">
        <w:t xml:space="preserve"> </w:t>
      </w:r>
      <w:r w:rsidR="00207B8A" w:rsidRPr="00806B8B">
        <w:t>quizzes</w:t>
      </w:r>
      <w:r w:rsidR="00F45518" w:rsidRPr="00806B8B">
        <w:t>.</w:t>
      </w:r>
      <w:r w:rsidR="00207B8A" w:rsidRPr="00806B8B">
        <w:t xml:space="preserve"> P</w:t>
      </w:r>
      <w:r w:rsidR="00F45518" w:rsidRPr="00806B8B">
        <w:t xml:space="preserve">articipation in </w:t>
      </w:r>
      <w:r w:rsidR="00207B8A" w:rsidRPr="00806B8B">
        <w:t>all in-class quizzes</w:t>
      </w:r>
      <w:r w:rsidR="00F45518" w:rsidRPr="00806B8B">
        <w:t xml:space="preserve"> is mandatory, even if you expect </w:t>
      </w:r>
      <w:r w:rsidR="00207B8A" w:rsidRPr="00806B8B">
        <w:t>you</w:t>
      </w:r>
      <w:r w:rsidR="004F71F2">
        <w:t>r</w:t>
      </w:r>
      <w:r w:rsidR="00207B8A" w:rsidRPr="00806B8B">
        <w:t xml:space="preserve"> grade in a specific quiz not to be counted</w:t>
      </w:r>
      <w:r w:rsidR="00F45518" w:rsidRPr="00806B8B">
        <w:t>.</w:t>
      </w:r>
    </w:p>
    <w:p w14:paraId="729F4A1F" w14:textId="77777777" w:rsidR="003F2B25" w:rsidRPr="00806B8B" w:rsidRDefault="003F2B25" w:rsidP="00233CC3">
      <w:pPr>
        <w:jc w:val="both"/>
      </w:pPr>
    </w:p>
    <w:p w14:paraId="63EB8A4F" w14:textId="77777777" w:rsidR="003F2B25" w:rsidRDefault="003F2B25" w:rsidP="00233CC3">
      <w:pPr>
        <w:jc w:val="both"/>
        <w:rPr>
          <w:b/>
        </w:rPr>
      </w:pPr>
      <w:r w:rsidRPr="00806B8B">
        <w:rPr>
          <w:b/>
        </w:rPr>
        <w:t>Class Policies</w:t>
      </w:r>
    </w:p>
    <w:p w14:paraId="3F6591A5" w14:textId="77777777" w:rsidR="00255DBD" w:rsidRPr="00806B8B" w:rsidRDefault="00255DBD" w:rsidP="00233CC3">
      <w:pPr>
        <w:jc w:val="both"/>
        <w:rPr>
          <w:b/>
        </w:rPr>
      </w:pPr>
    </w:p>
    <w:p w14:paraId="70045C05" w14:textId="6D67FAB4" w:rsidR="008E7D99" w:rsidRPr="00255DBD" w:rsidRDefault="008E7D99" w:rsidP="00233CC3">
      <w:pPr>
        <w:jc w:val="both"/>
        <w:rPr>
          <w:b/>
        </w:rPr>
      </w:pPr>
      <w:r w:rsidRPr="00806B8B">
        <w:rPr>
          <w:b/>
        </w:rPr>
        <w:t>Academic dishonesty</w:t>
      </w:r>
      <w:r w:rsidR="00255DBD">
        <w:rPr>
          <w:b/>
        </w:rPr>
        <w:t xml:space="preserve">. </w:t>
      </w:r>
      <w:r w:rsidRPr="00806B8B">
        <w:t xml:space="preserve">As members of an academic community, each of us has a responsibility to participate in scholarly discourse and research in a manner characterized by intellectual honesty and scholarly integrity, and plagiarism is a very serious violation. While I encourage you to discuss the course readings and </w:t>
      </w:r>
      <w:r w:rsidR="00CD0E6F" w:rsidRPr="00806B8B">
        <w:t>assignment</w:t>
      </w:r>
      <w:r w:rsidRPr="00806B8B">
        <w:t>s with your classmates, all work that you turn in</w:t>
      </w:r>
      <w:r w:rsidR="00CD0E6F" w:rsidRPr="00806B8B">
        <w:t>, both for assignments and on exams,</w:t>
      </w:r>
      <w:r w:rsidRPr="00806B8B">
        <w:t xml:space="preserve"> must be your own. Any suspected case of plagiarism will be reported to the university, and students who breach their intellectual responsibility in this regard should anticipate being asked to leave Columbia.</w:t>
      </w:r>
    </w:p>
    <w:p w14:paraId="0C4D247B" w14:textId="77777777" w:rsidR="00F330E1" w:rsidRPr="00806B8B" w:rsidRDefault="00F330E1" w:rsidP="00233CC3">
      <w:pPr>
        <w:jc w:val="both"/>
      </w:pPr>
    </w:p>
    <w:p w14:paraId="0C5CF707" w14:textId="66899A04" w:rsidR="00F330E1" w:rsidRPr="00806B8B" w:rsidRDefault="00F330E1" w:rsidP="00233CC3">
      <w:pPr>
        <w:jc w:val="both"/>
      </w:pPr>
      <w:r w:rsidRPr="00806B8B">
        <w:rPr>
          <w:b/>
          <w:bCs/>
        </w:rPr>
        <w:t>No make-up exams.</w:t>
      </w:r>
      <w:r w:rsidRPr="00806B8B">
        <w:t xml:space="preserve"> For this class there is a strict no make-up exam policy. If you miss one or several quizzes, the part of the course based on quizzes will be based on the average of the other quizzes. If you miss the midterm, you will not be granted a make-up exam. Instead, all weight for your midterm will be transferred to your final. If you miss the final, there is a Columbia University policy for this occurrence. The University governs the administration of all missed final exams.</w:t>
      </w:r>
    </w:p>
    <w:p w14:paraId="01473E19" w14:textId="77777777" w:rsidR="00F330E1" w:rsidRPr="00806B8B" w:rsidRDefault="00F330E1" w:rsidP="00233CC3">
      <w:pPr>
        <w:jc w:val="both"/>
      </w:pPr>
    </w:p>
    <w:p w14:paraId="3A985053" w14:textId="2DFCBF5A" w:rsidR="00F330E1" w:rsidRPr="00806B8B" w:rsidRDefault="00F330E1" w:rsidP="00233CC3">
      <w:pPr>
        <w:jc w:val="both"/>
      </w:pPr>
      <w:r w:rsidRPr="00255DBD">
        <w:rPr>
          <w:b/>
          <w:bCs/>
        </w:rPr>
        <w:t>Re-grading.</w:t>
      </w:r>
      <w:r w:rsidRPr="00806B8B">
        <w:t xml:space="preserve"> A regrade request for an exam must be submitted to the TA within 7 days after we return the exam to you. The request for a regrade must be written and attached to the exam when submitting the exam for a regrade. The request must include a description of what the problem is and why you think the exam should be graded differently. In such cases, we will regrade the entire exam, not just the question you identified. </w:t>
      </w:r>
    </w:p>
    <w:p w14:paraId="47653EEC" w14:textId="77777777" w:rsidR="00F330E1" w:rsidRPr="00806B8B" w:rsidRDefault="00F330E1" w:rsidP="00233CC3">
      <w:pPr>
        <w:jc w:val="both"/>
      </w:pPr>
    </w:p>
    <w:p w14:paraId="32B5A658" w14:textId="2C21D0CC" w:rsidR="00F330E1" w:rsidRPr="00806B8B" w:rsidRDefault="00F330E1" w:rsidP="00233CC3">
      <w:pPr>
        <w:jc w:val="both"/>
      </w:pPr>
      <w:r w:rsidRPr="00806B8B">
        <w:rPr>
          <w:b/>
          <w:bCs/>
        </w:rPr>
        <w:t>UW grade (not applicable to CC/GS students).</w:t>
      </w:r>
      <w:r w:rsidRPr="00806B8B">
        <w:t xml:space="preserve"> Students who complete the diagnostic exam and/or the first quiz are not eligible for the UW.</w:t>
      </w:r>
    </w:p>
    <w:p w14:paraId="161A2489" w14:textId="77777777" w:rsidR="00F330E1" w:rsidRPr="00806B8B" w:rsidRDefault="00F330E1" w:rsidP="00233CC3">
      <w:pPr>
        <w:jc w:val="both"/>
      </w:pPr>
    </w:p>
    <w:p w14:paraId="659767EE" w14:textId="4A94084C" w:rsidR="00974493" w:rsidRPr="00255DBD" w:rsidRDefault="00974493" w:rsidP="00233CC3">
      <w:pPr>
        <w:jc w:val="both"/>
        <w:rPr>
          <w:b/>
        </w:rPr>
      </w:pPr>
      <w:r w:rsidRPr="00806B8B">
        <w:rPr>
          <w:b/>
        </w:rPr>
        <w:t>Disabilities</w:t>
      </w:r>
      <w:r w:rsidR="00255DBD">
        <w:rPr>
          <w:b/>
        </w:rPr>
        <w:t xml:space="preserve">. </w:t>
      </w:r>
      <w:r w:rsidRPr="00806B8B">
        <w:t>If you are a student with a disability and have a DS-certified ‘Accommodation Letter’</w:t>
      </w:r>
      <w:r w:rsidR="00255DBD">
        <w:t>,</w:t>
      </w:r>
      <w:r w:rsidRPr="00806B8B">
        <w:t xml:space="preserve"> please </w:t>
      </w:r>
      <w:r w:rsidR="00255DBD">
        <w:t>email me</w:t>
      </w:r>
      <w:r w:rsidRPr="00806B8B">
        <w:t xml:space="preserve"> to confirm your accommodation needs. If you believe that you might have a disability that requires accommodation, you should contact </w:t>
      </w:r>
      <w:hyperlink r:id="rId7" w:tgtFrame="_blank" w:history="1">
        <w:r w:rsidRPr="00806B8B">
          <w:rPr>
            <w:color w:val="0000FF"/>
          </w:rPr>
          <w:t>Disability Services</w:t>
        </w:r>
      </w:hyperlink>
      <w:r w:rsidRPr="00806B8B">
        <w:t xml:space="preserve"> at 212-854-2388 and </w:t>
      </w:r>
      <w:hyperlink r:id="rId8" w:history="1">
        <w:r w:rsidRPr="00806B8B">
          <w:rPr>
            <w:color w:val="0000FF"/>
          </w:rPr>
          <w:t>disability@columbia.edu</w:t>
        </w:r>
      </w:hyperlink>
      <w:r w:rsidRPr="00806B8B">
        <w:t>.</w:t>
      </w:r>
    </w:p>
    <w:p w14:paraId="7140CC72" w14:textId="77777777" w:rsidR="00F330E1" w:rsidRPr="00806B8B" w:rsidRDefault="00F330E1" w:rsidP="00233CC3">
      <w:pPr>
        <w:jc w:val="both"/>
        <w:rPr>
          <w:b/>
        </w:rPr>
      </w:pPr>
    </w:p>
    <w:p w14:paraId="5E457ED7" w14:textId="77777777" w:rsidR="00F330E1" w:rsidRPr="00806B8B" w:rsidRDefault="00F330E1" w:rsidP="00233CC3">
      <w:pPr>
        <w:jc w:val="both"/>
        <w:rPr>
          <w:b/>
        </w:rPr>
      </w:pPr>
    </w:p>
    <w:p w14:paraId="3B7E1731" w14:textId="4DC1F101" w:rsidR="005813C7" w:rsidRDefault="006D4ECF" w:rsidP="00233CC3">
      <w:pPr>
        <w:jc w:val="both"/>
      </w:pPr>
      <w:r w:rsidRPr="00806B8B">
        <w:rPr>
          <w:b/>
        </w:rPr>
        <w:lastRenderedPageBreak/>
        <w:t>Class Conduct</w:t>
      </w:r>
      <w:r w:rsidR="00255DBD">
        <w:rPr>
          <w:b/>
        </w:rPr>
        <w:t xml:space="preserve">. </w:t>
      </w:r>
      <w:r w:rsidRPr="00806B8B">
        <w:t>Cell phone use is not allowed. Laptops are fine for taking notes, but please respect your classmates and instructor by limiting yourself to class-related activities. Though you may be a phenomenal multi-tasker</w:t>
      </w:r>
      <w:r w:rsidR="001E0C45" w:rsidRPr="00806B8B">
        <w:t>, using a laptop for purposes other than taking notes is distracting to those around you.</w:t>
      </w:r>
    </w:p>
    <w:p w14:paraId="638682C2" w14:textId="77777777" w:rsidR="00255DBD" w:rsidRDefault="00255DBD" w:rsidP="00233CC3">
      <w:pPr>
        <w:jc w:val="both"/>
      </w:pPr>
    </w:p>
    <w:p w14:paraId="2697F912" w14:textId="2CF5566B" w:rsidR="00255DBD" w:rsidRPr="00255DBD" w:rsidRDefault="00255DBD" w:rsidP="00233CC3">
      <w:pPr>
        <w:jc w:val="both"/>
        <w:rPr>
          <w:b/>
        </w:rPr>
      </w:pPr>
      <w:r w:rsidRPr="00255DBD">
        <w:rPr>
          <w:b/>
          <w:bCs/>
        </w:rPr>
        <w:t>Attendance.</w:t>
      </w:r>
      <w:r>
        <w:t xml:space="preserve"> I do not register attendance. Everything that I say during lectures constitutes material for exams. </w:t>
      </w:r>
    </w:p>
    <w:p w14:paraId="75C12D5B" w14:textId="77777777" w:rsidR="00921AA9" w:rsidRPr="00806B8B" w:rsidRDefault="00921AA9" w:rsidP="00233CC3">
      <w:pPr>
        <w:jc w:val="both"/>
      </w:pPr>
    </w:p>
    <w:p w14:paraId="74D9794D" w14:textId="11FB2173" w:rsidR="00921AA9" w:rsidRDefault="00921AA9" w:rsidP="00233CC3">
      <w:pPr>
        <w:jc w:val="both"/>
      </w:pPr>
      <w:r w:rsidRPr="00255DBD">
        <w:rPr>
          <w:b/>
          <w:bCs/>
        </w:rPr>
        <w:t>Questions and Communication</w:t>
      </w:r>
      <w:r w:rsidR="00484A41">
        <w:rPr>
          <w:b/>
          <w:bCs/>
        </w:rPr>
        <w:t xml:space="preserve">. </w:t>
      </w:r>
      <w:r w:rsidR="00255DBD">
        <w:rPr>
          <w:b/>
          <w:bCs/>
        </w:rPr>
        <w:t xml:space="preserve"> </w:t>
      </w:r>
      <w:r w:rsidR="007B47EF">
        <w:t xml:space="preserve">All questions related to the course content must be posted on </w:t>
      </w:r>
      <w:proofErr w:type="spellStart"/>
      <w:r w:rsidR="007B47EF">
        <w:t>EdDiscussion</w:t>
      </w:r>
      <w:proofErr w:type="spellEnd"/>
      <w:r w:rsidR="007B47EF">
        <w:t xml:space="preserve"> (link available in </w:t>
      </w:r>
      <w:proofErr w:type="spellStart"/>
      <w:r w:rsidR="007B47EF">
        <w:t>Courseworks</w:t>
      </w:r>
      <w:proofErr w:type="spellEnd"/>
      <w:r w:rsidR="007B47EF">
        <w:t xml:space="preserve">). </w:t>
      </w:r>
      <w:r w:rsidR="00484A41">
        <w:t xml:space="preserve">For all other questions, please email the TA and </w:t>
      </w:r>
      <w:r w:rsidR="004F71F2">
        <w:t>me</w:t>
      </w:r>
      <w:r w:rsidR="00484A41">
        <w:t xml:space="preserve">. </w:t>
      </w:r>
    </w:p>
    <w:p w14:paraId="4BC3E680" w14:textId="77777777" w:rsidR="00255DBD" w:rsidRDefault="00255DBD" w:rsidP="00233CC3">
      <w:pPr>
        <w:jc w:val="both"/>
      </w:pPr>
    </w:p>
    <w:p w14:paraId="61B1BA2F" w14:textId="77777777" w:rsidR="00484A41" w:rsidRDefault="00484A41" w:rsidP="00233CC3">
      <w:pPr>
        <w:jc w:val="both"/>
      </w:pPr>
    </w:p>
    <w:p w14:paraId="5453C038" w14:textId="5B1BD065" w:rsidR="00484A41" w:rsidRPr="00484A41" w:rsidRDefault="00484A41" w:rsidP="00233CC3">
      <w:pPr>
        <w:jc w:val="both"/>
        <w:rPr>
          <w:b/>
          <w:bCs/>
        </w:rPr>
      </w:pPr>
      <w:r w:rsidRPr="00484A41">
        <w:rPr>
          <w:b/>
          <w:bCs/>
        </w:rPr>
        <w:t>Calendar and readings</w:t>
      </w:r>
    </w:p>
    <w:p w14:paraId="3B7FBE8F" w14:textId="77777777" w:rsidR="00484A41" w:rsidRDefault="00484A41" w:rsidP="00233CC3">
      <w:pPr>
        <w:jc w:val="both"/>
      </w:pPr>
    </w:p>
    <w:p w14:paraId="6966CD83" w14:textId="3BF6F024" w:rsidR="00255DBD" w:rsidRPr="00484A41" w:rsidRDefault="00255DBD" w:rsidP="00233CC3">
      <w:pPr>
        <w:jc w:val="both"/>
        <w:rPr>
          <w:b/>
        </w:rPr>
      </w:pPr>
      <w:r w:rsidRPr="00806B8B">
        <w:rPr>
          <w:b/>
        </w:rPr>
        <w:t>Syllabus</w:t>
      </w:r>
      <w:r w:rsidR="00484A41">
        <w:rPr>
          <w:b/>
        </w:rPr>
        <w:t xml:space="preserve">. </w:t>
      </w:r>
      <w:r w:rsidRPr="00806B8B">
        <w:t xml:space="preserve">I may make changes to the syllabus over the course of the semester. The most recent version of the syllabus will always be posted on </w:t>
      </w:r>
      <w:proofErr w:type="spellStart"/>
      <w:r w:rsidRPr="00806B8B">
        <w:t>Courseworks</w:t>
      </w:r>
      <w:proofErr w:type="spellEnd"/>
      <w:r w:rsidRPr="00806B8B">
        <w:t>.</w:t>
      </w:r>
    </w:p>
    <w:p w14:paraId="2B9752A2" w14:textId="77777777" w:rsidR="00921AA9" w:rsidRPr="00806B8B" w:rsidRDefault="00921AA9" w:rsidP="00233CC3">
      <w:pPr>
        <w:jc w:val="both"/>
      </w:pPr>
    </w:p>
    <w:p w14:paraId="42003EDB" w14:textId="50286392" w:rsidR="00484A41" w:rsidRDefault="00D3759F" w:rsidP="00233CC3">
      <w:pPr>
        <w:jc w:val="both"/>
      </w:pPr>
      <w:r w:rsidRPr="00806B8B">
        <w:rPr>
          <w:b/>
        </w:rPr>
        <w:t>Textbook</w:t>
      </w:r>
      <w:r w:rsidR="00484A41">
        <w:t xml:space="preserve">. </w:t>
      </w:r>
      <w:r w:rsidRPr="00806B8B">
        <w:t xml:space="preserve">There is no required textbook for this course. </w:t>
      </w:r>
      <w:r w:rsidR="00484A41">
        <w:t>The following textbooks may be useful as background reading (I emphasize that these are not required):</w:t>
      </w:r>
    </w:p>
    <w:p w14:paraId="1879D268" w14:textId="7A7795E6" w:rsidR="00484A41" w:rsidRDefault="00484A41" w:rsidP="00233CC3">
      <w:pPr>
        <w:jc w:val="both"/>
      </w:pPr>
      <w:proofErr w:type="spellStart"/>
      <w:r>
        <w:t>Kurlat</w:t>
      </w:r>
      <w:proofErr w:type="spellEnd"/>
      <w:r>
        <w:t>, P., A Course in Modern Macroeconomics (</w:t>
      </w:r>
      <w:hyperlink r:id="rId9" w:history="1">
        <w:r w:rsidRPr="000A6A53">
          <w:rPr>
            <w:rStyle w:val="Hyperlink"/>
          </w:rPr>
          <w:t>https://sites.google.com/view/pkurlat/a-course-in-modern-macroeconomics</w:t>
        </w:r>
      </w:hyperlink>
      <w:r>
        <w:t xml:space="preserve">) </w:t>
      </w:r>
    </w:p>
    <w:p w14:paraId="159FF395" w14:textId="595130A2" w:rsidR="00484A41" w:rsidRDefault="00484A41" w:rsidP="00233CC3">
      <w:pPr>
        <w:jc w:val="both"/>
      </w:pPr>
      <w:r>
        <w:t>Jones, C., Macroeconomics</w:t>
      </w:r>
    </w:p>
    <w:p w14:paraId="14591663" w14:textId="6F352F9F" w:rsidR="00484A41" w:rsidRDefault="00484A41" w:rsidP="00233CC3">
      <w:pPr>
        <w:jc w:val="both"/>
      </w:pPr>
      <w:r>
        <w:t>Romer, D., Advanced Macroeconomics</w:t>
      </w:r>
    </w:p>
    <w:p w14:paraId="05C591CB" w14:textId="76BB4D7C" w:rsidR="00D3759F" w:rsidRDefault="00D3759F" w:rsidP="00233CC3">
      <w:pPr>
        <w:jc w:val="both"/>
      </w:pPr>
      <w:r w:rsidRPr="00806B8B">
        <w:t xml:space="preserve">For econometric methods, a useful reference is </w:t>
      </w:r>
      <w:r w:rsidR="00484A41" w:rsidRPr="00484A41">
        <w:t>Joshua D. Angrist and Jorn-Steffen Pischke Mastering ’Metrics:</w:t>
      </w:r>
      <w:r w:rsidR="00484A41">
        <w:t xml:space="preserve"> </w:t>
      </w:r>
      <w:r w:rsidR="00484A41" w:rsidRPr="00484A41">
        <w:t>The Path from Cause to Effect</w:t>
      </w:r>
    </w:p>
    <w:p w14:paraId="5DF43171" w14:textId="77777777" w:rsidR="00E20718" w:rsidRPr="00806B8B" w:rsidRDefault="00E20718" w:rsidP="00233CC3">
      <w:pPr>
        <w:jc w:val="both"/>
      </w:pPr>
    </w:p>
    <w:p w14:paraId="7D67142F" w14:textId="6B205BF1" w:rsidR="00E20718" w:rsidRDefault="00484A41" w:rsidP="00233CC3">
      <w:pPr>
        <w:jc w:val="both"/>
        <w:rPr>
          <w:b/>
          <w:bCs/>
        </w:rPr>
      </w:pPr>
      <w:r w:rsidRPr="00484A41">
        <w:rPr>
          <w:b/>
          <w:bCs/>
        </w:rPr>
        <w:t>Calendar [tentative]</w:t>
      </w:r>
    </w:p>
    <w:p w14:paraId="278480B7" w14:textId="77777777" w:rsidR="00484A41" w:rsidRPr="00484A41" w:rsidRDefault="00484A41" w:rsidP="00233CC3">
      <w:pPr>
        <w:jc w:val="both"/>
        <w:rPr>
          <w:b/>
          <w:bCs/>
        </w:rPr>
      </w:pPr>
    </w:p>
    <w:tbl>
      <w:tblPr>
        <w:tblW w:w="9800" w:type="dxa"/>
        <w:tblLook w:val="04A0" w:firstRow="1" w:lastRow="0" w:firstColumn="1" w:lastColumn="0" w:noHBand="0" w:noVBand="1"/>
      </w:tblPr>
      <w:tblGrid>
        <w:gridCol w:w="1480"/>
        <w:gridCol w:w="883"/>
        <w:gridCol w:w="5560"/>
        <w:gridCol w:w="1880"/>
      </w:tblGrid>
      <w:tr w:rsidR="00806B8B" w:rsidRPr="004F71F2" w14:paraId="55742BA9" w14:textId="77777777" w:rsidTr="00806B8B">
        <w:trPr>
          <w:trHeight w:val="320"/>
        </w:trPr>
        <w:tc>
          <w:tcPr>
            <w:tcW w:w="1480" w:type="dxa"/>
            <w:tcBorders>
              <w:top w:val="single" w:sz="8" w:space="0" w:color="auto"/>
              <w:left w:val="single" w:sz="8" w:space="0" w:color="auto"/>
              <w:bottom w:val="single" w:sz="4" w:space="0" w:color="auto"/>
              <w:right w:val="nil"/>
            </w:tcBorders>
            <w:noWrap/>
            <w:vAlign w:val="bottom"/>
            <w:hideMark/>
          </w:tcPr>
          <w:p w14:paraId="17404BA2" w14:textId="77777777" w:rsidR="00806B8B" w:rsidRPr="004F71F2" w:rsidRDefault="00806B8B" w:rsidP="00233CC3">
            <w:pPr>
              <w:jc w:val="both"/>
              <w:rPr>
                <w:b/>
                <w:bCs/>
                <w:color w:val="000000"/>
                <w:sz w:val="20"/>
                <w:szCs w:val="20"/>
              </w:rPr>
            </w:pPr>
            <w:r w:rsidRPr="004F71F2">
              <w:rPr>
                <w:b/>
                <w:bCs/>
                <w:color w:val="000000"/>
                <w:sz w:val="20"/>
                <w:szCs w:val="20"/>
              </w:rPr>
              <w:t>Date</w:t>
            </w:r>
          </w:p>
        </w:tc>
        <w:tc>
          <w:tcPr>
            <w:tcW w:w="880" w:type="dxa"/>
            <w:tcBorders>
              <w:top w:val="single" w:sz="8" w:space="0" w:color="auto"/>
              <w:left w:val="nil"/>
              <w:bottom w:val="single" w:sz="4" w:space="0" w:color="auto"/>
              <w:right w:val="nil"/>
            </w:tcBorders>
            <w:noWrap/>
            <w:vAlign w:val="bottom"/>
            <w:hideMark/>
          </w:tcPr>
          <w:p w14:paraId="18A239DB" w14:textId="77777777" w:rsidR="00806B8B" w:rsidRPr="004F71F2" w:rsidRDefault="00806B8B" w:rsidP="00233CC3">
            <w:pPr>
              <w:jc w:val="both"/>
              <w:rPr>
                <w:b/>
                <w:bCs/>
                <w:color w:val="000000"/>
                <w:sz w:val="20"/>
                <w:szCs w:val="20"/>
              </w:rPr>
            </w:pPr>
            <w:r w:rsidRPr="004F71F2">
              <w:rPr>
                <w:b/>
                <w:bCs/>
                <w:color w:val="000000"/>
                <w:sz w:val="20"/>
                <w:szCs w:val="20"/>
              </w:rPr>
              <w:t>Lecture</w:t>
            </w:r>
          </w:p>
        </w:tc>
        <w:tc>
          <w:tcPr>
            <w:tcW w:w="5560" w:type="dxa"/>
            <w:tcBorders>
              <w:top w:val="single" w:sz="8" w:space="0" w:color="auto"/>
              <w:left w:val="nil"/>
              <w:bottom w:val="single" w:sz="4" w:space="0" w:color="auto"/>
              <w:right w:val="nil"/>
            </w:tcBorders>
            <w:noWrap/>
            <w:vAlign w:val="bottom"/>
            <w:hideMark/>
          </w:tcPr>
          <w:p w14:paraId="22923C49" w14:textId="77777777" w:rsidR="00806B8B" w:rsidRPr="004F71F2" w:rsidRDefault="00806B8B" w:rsidP="00233CC3">
            <w:pPr>
              <w:jc w:val="both"/>
              <w:rPr>
                <w:b/>
                <w:bCs/>
                <w:color w:val="000000"/>
                <w:sz w:val="20"/>
                <w:szCs w:val="20"/>
              </w:rPr>
            </w:pPr>
            <w:r w:rsidRPr="004F71F2">
              <w:rPr>
                <w:b/>
                <w:bCs/>
                <w:color w:val="000000"/>
                <w:sz w:val="20"/>
                <w:szCs w:val="20"/>
              </w:rPr>
              <w:t>Topic</w:t>
            </w:r>
          </w:p>
        </w:tc>
        <w:tc>
          <w:tcPr>
            <w:tcW w:w="1880" w:type="dxa"/>
            <w:tcBorders>
              <w:top w:val="single" w:sz="8" w:space="0" w:color="auto"/>
              <w:left w:val="nil"/>
              <w:bottom w:val="single" w:sz="4" w:space="0" w:color="auto"/>
              <w:right w:val="single" w:sz="8" w:space="0" w:color="auto"/>
            </w:tcBorders>
            <w:noWrap/>
            <w:vAlign w:val="bottom"/>
            <w:hideMark/>
          </w:tcPr>
          <w:p w14:paraId="5F1F790F" w14:textId="77777777" w:rsidR="00806B8B" w:rsidRPr="004F71F2" w:rsidRDefault="00806B8B" w:rsidP="00233CC3">
            <w:pPr>
              <w:jc w:val="both"/>
              <w:rPr>
                <w:b/>
                <w:bCs/>
                <w:color w:val="000000"/>
                <w:sz w:val="20"/>
                <w:szCs w:val="20"/>
              </w:rPr>
            </w:pPr>
            <w:r w:rsidRPr="004F71F2">
              <w:rPr>
                <w:b/>
                <w:bCs/>
                <w:color w:val="000000"/>
                <w:sz w:val="20"/>
                <w:szCs w:val="20"/>
              </w:rPr>
              <w:t>Assessments</w:t>
            </w:r>
          </w:p>
        </w:tc>
      </w:tr>
      <w:tr w:rsidR="00806B8B" w:rsidRPr="004F71F2" w14:paraId="112DFAEA" w14:textId="77777777" w:rsidTr="00806B8B">
        <w:trPr>
          <w:trHeight w:val="320"/>
        </w:trPr>
        <w:tc>
          <w:tcPr>
            <w:tcW w:w="1480" w:type="dxa"/>
            <w:tcBorders>
              <w:top w:val="nil"/>
              <w:left w:val="single" w:sz="8" w:space="0" w:color="auto"/>
              <w:bottom w:val="nil"/>
              <w:right w:val="nil"/>
            </w:tcBorders>
            <w:noWrap/>
            <w:vAlign w:val="bottom"/>
            <w:hideMark/>
          </w:tcPr>
          <w:p w14:paraId="64BBCBDB" w14:textId="77777777" w:rsidR="00806B8B" w:rsidRPr="004F71F2" w:rsidRDefault="00806B8B" w:rsidP="00233CC3">
            <w:pPr>
              <w:jc w:val="both"/>
              <w:rPr>
                <w:color w:val="000000"/>
                <w:sz w:val="20"/>
                <w:szCs w:val="20"/>
              </w:rPr>
            </w:pPr>
            <w:r w:rsidRPr="004F71F2">
              <w:rPr>
                <w:color w:val="000000"/>
                <w:sz w:val="20"/>
                <w:szCs w:val="20"/>
              </w:rPr>
              <w:t>3-Sep-2025</w:t>
            </w:r>
          </w:p>
        </w:tc>
        <w:tc>
          <w:tcPr>
            <w:tcW w:w="880" w:type="dxa"/>
            <w:tcBorders>
              <w:top w:val="nil"/>
              <w:left w:val="nil"/>
              <w:bottom w:val="nil"/>
              <w:right w:val="nil"/>
            </w:tcBorders>
            <w:noWrap/>
            <w:vAlign w:val="bottom"/>
            <w:hideMark/>
          </w:tcPr>
          <w:p w14:paraId="13888C1E" w14:textId="77777777" w:rsidR="00806B8B" w:rsidRPr="004F71F2" w:rsidRDefault="00806B8B" w:rsidP="00233CC3">
            <w:pPr>
              <w:jc w:val="both"/>
              <w:rPr>
                <w:color w:val="000000"/>
                <w:sz w:val="20"/>
                <w:szCs w:val="20"/>
              </w:rPr>
            </w:pPr>
            <w:r w:rsidRPr="004F71F2">
              <w:rPr>
                <w:color w:val="000000"/>
                <w:sz w:val="20"/>
                <w:szCs w:val="20"/>
              </w:rPr>
              <w:t>1</w:t>
            </w:r>
          </w:p>
        </w:tc>
        <w:tc>
          <w:tcPr>
            <w:tcW w:w="5560" w:type="dxa"/>
            <w:tcBorders>
              <w:top w:val="nil"/>
              <w:left w:val="nil"/>
              <w:bottom w:val="nil"/>
              <w:right w:val="nil"/>
            </w:tcBorders>
            <w:noWrap/>
            <w:vAlign w:val="bottom"/>
            <w:hideMark/>
          </w:tcPr>
          <w:p w14:paraId="78742287" w14:textId="77777777" w:rsidR="00806B8B" w:rsidRPr="004F71F2" w:rsidRDefault="00806B8B" w:rsidP="00233CC3">
            <w:pPr>
              <w:jc w:val="both"/>
              <w:rPr>
                <w:color w:val="000000"/>
                <w:sz w:val="20"/>
                <w:szCs w:val="20"/>
              </w:rPr>
            </w:pPr>
            <w:r w:rsidRPr="004F71F2">
              <w:rPr>
                <w:color w:val="000000"/>
                <w:sz w:val="20"/>
                <w:szCs w:val="20"/>
              </w:rPr>
              <w:t>Intro</w:t>
            </w:r>
          </w:p>
        </w:tc>
        <w:tc>
          <w:tcPr>
            <w:tcW w:w="1880" w:type="dxa"/>
            <w:tcBorders>
              <w:top w:val="nil"/>
              <w:left w:val="nil"/>
              <w:bottom w:val="nil"/>
              <w:right w:val="single" w:sz="8" w:space="0" w:color="auto"/>
            </w:tcBorders>
            <w:noWrap/>
            <w:vAlign w:val="bottom"/>
            <w:hideMark/>
          </w:tcPr>
          <w:p w14:paraId="1A5D87C3"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3C3F281" w14:textId="77777777" w:rsidTr="00806B8B">
        <w:trPr>
          <w:trHeight w:val="320"/>
        </w:trPr>
        <w:tc>
          <w:tcPr>
            <w:tcW w:w="1480" w:type="dxa"/>
            <w:tcBorders>
              <w:top w:val="nil"/>
              <w:left w:val="single" w:sz="8" w:space="0" w:color="auto"/>
              <w:bottom w:val="nil"/>
              <w:right w:val="nil"/>
            </w:tcBorders>
            <w:noWrap/>
            <w:vAlign w:val="bottom"/>
            <w:hideMark/>
          </w:tcPr>
          <w:p w14:paraId="2BFFA9E4" w14:textId="77777777" w:rsidR="00806B8B" w:rsidRPr="004F71F2" w:rsidRDefault="00806B8B" w:rsidP="00233CC3">
            <w:pPr>
              <w:jc w:val="both"/>
              <w:rPr>
                <w:color w:val="000000"/>
                <w:sz w:val="20"/>
                <w:szCs w:val="20"/>
              </w:rPr>
            </w:pPr>
            <w:r w:rsidRPr="004F71F2">
              <w:rPr>
                <w:color w:val="000000"/>
                <w:sz w:val="20"/>
                <w:szCs w:val="20"/>
              </w:rPr>
              <w:t>8-Sep-2025</w:t>
            </w:r>
          </w:p>
        </w:tc>
        <w:tc>
          <w:tcPr>
            <w:tcW w:w="880" w:type="dxa"/>
            <w:tcBorders>
              <w:top w:val="nil"/>
              <w:left w:val="nil"/>
              <w:bottom w:val="nil"/>
              <w:right w:val="nil"/>
            </w:tcBorders>
            <w:noWrap/>
            <w:vAlign w:val="bottom"/>
            <w:hideMark/>
          </w:tcPr>
          <w:p w14:paraId="0A25633A" w14:textId="77777777" w:rsidR="00806B8B" w:rsidRPr="004F71F2" w:rsidRDefault="00806B8B" w:rsidP="00233CC3">
            <w:pPr>
              <w:jc w:val="both"/>
              <w:rPr>
                <w:color w:val="000000"/>
                <w:sz w:val="20"/>
                <w:szCs w:val="20"/>
              </w:rPr>
            </w:pPr>
            <w:r w:rsidRPr="004F71F2">
              <w:rPr>
                <w:color w:val="000000"/>
                <w:sz w:val="20"/>
                <w:szCs w:val="20"/>
              </w:rPr>
              <w:t>2</w:t>
            </w:r>
          </w:p>
        </w:tc>
        <w:tc>
          <w:tcPr>
            <w:tcW w:w="5560" w:type="dxa"/>
            <w:tcBorders>
              <w:top w:val="nil"/>
              <w:left w:val="nil"/>
              <w:bottom w:val="nil"/>
              <w:right w:val="nil"/>
            </w:tcBorders>
            <w:noWrap/>
            <w:vAlign w:val="bottom"/>
            <w:hideMark/>
          </w:tcPr>
          <w:p w14:paraId="575C61EA" w14:textId="77777777" w:rsidR="00806B8B" w:rsidRPr="004F71F2" w:rsidRDefault="00806B8B" w:rsidP="00233CC3">
            <w:pPr>
              <w:jc w:val="both"/>
              <w:rPr>
                <w:color w:val="000000"/>
                <w:sz w:val="20"/>
                <w:szCs w:val="20"/>
              </w:rPr>
            </w:pPr>
            <w:r w:rsidRPr="004F71F2">
              <w:rPr>
                <w:color w:val="000000"/>
                <w:sz w:val="20"/>
                <w:szCs w:val="20"/>
              </w:rPr>
              <w:t>Causal inference for macro &amp; finance</w:t>
            </w:r>
          </w:p>
        </w:tc>
        <w:tc>
          <w:tcPr>
            <w:tcW w:w="1880" w:type="dxa"/>
            <w:tcBorders>
              <w:top w:val="nil"/>
              <w:left w:val="nil"/>
              <w:bottom w:val="nil"/>
              <w:right w:val="single" w:sz="8" w:space="0" w:color="auto"/>
            </w:tcBorders>
            <w:noWrap/>
            <w:vAlign w:val="bottom"/>
            <w:hideMark/>
          </w:tcPr>
          <w:p w14:paraId="0E25308B"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22F84E5B" w14:textId="77777777" w:rsidTr="00806B8B">
        <w:trPr>
          <w:trHeight w:val="320"/>
        </w:trPr>
        <w:tc>
          <w:tcPr>
            <w:tcW w:w="1480" w:type="dxa"/>
            <w:tcBorders>
              <w:top w:val="nil"/>
              <w:left w:val="single" w:sz="8" w:space="0" w:color="auto"/>
              <w:bottom w:val="nil"/>
              <w:right w:val="nil"/>
            </w:tcBorders>
            <w:noWrap/>
            <w:vAlign w:val="bottom"/>
            <w:hideMark/>
          </w:tcPr>
          <w:p w14:paraId="4F3B0692" w14:textId="77777777" w:rsidR="00806B8B" w:rsidRPr="004F71F2" w:rsidRDefault="00806B8B" w:rsidP="00233CC3">
            <w:pPr>
              <w:jc w:val="both"/>
              <w:rPr>
                <w:color w:val="000000"/>
                <w:sz w:val="20"/>
                <w:szCs w:val="20"/>
              </w:rPr>
            </w:pPr>
            <w:r w:rsidRPr="004F71F2">
              <w:rPr>
                <w:color w:val="000000"/>
                <w:sz w:val="20"/>
                <w:szCs w:val="20"/>
              </w:rPr>
              <w:t>10-Sep-2025</w:t>
            </w:r>
          </w:p>
        </w:tc>
        <w:tc>
          <w:tcPr>
            <w:tcW w:w="880" w:type="dxa"/>
            <w:tcBorders>
              <w:top w:val="nil"/>
              <w:left w:val="nil"/>
              <w:bottom w:val="nil"/>
              <w:right w:val="nil"/>
            </w:tcBorders>
            <w:noWrap/>
            <w:vAlign w:val="bottom"/>
            <w:hideMark/>
          </w:tcPr>
          <w:p w14:paraId="2677E25C" w14:textId="77777777" w:rsidR="00806B8B" w:rsidRPr="004F71F2" w:rsidRDefault="00806B8B" w:rsidP="00233CC3">
            <w:pPr>
              <w:jc w:val="both"/>
              <w:rPr>
                <w:color w:val="000000"/>
                <w:sz w:val="20"/>
                <w:szCs w:val="20"/>
              </w:rPr>
            </w:pPr>
            <w:r w:rsidRPr="004F71F2">
              <w:rPr>
                <w:color w:val="000000"/>
                <w:sz w:val="20"/>
                <w:szCs w:val="20"/>
              </w:rPr>
              <w:t>3</w:t>
            </w:r>
          </w:p>
        </w:tc>
        <w:tc>
          <w:tcPr>
            <w:tcW w:w="5560" w:type="dxa"/>
            <w:tcBorders>
              <w:top w:val="nil"/>
              <w:left w:val="nil"/>
              <w:bottom w:val="nil"/>
              <w:right w:val="nil"/>
            </w:tcBorders>
            <w:noWrap/>
            <w:vAlign w:val="bottom"/>
            <w:hideMark/>
          </w:tcPr>
          <w:p w14:paraId="6033BCA9"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3BD9860C"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998F985" w14:textId="77777777" w:rsidTr="00806B8B">
        <w:trPr>
          <w:trHeight w:val="320"/>
        </w:trPr>
        <w:tc>
          <w:tcPr>
            <w:tcW w:w="1480" w:type="dxa"/>
            <w:tcBorders>
              <w:top w:val="nil"/>
              <w:left w:val="single" w:sz="8" w:space="0" w:color="auto"/>
              <w:bottom w:val="nil"/>
              <w:right w:val="nil"/>
            </w:tcBorders>
            <w:noWrap/>
            <w:vAlign w:val="bottom"/>
            <w:hideMark/>
          </w:tcPr>
          <w:p w14:paraId="2AE2C44A" w14:textId="77777777" w:rsidR="00806B8B" w:rsidRPr="004F71F2" w:rsidRDefault="00806B8B" w:rsidP="00233CC3">
            <w:pPr>
              <w:jc w:val="both"/>
              <w:rPr>
                <w:color w:val="000000"/>
                <w:sz w:val="20"/>
                <w:szCs w:val="20"/>
              </w:rPr>
            </w:pPr>
            <w:r w:rsidRPr="004F71F2">
              <w:rPr>
                <w:color w:val="000000"/>
                <w:sz w:val="20"/>
                <w:szCs w:val="20"/>
              </w:rPr>
              <w:t>15-Sep-2025</w:t>
            </w:r>
          </w:p>
        </w:tc>
        <w:tc>
          <w:tcPr>
            <w:tcW w:w="880" w:type="dxa"/>
            <w:tcBorders>
              <w:top w:val="nil"/>
              <w:left w:val="nil"/>
              <w:bottom w:val="nil"/>
              <w:right w:val="nil"/>
            </w:tcBorders>
            <w:noWrap/>
            <w:vAlign w:val="bottom"/>
            <w:hideMark/>
          </w:tcPr>
          <w:p w14:paraId="58910C72" w14:textId="77777777" w:rsidR="00806B8B" w:rsidRPr="004F71F2" w:rsidRDefault="00806B8B" w:rsidP="00233CC3">
            <w:pPr>
              <w:jc w:val="both"/>
              <w:rPr>
                <w:color w:val="000000"/>
                <w:sz w:val="20"/>
                <w:szCs w:val="20"/>
              </w:rPr>
            </w:pPr>
            <w:r w:rsidRPr="004F71F2">
              <w:rPr>
                <w:color w:val="000000"/>
                <w:sz w:val="20"/>
                <w:szCs w:val="20"/>
              </w:rPr>
              <w:t>4</w:t>
            </w:r>
          </w:p>
        </w:tc>
        <w:tc>
          <w:tcPr>
            <w:tcW w:w="5560" w:type="dxa"/>
            <w:tcBorders>
              <w:top w:val="nil"/>
              <w:left w:val="nil"/>
              <w:bottom w:val="nil"/>
              <w:right w:val="nil"/>
            </w:tcBorders>
            <w:noWrap/>
            <w:vAlign w:val="bottom"/>
            <w:hideMark/>
          </w:tcPr>
          <w:p w14:paraId="4F9748C8"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79CFF28D"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E0D1E46" w14:textId="77777777" w:rsidTr="00806B8B">
        <w:trPr>
          <w:trHeight w:val="320"/>
        </w:trPr>
        <w:tc>
          <w:tcPr>
            <w:tcW w:w="1480" w:type="dxa"/>
            <w:tcBorders>
              <w:top w:val="nil"/>
              <w:left w:val="single" w:sz="8" w:space="0" w:color="auto"/>
              <w:bottom w:val="nil"/>
              <w:right w:val="nil"/>
            </w:tcBorders>
            <w:noWrap/>
            <w:vAlign w:val="bottom"/>
            <w:hideMark/>
          </w:tcPr>
          <w:p w14:paraId="3CA9252E" w14:textId="77777777" w:rsidR="00806B8B" w:rsidRPr="004F71F2" w:rsidRDefault="00806B8B" w:rsidP="00233CC3">
            <w:pPr>
              <w:jc w:val="both"/>
              <w:rPr>
                <w:color w:val="000000"/>
                <w:sz w:val="20"/>
                <w:szCs w:val="20"/>
              </w:rPr>
            </w:pPr>
            <w:r w:rsidRPr="004F71F2">
              <w:rPr>
                <w:color w:val="000000"/>
                <w:sz w:val="20"/>
                <w:szCs w:val="20"/>
              </w:rPr>
              <w:t>17-Sep-2025</w:t>
            </w:r>
          </w:p>
        </w:tc>
        <w:tc>
          <w:tcPr>
            <w:tcW w:w="880" w:type="dxa"/>
            <w:tcBorders>
              <w:top w:val="nil"/>
              <w:left w:val="nil"/>
              <w:bottom w:val="nil"/>
              <w:right w:val="nil"/>
            </w:tcBorders>
            <w:noWrap/>
            <w:vAlign w:val="bottom"/>
            <w:hideMark/>
          </w:tcPr>
          <w:p w14:paraId="40042296" w14:textId="77777777" w:rsidR="00806B8B" w:rsidRPr="004F71F2" w:rsidRDefault="00806B8B" w:rsidP="00233CC3">
            <w:pPr>
              <w:jc w:val="both"/>
              <w:rPr>
                <w:color w:val="000000"/>
                <w:sz w:val="20"/>
                <w:szCs w:val="20"/>
              </w:rPr>
            </w:pPr>
            <w:r w:rsidRPr="004F71F2">
              <w:rPr>
                <w:color w:val="000000"/>
                <w:sz w:val="20"/>
                <w:szCs w:val="20"/>
              </w:rPr>
              <w:t>5</w:t>
            </w:r>
          </w:p>
        </w:tc>
        <w:tc>
          <w:tcPr>
            <w:tcW w:w="5560" w:type="dxa"/>
            <w:tcBorders>
              <w:top w:val="nil"/>
              <w:left w:val="nil"/>
              <w:bottom w:val="nil"/>
              <w:right w:val="nil"/>
            </w:tcBorders>
            <w:noWrap/>
            <w:vAlign w:val="bottom"/>
            <w:hideMark/>
          </w:tcPr>
          <w:p w14:paraId="79AFBC44"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65D66C7F"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5D095913" w14:textId="77777777" w:rsidTr="00806B8B">
        <w:trPr>
          <w:trHeight w:val="320"/>
        </w:trPr>
        <w:tc>
          <w:tcPr>
            <w:tcW w:w="1480" w:type="dxa"/>
            <w:tcBorders>
              <w:top w:val="nil"/>
              <w:left w:val="single" w:sz="8" w:space="0" w:color="auto"/>
              <w:bottom w:val="nil"/>
              <w:right w:val="nil"/>
            </w:tcBorders>
            <w:noWrap/>
            <w:vAlign w:val="bottom"/>
            <w:hideMark/>
          </w:tcPr>
          <w:p w14:paraId="084F50FB" w14:textId="77777777" w:rsidR="00806B8B" w:rsidRPr="004F71F2" w:rsidRDefault="00806B8B" w:rsidP="00233CC3">
            <w:pPr>
              <w:jc w:val="both"/>
              <w:rPr>
                <w:color w:val="000000"/>
                <w:sz w:val="20"/>
                <w:szCs w:val="20"/>
              </w:rPr>
            </w:pPr>
            <w:r w:rsidRPr="004F71F2">
              <w:rPr>
                <w:color w:val="000000"/>
                <w:sz w:val="20"/>
                <w:szCs w:val="20"/>
              </w:rPr>
              <w:t>22-Sep-2025</w:t>
            </w:r>
          </w:p>
        </w:tc>
        <w:tc>
          <w:tcPr>
            <w:tcW w:w="880" w:type="dxa"/>
            <w:tcBorders>
              <w:top w:val="nil"/>
              <w:left w:val="nil"/>
              <w:bottom w:val="nil"/>
              <w:right w:val="nil"/>
            </w:tcBorders>
            <w:noWrap/>
            <w:vAlign w:val="bottom"/>
            <w:hideMark/>
          </w:tcPr>
          <w:p w14:paraId="65E24FB9" w14:textId="77777777" w:rsidR="00806B8B" w:rsidRPr="004F71F2" w:rsidRDefault="00806B8B" w:rsidP="00233CC3">
            <w:pPr>
              <w:jc w:val="both"/>
              <w:rPr>
                <w:color w:val="000000"/>
                <w:sz w:val="20"/>
                <w:szCs w:val="20"/>
              </w:rPr>
            </w:pPr>
            <w:r w:rsidRPr="004F71F2">
              <w:rPr>
                <w:color w:val="000000"/>
                <w:sz w:val="20"/>
                <w:szCs w:val="20"/>
              </w:rPr>
              <w:t>6</w:t>
            </w:r>
          </w:p>
        </w:tc>
        <w:tc>
          <w:tcPr>
            <w:tcW w:w="5560" w:type="dxa"/>
            <w:tcBorders>
              <w:top w:val="nil"/>
              <w:left w:val="nil"/>
              <w:bottom w:val="nil"/>
              <w:right w:val="nil"/>
            </w:tcBorders>
            <w:noWrap/>
            <w:vAlign w:val="bottom"/>
            <w:hideMark/>
          </w:tcPr>
          <w:p w14:paraId="3619624C"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06DCBB47" w14:textId="77777777" w:rsidR="00806B8B" w:rsidRPr="004F71F2" w:rsidRDefault="00806B8B" w:rsidP="00233CC3">
            <w:pPr>
              <w:jc w:val="both"/>
              <w:rPr>
                <w:color w:val="000000"/>
                <w:sz w:val="20"/>
                <w:szCs w:val="20"/>
              </w:rPr>
            </w:pPr>
            <w:r w:rsidRPr="004F71F2">
              <w:rPr>
                <w:color w:val="000000"/>
                <w:sz w:val="20"/>
                <w:szCs w:val="20"/>
              </w:rPr>
              <w:t>Diagnostic exam</w:t>
            </w:r>
          </w:p>
        </w:tc>
      </w:tr>
      <w:tr w:rsidR="00806B8B" w:rsidRPr="004F71F2" w14:paraId="12B64867" w14:textId="77777777" w:rsidTr="00806B8B">
        <w:trPr>
          <w:trHeight w:val="320"/>
        </w:trPr>
        <w:tc>
          <w:tcPr>
            <w:tcW w:w="1480" w:type="dxa"/>
            <w:tcBorders>
              <w:top w:val="nil"/>
              <w:left w:val="single" w:sz="8" w:space="0" w:color="auto"/>
              <w:bottom w:val="nil"/>
              <w:right w:val="nil"/>
            </w:tcBorders>
            <w:noWrap/>
            <w:vAlign w:val="bottom"/>
            <w:hideMark/>
          </w:tcPr>
          <w:p w14:paraId="4AAB1647" w14:textId="77777777" w:rsidR="00806B8B" w:rsidRPr="004F71F2" w:rsidRDefault="00806B8B" w:rsidP="00233CC3">
            <w:pPr>
              <w:jc w:val="both"/>
              <w:rPr>
                <w:color w:val="000000"/>
                <w:sz w:val="20"/>
                <w:szCs w:val="20"/>
              </w:rPr>
            </w:pPr>
            <w:r w:rsidRPr="004F71F2">
              <w:rPr>
                <w:color w:val="000000"/>
                <w:sz w:val="20"/>
                <w:szCs w:val="20"/>
              </w:rPr>
              <w:t>24-Sep-2025</w:t>
            </w:r>
          </w:p>
        </w:tc>
        <w:tc>
          <w:tcPr>
            <w:tcW w:w="880" w:type="dxa"/>
            <w:tcBorders>
              <w:top w:val="nil"/>
              <w:left w:val="nil"/>
              <w:bottom w:val="nil"/>
              <w:right w:val="nil"/>
            </w:tcBorders>
            <w:noWrap/>
            <w:vAlign w:val="bottom"/>
            <w:hideMark/>
          </w:tcPr>
          <w:p w14:paraId="20827C9C" w14:textId="77777777" w:rsidR="00806B8B" w:rsidRPr="004F71F2" w:rsidRDefault="00806B8B" w:rsidP="00233CC3">
            <w:pPr>
              <w:jc w:val="both"/>
              <w:rPr>
                <w:color w:val="000000"/>
                <w:sz w:val="20"/>
                <w:szCs w:val="20"/>
              </w:rPr>
            </w:pPr>
            <w:r w:rsidRPr="004F71F2">
              <w:rPr>
                <w:color w:val="000000"/>
                <w:sz w:val="20"/>
                <w:szCs w:val="20"/>
              </w:rPr>
              <w:t>7</w:t>
            </w:r>
          </w:p>
        </w:tc>
        <w:tc>
          <w:tcPr>
            <w:tcW w:w="5560" w:type="dxa"/>
            <w:tcBorders>
              <w:top w:val="nil"/>
              <w:left w:val="nil"/>
              <w:bottom w:val="nil"/>
              <w:right w:val="nil"/>
            </w:tcBorders>
            <w:noWrap/>
            <w:vAlign w:val="bottom"/>
            <w:hideMark/>
          </w:tcPr>
          <w:p w14:paraId="48F325D8"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32FF99A6"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CBB4A92" w14:textId="77777777" w:rsidTr="00806B8B">
        <w:trPr>
          <w:trHeight w:val="320"/>
        </w:trPr>
        <w:tc>
          <w:tcPr>
            <w:tcW w:w="1480" w:type="dxa"/>
            <w:tcBorders>
              <w:top w:val="nil"/>
              <w:left w:val="single" w:sz="8" w:space="0" w:color="auto"/>
              <w:bottom w:val="nil"/>
              <w:right w:val="nil"/>
            </w:tcBorders>
            <w:noWrap/>
            <w:vAlign w:val="bottom"/>
            <w:hideMark/>
          </w:tcPr>
          <w:p w14:paraId="76045BC0" w14:textId="77777777" w:rsidR="00806B8B" w:rsidRPr="004F71F2" w:rsidRDefault="00806B8B" w:rsidP="00233CC3">
            <w:pPr>
              <w:jc w:val="both"/>
              <w:rPr>
                <w:color w:val="000000"/>
                <w:sz w:val="20"/>
                <w:szCs w:val="20"/>
              </w:rPr>
            </w:pPr>
            <w:r w:rsidRPr="004F71F2">
              <w:rPr>
                <w:color w:val="000000"/>
                <w:sz w:val="20"/>
                <w:szCs w:val="20"/>
              </w:rPr>
              <w:t>29-Sep-2025</w:t>
            </w:r>
          </w:p>
        </w:tc>
        <w:tc>
          <w:tcPr>
            <w:tcW w:w="880" w:type="dxa"/>
            <w:tcBorders>
              <w:top w:val="nil"/>
              <w:left w:val="nil"/>
              <w:bottom w:val="nil"/>
              <w:right w:val="nil"/>
            </w:tcBorders>
            <w:noWrap/>
            <w:vAlign w:val="bottom"/>
            <w:hideMark/>
          </w:tcPr>
          <w:p w14:paraId="2040C7C4" w14:textId="77777777" w:rsidR="00806B8B" w:rsidRPr="004F71F2" w:rsidRDefault="00806B8B" w:rsidP="00233CC3">
            <w:pPr>
              <w:jc w:val="both"/>
              <w:rPr>
                <w:color w:val="000000"/>
                <w:sz w:val="20"/>
                <w:szCs w:val="20"/>
              </w:rPr>
            </w:pPr>
            <w:r w:rsidRPr="004F71F2">
              <w:rPr>
                <w:color w:val="000000"/>
                <w:sz w:val="20"/>
                <w:szCs w:val="20"/>
              </w:rPr>
              <w:t>8</w:t>
            </w:r>
          </w:p>
        </w:tc>
        <w:tc>
          <w:tcPr>
            <w:tcW w:w="5560" w:type="dxa"/>
            <w:tcBorders>
              <w:top w:val="nil"/>
              <w:left w:val="nil"/>
              <w:bottom w:val="nil"/>
              <w:right w:val="nil"/>
            </w:tcBorders>
            <w:noWrap/>
            <w:vAlign w:val="bottom"/>
            <w:hideMark/>
          </w:tcPr>
          <w:p w14:paraId="703C7D25"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5B99F791"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78CAAC45" w14:textId="77777777" w:rsidTr="00806B8B">
        <w:trPr>
          <w:trHeight w:val="320"/>
        </w:trPr>
        <w:tc>
          <w:tcPr>
            <w:tcW w:w="1480" w:type="dxa"/>
            <w:tcBorders>
              <w:top w:val="nil"/>
              <w:left w:val="single" w:sz="8" w:space="0" w:color="auto"/>
              <w:bottom w:val="nil"/>
              <w:right w:val="nil"/>
            </w:tcBorders>
            <w:noWrap/>
            <w:vAlign w:val="bottom"/>
            <w:hideMark/>
          </w:tcPr>
          <w:p w14:paraId="78289528" w14:textId="77777777" w:rsidR="00806B8B" w:rsidRPr="004F71F2" w:rsidRDefault="00806B8B" w:rsidP="00233CC3">
            <w:pPr>
              <w:jc w:val="both"/>
              <w:rPr>
                <w:color w:val="000000"/>
                <w:sz w:val="20"/>
                <w:szCs w:val="20"/>
              </w:rPr>
            </w:pPr>
            <w:r w:rsidRPr="004F71F2">
              <w:rPr>
                <w:color w:val="000000"/>
                <w:sz w:val="20"/>
                <w:szCs w:val="20"/>
              </w:rPr>
              <w:t>1-Oct-2025</w:t>
            </w:r>
          </w:p>
        </w:tc>
        <w:tc>
          <w:tcPr>
            <w:tcW w:w="880" w:type="dxa"/>
            <w:tcBorders>
              <w:top w:val="nil"/>
              <w:left w:val="nil"/>
              <w:bottom w:val="nil"/>
              <w:right w:val="nil"/>
            </w:tcBorders>
            <w:noWrap/>
            <w:vAlign w:val="bottom"/>
            <w:hideMark/>
          </w:tcPr>
          <w:p w14:paraId="47EF22BB" w14:textId="77777777" w:rsidR="00806B8B" w:rsidRPr="004F71F2" w:rsidRDefault="00806B8B" w:rsidP="00233CC3">
            <w:pPr>
              <w:jc w:val="both"/>
              <w:rPr>
                <w:color w:val="000000"/>
                <w:sz w:val="20"/>
                <w:szCs w:val="20"/>
              </w:rPr>
            </w:pPr>
            <w:r w:rsidRPr="004F71F2">
              <w:rPr>
                <w:color w:val="000000"/>
                <w:sz w:val="20"/>
                <w:szCs w:val="20"/>
              </w:rPr>
              <w:t>9</w:t>
            </w:r>
          </w:p>
        </w:tc>
        <w:tc>
          <w:tcPr>
            <w:tcW w:w="5560" w:type="dxa"/>
            <w:tcBorders>
              <w:top w:val="nil"/>
              <w:left w:val="nil"/>
              <w:bottom w:val="nil"/>
              <w:right w:val="nil"/>
            </w:tcBorders>
            <w:noWrap/>
            <w:vAlign w:val="bottom"/>
            <w:hideMark/>
          </w:tcPr>
          <w:p w14:paraId="3C143BDF" w14:textId="77777777" w:rsidR="00806B8B" w:rsidRPr="004F71F2" w:rsidRDefault="00806B8B" w:rsidP="00233CC3">
            <w:pPr>
              <w:jc w:val="both"/>
              <w:rPr>
                <w:color w:val="000000"/>
                <w:sz w:val="20"/>
                <w:szCs w:val="20"/>
              </w:rPr>
            </w:pPr>
            <w:r w:rsidRPr="004F71F2">
              <w:rPr>
                <w:color w:val="000000"/>
                <w:sz w:val="20"/>
                <w:szCs w:val="20"/>
              </w:rPr>
              <w:t>Investment</w:t>
            </w:r>
          </w:p>
        </w:tc>
        <w:tc>
          <w:tcPr>
            <w:tcW w:w="1880" w:type="dxa"/>
            <w:tcBorders>
              <w:top w:val="nil"/>
              <w:left w:val="nil"/>
              <w:bottom w:val="nil"/>
              <w:right w:val="single" w:sz="8" w:space="0" w:color="auto"/>
            </w:tcBorders>
            <w:noWrap/>
            <w:vAlign w:val="bottom"/>
            <w:hideMark/>
          </w:tcPr>
          <w:p w14:paraId="6F49AEFA" w14:textId="77777777" w:rsidR="00806B8B" w:rsidRPr="004F71F2" w:rsidRDefault="00806B8B" w:rsidP="00233CC3">
            <w:pPr>
              <w:jc w:val="both"/>
              <w:rPr>
                <w:color w:val="000000"/>
                <w:sz w:val="20"/>
                <w:szCs w:val="20"/>
              </w:rPr>
            </w:pPr>
            <w:r w:rsidRPr="004F71F2">
              <w:rPr>
                <w:color w:val="000000"/>
                <w:sz w:val="20"/>
                <w:szCs w:val="20"/>
              </w:rPr>
              <w:t>Quiz #1</w:t>
            </w:r>
          </w:p>
        </w:tc>
      </w:tr>
      <w:tr w:rsidR="00806B8B" w:rsidRPr="004F71F2" w14:paraId="5E111611" w14:textId="77777777" w:rsidTr="00806B8B">
        <w:trPr>
          <w:trHeight w:val="320"/>
        </w:trPr>
        <w:tc>
          <w:tcPr>
            <w:tcW w:w="1480" w:type="dxa"/>
            <w:tcBorders>
              <w:top w:val="nil"/>
              <w:left w:val="single" w:sz="8" w:space="0" w:color="auto"/>
              <w:bottom w:val="nil"/>
              <w:right w:val="nil"/>
            </w:tcBorders>
            <w:noWrap/>
            <w:vAlign w:val="bottom"/>
            <w:hideMark/>
          </w:tcPr>
          <w:p w14:paraId="123FD239" w14:textId="77777777" w:rsidR="00806B8B" w:rsidRPr="004F71F2" w:rsidRDefault="00806B8B" w:rsidP="00233CC3">
            <w:pPr>
              <w:jc w:val="both"/>
              <w:rPr>
                <w:color w:val="000000"/>
                <w:sz w:val="20"/>
                <w:szCs w:val="20"/>
              </w:rPr>
            </w:pPr>
            <w:r w:rsidRPr="004F71F2">
              <w:rPr>
                <w:color w:val="000000"/>
                <w:sz w:val="20"/>
                <w:szCs w:val="20"/>
              </w:rPr>
              <w:t>6-Oct-2025</w:t>
            </w:r>
          </w:p>
        </w:tc>
        <w:tc>
          <w:tcPr>
            <w:tcW w:w="880" w:type="dxa"/>
            <w:tcBorders>
              <w:top w:val="nil"/>
              <w:left w:val="nil"/>
              <w:bottom w:val="nil"/>
              <w:right w:val="nil"/>
            </w:tcBorders>
            <w:noWrap/>
            <w:vAlign w:val="bottom"/>
            <w:hideMark/>
          </w:tcPr>
          <w:p w14:paraId="357091A0" w14:textId="77777777" w:rsidR="00806B8B" w:rsidRPr="004F71F2" w:rsidRDefault="00806B8B" w:rsidP="00233CC3">
            <w:pPr>
              <w:jc w:val="both"/>
              <w:rPr>
                <w:color w:val="000000"/>
                <w:sz w:val="20"/>
                <w:szCs w:val="20"/>
              </w:rPr>
            </w:pPr>
            <w:r w:rsidRPr="004F71F2">
              <w:rPr>
                <w:color w:val="000000"/>
                <w:sz w:val="20"/>
                <w:szCs w:val="20"/>
              </w:rPr>
              <w:t>10</w:t>
            </w:r>
          </w:p>
        </w:tc>
        <w:tc>
          <w:tcPr>
            <w:tcW w:w="5560" w:type="dxa"/>
            <w:tcBorders>
              <w:top w:val="nil"/>
              <w:left w:val="nil"/>
              <w:bottom w:val="nil"/>
              <w:right w:val="nil"/>
            </w:tcBorders>
            <w:noWrap/>
            <w:vAlign w:val="bottom"/>
            <w:hideMark/>
          </w:tcPr>
          <w:p w14:paraId="3A8F7474" w14:textId="77777777" w:rsidR="00806B8B" w:rsidRPr="004F71F2" w:rsidRDefault="00806B8B" w:rsidP="00233CC3">
            <w:pPr>
              <w:jc w:val="both"/>
              <w:rPr>
                <w:color w:val="000000"/>
                <w:sz w:val="20"/>
                <w:szCs w:val="20"/>
              </w:rPr>
            </w:pPr>
            <w:r w:rsidRPr="004F71F2">
              <w:rPr>
                <w:color w:val="000000"/>
                <w:sz w:val="20"/>
                <w:szCs w:val="20"/>
              </w:rPr>
              <w:t>Investment</w:t>
            </w:r>
          </w:p>
        </w:tc>
        <w:tc>
          <w:tcPr>
            <w:tcW w:w="1880" w:type="dxa"/>
            <w:tcBorders>
              <w:top w:val="nil"/>
              <w:left w:val="nil"/>
              <w:bottom w:val="nil"/>
              <w:right w:val="single" w:sz="8" w:space="0" w:color="auto"/>
            </w:tcBorders>
            <w:noWrap/>
            <w:vAlign w:val="bottom"/>
            <w:hideMark/>
          </w:tcPr>
          <w:p w14:paraId="2C734B0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0668F693" w14:textId="77777777" w:rsidTr="00806B8B">
        <w:trPr>
          <w:trHeight w:val="320"/>
        </w:trPr>
        <w:tc>
          <w:tcPr>
            <w:tcW w:w="1480" w:type="dxa"/>
            <w:tcBorders>
              <w:top w:val="nil"/>
              <w:left w:val="single" w:sz="8" w:space="0" w:color="auto"/>
              <w:bottom w:val="nil"/>
              <w:right w:val="nil"/>
            </w:tcBorders>
            <w:noWrap/>
            <w:vAlign w:val="bottom"/>
            <w:hideMark/>
          </w:tcPr>
          <w:p w14:paraId="50886690" w14:textId="77777777" w:rsidR="00806B8B" w:rsidRPr="004F71F2" w:rsidRDefault="00806B8B" w:rsidP="00233CC3">
            <w:pPr>
              <w:jc w:val="both"/>
              <w:rPr>
                <w:color w:val="000000"/>
                <w:sz w:val="20"/>
                <w:szCs w:val="20"/>
              </w:rPr>
            </w:pPr>
            <w:r w:rsidRPr="004F71F2">
              <w:rPr>
                <w:color w:val="000000"/>
                <w:sz w:val="20"/>
                <w:szCs w:val="20"/>
              </w:rPr>
              <w:t>8-Oct-2025</w:t>
            </w:r>
          </w:p>
        </w:tc>
        <w:tc>
          <w:tcPr>
            <w:tcW w:w="880" w:type="dxa"/>
            <w:tcBorders>
              <w:top w:val="nil"/>
              <w:left w:val="nil"/>
              <w:bottom w:val="nil"/>
              <w:right w:val="nil"/>
            </w:tcBorders>
            <w:noWrap/>
            <w:vAlign w:val="bottom"/>
            <w:hideMark/>
          </w:tcPr>
          <w:p w14:paraId="1BD37ABB" w14:textId="77777777" w:rsidR="00806B8B" w:rsidRPr="004F71F2" w:rsidRDefault="00806B8B" w:rsidP="00233CC3">
            <w:pPr>
              <w:jc w:val="both"/>
              <w:rPr>
                <w:color w:val="000000"/>
                <w:sz w:val="20"/>
                <w:szCs w:val="20"/>
              </w:rPr>
            </w:pPr>
            <w:r w:rsidRPr="004F71F2">
              <w:rPr>
                <w:color w:val="000000"/>
                <w:sz w:val="20"/>
                <w:szCs w:val="20"/>
              </w:rPr>
              <w:t>11</w:t>
            </w:r>
          </w:p>
        </w:tc>
        <w:tc>
          <w:tcPr>
            <w:tcW w:w="7440" w:type="dxa"/>
            <w:gridSpan w:val="2"/>
            <w:tcBorders>
              <w:top w:val="nil"/>
              <w:left w:val="nil"/>
              <w:bottom w:val="nil"/>
              <w:right w:val="single" w:sz="8" w:space="0" w:color="000000"/>
            </w:tcBorders>
            <w:noWrap/>
            <w:vAlign w:val="bottom"/>
            <w:hideMark/>
          </w:tcPr>
          <w:p w14:paraId="1B18184D" w14:textId="77777777" w:rsidR="00806B8B" w:rsidRPr="004F71F2" w:rsidRDefault="00806B8B" w:rsidP="00233CC3">
            <w:pPr>
              <w:jc w:val="both"/>
              <w:rPr>
                <w:color w:val="000000"/>
                <w:sz w:val="20"/>
                <w:szCs w:val="20"/>
              </w:rPr>
            </w:pPr>
            <w:r w:rsidRPr="004F71F2">
              <w:rPr>
                <w:color w:val="000000"/>
                <w:sz w:val="20"/>
                <w:szCs w:val="20"/>
              </w:rPr>
              <w:t>Production function 1: Substituting away from Russian gas</w:t>
            </w:r>
          </w:p>
        </w:tc>
      </w:tr>
      <w:tr w:rsidR="00806B8B" w:rsidRPr="004F71F2" w14:paraId="25EF9011" w14:textId="77777777" w:rsidTr="00806B8B">
        <w:trPr>
          <w:trHeight w:val="320"/>
        </w:trPr>
        <w:tc>
          <w:tcPr>
            <w:tcW w:w="1480" w:type="dxa"/>
            <w:tcBorders>
              <w:top w:val="nil"/>
              <w:left w:val="single" w:sz="8" w:space="0" w:color="auto"/>
              <w:bottom w:val="nil"/>
              <w:right w:val="nil"/>
            </w:tcBorders>
            <w:noWrap/>
            <w:vAlign w:val="bottom"/>
            <w:hideMark/>
          </w:tcPr>
          <w:p w14:paraId="03C82C83" w14:textId="77777777" w:rsidR="00806B8B" w:rsidRPr="004F71F2" w:rsidRDefault="00806B8B" w:rsidP="00233CC3">
            <w:pPr>
              <w:jc w:val="both"/>
              <w:rPr>
                <w:color w:val="000000"/>
                <w:sz w:val="20"/>
                <w:szCs w:val="20"/>
              </w:rPr>
            </w:pPr>
            <w:r w:rsidRPr="004F71F2">
              <w:rPr>
                <w:color w:val="000000"/>
                <w:sz w:val="20"/>
                <w:szCs w:val="20"/>
              </w:rPr>
              <w:t>13-Oct-2025</w:t>
            </w:r>
          </w:p>
        </w:tc>
        <w:tc>
          <w:tcPr>
            <w:tcW w:w="880" w:type="dxa"/>
            <w:tcBorders>
              <w:top w:val="nil"/>
              <w:left w:val="nil"/>
              <w:bottom w:val="nil"/>
              <w:right w:val="nil"/>
            </w:tcBorders>
            <w:noWrap/>
            <w:vAlign w:val="bottom"/>
            <w:hideMark/>
          </w:tcPr>
          <w:p w14:paraId="31605F87" w14:textId="77777777" w:rsidR="00806B8B" w:rsidRPr="004F71F2" w:rsidRDefault="00806B8B" w:rsidP="00233CC3">
            <w:pPr>
              <w:jc w:val="both"/>
              <w:rPr>
                <w:color w:val="000000"/>
                <w:sz w:val="20"/>
                <w:szCs w:val="20"/>
              </w:rPr>
            </w:pPr>
            <w:r w:rsidRPr="004F71F2">
              <w:rPr>
                <w:color w:val="000000"/>
                <w:sz w:val="20"/>
                <w:szCs w:val="20"/>
              </w:rPr>
              <w:t>12</w:t>
            </w:r>
          </w:p>
        </w:tc>
        <w:tc>
          <w:tcPr>
            <w:tcW w:w="5560" w:type="dxa"/>
            <w:tcBorders>
              <w:top w:val="nil"/>
              <w:left w:val="nil"/>
              <w:bottom w:val="nil"/>
              <w:right w:val="nil"/>
            </w:tcBorders>
            <w:noWrap/>
            <w:vAlign w:val="bottom"/>
            <w:hideMark/>
          </w:tcPr>
          <w:p w14:paraId="593D91E3" w14:textId="77777777" w:rsidR="00806B8B" w:rsidRPr="004F71F2" w:rsidRDefault="00806B8B" w:rsidP="00233CC3">
            <w:pPr>
              <w:jc w:val="both"/>
              <w:rPr>
                <w:color w:val="000000"/>
                <w:sz w:val="20"/>
                <w:szCs w:val="20"/>
              </w:rPr>
            </w:pPr>
            <w:r w:rsidRPr="004F71F2">
              <w:rPr>
                <w:color w:val="000000"/>
                <w:sz w:val="20"/>
                <w:szCs w:val="20"/>
              </w:rPr>
              <w:t>Production function 2: AI and jobs</w:t>
            </w:r>
          </w:p>
        </w:tc>
        <w:tc>
          <w:tcPr>
            <w:tcW w:w="1880" w:type="dxa"/>
            <w:tcBorders>
              <w:top w:val="nil"/>
              <w:left w:val="nil"/>
              <w:bottom w:val="nil"/>
              <w:right w:val="single" w:sz="8" w:space="0" w:color="auto"/>
            </w:tcBorders>
            <w:noWrap/>
            <w:vAlign w:val="bottom"/>
            <w:hideMark/>
          </w:tcPr>
          <w:p w14:paraId="2A12951F"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A3CC0FD" w14:textId="77777777" w:rsidTr="00806B8B">
        <w:trPr>
          <w:trHeight w:val="320"/>
        </w:trPr>
        <w:tc>
          <w:tcPr>
            <w:tcW w:w="1480" w:type="dxa"/>
            <w:tcBorders>
              <w:top w:val="nil"/>
              <w:left w:val="single" w:sz="8" w:space="0" w:color="auto"/>
              <w:bottom w:val="nil"/>
              <w:right w:val="nil"/>
            </w:tcBorders>
            <w:noWrap/>
            <w:vAlign w:val="bottom"/>
            <w:hideMark/>
          </w:tcPr>
          <w:p w14:paraId="7276B2CA" w14:textId="77777777" w:rsidR="00806B8B" w:rsidRPr="004F71F2" w:rsidRDefault="00806B8B" w:rsidP="00233CC3">
            <w:pPr>
              <w:jc w:val="both"/>
              <w:rPr>
                <w:color w:val="000000"/>
                <w:sz w:val="20"/>
                <w:szCs w:val="20"/>
              </w:rPr>
            </w:pPr>
            <w:r w:rsidRPr="004F71F2">
              <w:rPr>
                <w:color w:val="000000"/>
                <w:sz w:val="20"/>
                <w:szCs w:val="20"/>
              </w:rPr>
              <w:t>15-Oct-2025</w:t>
            </w:r>
          </w:p>
        </w:tc>
        <w:tc>
          <w:tcPr>
            <w:tcW w:w="880" w:type="dxa"/>
            <w:tcBorders>
              <w:top w:val="nil"/>
              <w:left w:val="nil"/>
              <w:bottom w:val="nil"/>
              <w:right w:val="nil"/>
            </w:tcBorders>
            <w:noWrap/>
            <w:vAlign w:val="bottom"/>
            <w:hideMark/>
          </w:tcPr>
          <w:p w14:paraId="4EB5EEAF" w14:textId="77777777" w:rsidR="00806B8B" w:rsidRPr="004F71F2" w:rsidRDefault="00806B8B" w:rsidP="00233CC3">
            <w:pPr>
              <w:jc w:val="both"/>
              <w:rPr>
                <w:color w:val="000000"/>
                <w:sz w:val="20"/>
                <w:szCs w:val="20"/>
              </w:rPr>
            </w:pPr>
            <w:r w:rsidRPr="004F71F2">
              <w:rPr>
                <w:color w:val="000000"/>
                <w:sz w:val="20"/>
                <w:szCs w:val="20"/>
              </w:rPr>
              <w:t>13</w:t>
            </w:r>
          </w:p>
        </w:tc>
        <w:tc>
          <w:tcPr>
            <w:tcW w:w="5560" w:type="dxa"/>
            <w:tcBorders>
              <w:top w:val="nil"/>
              <w:left w:val="nil"/>
              <w:bottom w:val="nil"/>
              <w:right w:val="nil"/>
            </w:tcBorders>
            <w:noWrap/>
            <w:vAlign w:val="bottom"/>
            <w:hideMark/>
          </w:tcPr>
          <w:p w14:paraId="3492A0CB" w14:textId="77777777" w:rsidR="00806B8B" w:rsidRPr="004F71F2" w:rsidRDefault="00806B8B" w:rsidP="00233CC3">
            <w:pPr>
              <w:jc w:val="both"/>
              <w:rPr>
                <w:color w:val="000000"/>
                <w:sz w:val="20"/>
                <w:szCs w:val="20"/>
              </w:rPr>
            </w:pPr>
            <w:r w:rsidRPr="004F71F2">
              <w:rPr>
                <w:color w:val="000000"/>
                <w:sz w:val="20"/>
                <w:szCs w:val="20"/>
              </w:rPr>
              <w:t>Monetary non-neutrality</w:t>
            </w:r>
          </w:p>
        </w:tc>
        <w:tc>
          <w:tcPr>
            <w:tcW w:w="1880" w:type="dxa"/>
            <w:tcBorders>
              <w:top w:val="nil"/>
              <w:left w:val="nil"/>
              <w:bottom w:val="nil"/>
              <w:right w:val="single" w:sz="8" w:space="0" w:color="auto"/>
            </w:tcBorders>
            <w:noWrap/>
            <w:vAlign w:val="bottom"/>
            <w:hideMark/>
          </w:tcPr>
          <w:p w14:paraId="782F50D4" w14:textId="77777777" w:rsidR="00806B8B" w:rsidRPr="004F71F2" w:rsidRDefault="00806B8B" w:rsidP="00233CC3">
            <w:pPr>
              <w:jc w:val="both"/>
              <w:rPr>
                <w:color w:val="000000"/>
                <w:sz w:val="20"/>
                <w:szCs w:val="20"/>
              </w:rPr>
            </w:pPr>
            <w:r w:rsidRPr="004F71F2">
              <w:rPr>
                <w:color w:val="000000"/>
                <w:sz w:val="20"/>
                <w:szCs w:val="20"/>
              </w:rPr>
              <w:t>Quiz #2</w:t>
            </w:r>
          </w:p>
        </w:tc>
      </w:tr>
      <w:tr w:rsidR="00806B8B" w:rsidRPr="004F71F2" w14:paraId="1318C07B" w14:textId="77777777" w:rsidTr="00806B8B">
        <w:trPr>
          <w:trHeight w:val="320"/>
        </w:trPr>
        <w:tc>
          <w:tcPr>
            <w:tcW w:w="1480" w:type="dxa"/>
            <w:tcBorders>
              <w:top w:val="nil"/>
              <w:left w:val="single" w:sz="8" w:space="0" w:color="auto"/>
              <w:bottom w:val="nil"/>
              <w:right w:val="nil"/>
            </w:tcBorders>
            <w:noWrap/>
            <w:vAlign w:val="bottom"/>
            <w:hideMark/>
          </w:tcPr>
          <w:p w14:paraId="17C47A03" w14:textId="77777777" w:rsidR="00806B8B" w:rsidRPr="004F71F2" w:rsidRDefault="00806B8B" w:rsidP="00233CC3">
            <w:pPr>
              <w:jc w:val="both"/>
              <w:rPr>
                <w:color w:val="000000"/>
                <w:sz w:val="20"/>
                <w:szCs w:val="20"/>
              </w:rPr>
            </w:pPr>
            <w:r w:rsidRPr="004F71F2">
              <w:rPr>
                <w:color w:val="000000"/>
                <w:sz w:val="20"/>
                <w:szCs w:val="20"/>
              </w:rPr>
              <w:t>20-Oct-2025</w:t>
            </w:r>
          </w:p>
        </w:tc>
        <w:tc>
          <w:tcPr>
            <w:tcW w:w="880" w:type="dxa"/>
            <w:tcBorders>
              <w:top w:val="nil"/>
              <w:left w:val="nil"/>
              <w:bottom w:val="nil"/>
              <w:right w:val="nil"/>
            </w:tcBorders>
            <w:noWrap/>
            <w:vAlign w:val="bottom"/>
            <w:hideMark/>
          </w:tcPr>
          <w:p w14:paraId="67897F3B" w14:textId="77777777" w:rsidR="00806B8B" w:rsidRPr="004F71F2" w:rsidRDefault="00806B8B" w:rsidP="00233CC3">
            <w:pPr>
              <w:jc w:val="both"/>
              <w:rPr>
                <w:color w:val="000000"/>
                <w:sz w:val="20"/>
                <w:szCs w:val="20"/>
              </w:rPr>
            </w:pPr>
            <w:r w:rsidRPr="004F71F2">
              <w:rPr>
                <w:color w:val="000000"/>
                <w:sz w:val="20"/>
                <w:szCs w:val="20"/>
              </w:rPr>
              <w:t>14</w:t>
            </w:r>
          </w:p>
        </w:tc>
        <w:tc>
          <w:tcPr>
            <w:tcW w:w="5560" w:type="dxa"/>
            <w:tcBorders>
              <w:top w:val="nil"/>
              <w:left w:val="nil"/>
              <w:bottom w:val="nil"/>
              <w:right w:val="nil"/>
            </w:tcBorders>
            <w:noWrap/>
            <w:vAlign w:val="bottom"/>
            <w:hideMark/>
          </w:tcPr>
          <w:p w14:paraId="20E2F8D7" w14:textId="77777777" w:rsidR="00806B8B" w:rsidRPr="004F71F2" w:rsidRDefault="00806B8B" w:rsidP="00233CC3">
            <w:pPr>
              <w:jc w:val="both"/>
              <w:rPr>
                <w:color w:val="000000"/>
                <w:sz w:val="20"/>
                <w:szCs w:val="20"/>
              </w:rPr>
            </w:pPr>
            <w:r w:rsidRPr="004F71F2">
              <w:rPr>
                <w:color w:val="000000"/>
                <w:sz w:val="20"/>
                <w:szCs w:val="20"/>
              </w:rPr>
              <w:t>Monetary non-neutrality</w:t>
            </w:r>
          </w:p>
        </w:tc>
        <w:tc>
          <w:tcPr>
            <w:tcW w:w="1880" w:type="dxa"/>
            <w:tcBorders>
              <w:top w:val="nil"/>
              <w:left w:val="nil"/>
              <w:bottom w:val="nil"/>
              <w:right w:val="single" w:sz="8" w:space="0" w:color="auto"/>
            </w:tcBorders>
            <w:noWrap/>
            <w:vAlign w:val="bottom"/>
            <w:hideMark/>
          </w:tcPr>
          <w:p w14:paraId="3E7113FE"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7AEED3B2" w14:textId="77777777" w:rsidTr="00806B8B">
        <w:trPr>
          <w:trHeight w:val="320"/>
        </w:trPr>
        <w:tc>
          <w:tcPr>
            <w:tcW w:w="1480" w:type="dxa"/>
            <w:tcBorders>
              <w:top w:val="nil"/>
              <w:left w:val="single" w:sz="8" w:space="0" w:color="auto"/>
              <w:bottom w:val="nil"/>
              <w:right w:val="nil"/>
            </w:tcBorders>
            <w:noWrap/>
            <w:vAlign w:val="bottom"/>
            <w:hideMark/>
          </w:tcPr>
          <w:p w14:paraId="379CF3EB" w14:textId="77777777" w:rsidR="00806B8B" w:rsidRPr="004F71F2" w:rsidRDefault="00806B8B" w:rsidP="00233CC3">
            <w:pPr>
              <w:jc w:val="both"/>
              <w:rPr>
                <w:color w:val="000000"/>
                <w:sz w:val="20"/>
                <w:szCs w:val="20"/>
              </w:rPr>
            </w:pPr>
            <w:r w:rsidRPr="004F71F2">
              <w:rPr>
                <w:color w:val="000000"/>
                <w:sz w:val="20"/>
                <w:szCs w:val="20"/>
              </w:rPr>
              <w:lastRenderedPageBreak/>
              <w:t>22-Oct-2025</w:t>
            </w:r>
          </w:p>
        </w:tc>
        <w:tc>
          <w:tcPr>
            <w:tcW w:w="880" w:type="dxa"/>
            <w:tcBorders>
              <w:top w:val="nil"/>
              <w:left w:val="nil"/>
              <w:bottom w:val="nil"/>
              <w:right w:val="nil"/>
            </w:tcBorders>
            <w:noWrap/>
            <w:vAlign w:val="bottom"/>
            <w:hideMark/>
          </w:tcPr>
          <w:p w14:paraId="1B4651EB" w14:textId="77777777" w:rsidR="00806B8B" w:rsidRPr="004F71F2" w:rsidRDefault="00806B8B" w:rsidP="00233CC3">
            <w:pPr>
              <w:jc w:val="both"/>
              <w:rPr>
                <w:color w:val="000000"/>
                <w:sz w:val="20"/>
                <w:szCs w:val="20"/>
              </w:rPr>
            </w:pPr>
            <w:r w:rsidRPr="004F71F2">
              <w:rPr>
                <w:color w:val="000000"/>
                <w:sz w:val="20"/>
                <w:szCs w:val="20"/>
              </w:rPr>
              <w:t>15</w:t>
            </w:r>
          </w:p>
        </w:tc>
        <w:tc>
          <w:tcPr>
            <w:tcW w:w="5560" w:type="dxa"/>
            <w:tcBorders>
              <w:top w:val="nil"/>
              <w:left w:val="nil"/>
              <w:bottom w:val="nil"/>
              <w:right w:val="nil"/>
            </w:tcBorders>
            <w:noWrap/>
            <w:vAlign w:val="bottom"/>
            <w:hideMark/>
          </w:tcPr>
          <w:p w14:paraId="73C16C26" w14:textId="77777777" w:rsidR="00806B8B" w:rsidRPr="004F71F2" w:rsidRDefault="00806B8B" w:rsidP="00233CC3">
            <w:pPr>
              <w:jc w:val="both"/>
              <w:rPr>
                <w:color w:val="000000"/>
                <w:sz w:val="20"/>
                <w:szCs w:val="20"/>
              </w:rPr>
            </w:pPr>
            <w:r w:rsidRPr="004F71F2">
              <w:rPr>
                <w:color w:val="000000"/>
                <w:sz w:val="20"/>
                <w:szCs w:val="20"/>
              </w:rPr>
              <w:t>MID-TERM EXAM</w:t>
            </w:r>
          </w:p>
        </w:tc>
        <w:tc>
          <w:tcPr>
            <w:tcW w:w="1880" w:type="dxa"/>
            <w:tcBorders>
              <w:top w:val="nil"/>
              <w:left w:val="nil"/>
              <w:bottom w:val="nil"/>
              <w:right w:val="single" w:sz="8" w:space="0" w:color="auto"/>
            </w:tcBorders>
            <w:noWrap/>
            <w:vAlign w:val="bottom"/>
            <w:hideMark/>
          </w:tcPr>
          <w:p w14:paraId="5E5EEE74" w14:textId="77777777" w:rsidR="00806B8B" w:rsidRPr="004F71F2" w:rsidRDefault="00806B8B" w:rsidP="00233CC3">
            <w:pPr>
              <w:jc w:val="both"/>
              <w:rPr>
                <w:color w:val="000000"/>
                <w:sz w:val="20"/>
                <w:szCs w:val="20"/>
              </w:rPr>
            </w:pPr>
            <w:r w:rsidRPr="004F71F2">
              <w:rPr>
                <w:color w:val="000000"/>
                <w:sz w:val="20"/>
                <w:szCs w:val="20"/>
              </w:rPr>
              <w:t>MID-TERM EXAM</w:t>
            </w:r>
          </w:p>
        </w:tc>
      </w:tr>
      <w:tr w:rsidR="00806B8B" w:rsidRPr="004F71F2" w14:paraId="6E66AA59" w14:textId="77777777" w:rsidTr="00806B8B">
        <w:trPr>
          <w:trHeight w:val="320"/>
        </w:trPr>
        <w:tc>
          <w:tcPr>
            <w:tcW w:w="1480" w:type="dxa"/>
            <w:tcBorders>
              <w:top w:val="nil"/>
              <w:left w:val="single" w:sz="8" w:space="0" w:color="auto"/>
              <w:bottom w:val="nil"/>
              <w:right w:val="nil"/>
            </w:tcBorders>
            <w:noWrap/>
            <w:vAlign w:val="bottom"/>
            <w:hideMark/>
          </w:tcPr>
          <w:p w14:paraId="373C41A9" w14:textId="77777777" w:rsidR="00806B8B" w:rsidRPr="004F71F2" w:rsidRDefault="00806B8B" w:rsidP="00233CC3">
            <w:pPr>
              <w:jc w:val="both"/>
              <w:rPr>
                <w:color w:val="000000"/>
                <w:sz w:val="20"/>
                <w:szCs w:val="20"/>
              </w:rPr>
            </w:pPr>
            <w:r w:rsidRPr="004F71F2">
              <w:rPr>
                <w:color w:val="000000"/>
                <w:sz w:val="20"/>
                <w:szCs w:val="20"/>
              </w:rPr>
              <w:t>27-Oct-2025</w:t>
            </w:r>
          </w:p>
        </w:tc>
        <w:tc>
          <w:tcPr>
            <w:tcW w:w="880" w:type="dxa"/>
            <w:tcBorders>
              <w:top w:val="nil"/>
              <w:left w:val="nil"/>
              <w:bottom w:val="nil"/>
              <w:right w:val="nil"/>
            </w:tcBorders>
            <w:noWrap/>
            <w:vAlign w:val="bottom"/>
            <w:hideMark/>
          </w:tcPr>
          <w:p w14:paraId="1DAFBCC0" w14:textId="77777777" w:rsidR="00806B8B" w:rsidRPr="004F71F2" w:rsidRDefault="00806B8B" w:rsidP="00233CC3">
            <w:pPr>
              <w:jc w:val="both"/>
              <w:rPr>
                <w:color w:val="000000"/>
                <w:sz w:val="20"/>
                <w:szCs w:val="20"/>
              </w:rPr>
            </w:pPr>
            <w:r w:rsidRPr="004F71F2">
              <w:rPr>
                <w:color w:val="000000"/>
                <w:sz w:val="20"/>
                <w:szCs w:val="20"/>
              </w:rPr>
              <w:t>16</w:t>
            </w:r>
          </w:p>
        </w:tc>
        <w:tc>
          <w:tcPr>
            <w:tcW w:w="5560" w:type="dxa"/>
            <w:tcBorders>
              <w:top w:val="nil"/>
              <w:left w:val="nil"/>
              <w:bottom w:val="nil"/>
              <w:right w:val="nil"/>
            </w:tcBorders>
            <w:noWrap/>
            <w:vAlign w:val="bottom"/>
            <w:hideMark/>
          </w:tcPr>
          <w:p w14:paraId="79E8C8BF" w14:textId="77777777" w:rsidR="00806B8B" w:rsidRPr="004F71F2" w:rsidRDefault="00806B8B" w:rsidP="00233CC3">
            <w:pPr>
              <w:jc w:val="both"/>
              <w:rPr>
                <w:color w:val="000000"/>
                <w:sz w:val="20"/>
                <w:szCs w:val="20"/>
              </w:rPr>
            </w:pPr>
            <w:r w:rsidRPr="004F71F2">
              <w:rPr>
                <w:color w:val="000000"/>
                <w:sz w:val="20"/>
                <w:szCs w:val="20"/>
              </w:rPr>
              <w:t>Phillips curve</w:t>
            </w:r>
          </w:p>
        </w:tc>
        <w:tc>
          <w:tcPr>
            <w:tcW w:w="1880" w:type="dxa"/>
            <w:tcBorders>
              <w:top w:val="nil"/>
              <w:left w:val="nil"/>
              <w:bottom w:val="nil"/>
              <w:right w:val="single" w:sz="8" w:space="0" w:color="auto"/>
            </w:tcBorders>
            <w:noWrap/>
            <w:vAlign w:val="bottom"/>
            <w:hideMark/>
          </w:tcPr>
          <w:p w14:paraId="726A2DA9"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1E5FD4EC" w14:textId="77777777" w:rsidTr="00806B8B">
        <w:trPr>
          <w:trHeight w:val="320"/>
        </w:trPr>
        <w:tc>
          <w:tcPr>
            <w:tcW w:w="1480" w:type="dxa"/>
            <w:tcBorders>
              <w:top w:val="nil"/>
              <w:left w:val="single" w:sz="8" w:space="0" w:color="auto"/>
              <w:bottom w:val="nil"/>
              <w:right w:val="nil"/>
            </w:tcBorders>
            <w:noWrap/>
            <w:vAlign w:val="bottom"/>
            <w:hideMark/>
          </w:tcPr>
          <w:p w14:paraId="73A1FF35" w14:textId="77777777" w:rsidR="00806B8B" w:rsidRPr="004F71F2" w:rsidRDefault="00806B8B" w:rsidP="00233CC3">
            <w:pPr>
              <w:jc w:val="both"/>
              <w:rPr>
                <w:color w:val="000000"/>
                <w:sz w:val="20"/>
                <w:szCs w:val="20"/>
              </w:rPr>
            </w:pPr>
            <w:r w:rsidRPr="004F71F2">
              <w:rPr>
                <w:color w:val="000000"/>
                <w:sz w:val="20"/>
                <w:szCs w:val="20"/>
              </w:rPr>
              <w:t>29-Oct-2025</w:t>
            </w:r>
          </w:p>
        </w:tc>
        <w:tc>
          <w:tcPr>
            <w:tcW w:w="880" w:type="dxa"/>
            <w:tcBorders>
              <w:top w:val="nil"/>
              <w:left w:val="nil"/>
              <w:bottom w:val="nil"/>
              <w:right w:val="nil"/>
            </w:tcBorders>
            <w:noWrap/>
            <w:vAlign w:val="bottom"/>
            <w:hideMark/>
          </w:tcPr>
          <w:p w14:paraId="28C87D3B" w14:textId="77777777" w:rsidR="00806B8B" w:rsidRPr="004F71F2" w:rsidRDefault="00806B8B" w:rsidP="00233CC3">
            <w:pPr>
              <w:jc w:val="both"/>
              <w:rPr>
                <w:color w:val="000000"/>
                <w:sz w:val="20"/>
                <w:szCs w:val="20"/>
              </w:rPr>
            </w:pPr>
            <w:r w:rsidRPr="004F71F2">
              <w:rPr>
                <w:color w:val="000000"/>
                <w:sz w:val="20"/>
                <w:szCs w:val="20"/>
              </w:rPr>
              <w:t>17</w:t>
            </w:r>
          </w:p>
        </w:tc>
        <w:tc>
          <w:tcPr>
            <w:tcW w:w="5560" w:type="dxa"/>
            <w:tcBorders>
              <w:top w:val="nil"/>
              <w:left w:val="nil"/>
              <w:bottom w:val="nil"/>
              <w:right w:val="nil"/>
            </w:tcBorders>
            <w:noWrap/>
            <w:vAlign w:val="bottom"/>
            <w:hideMark/>
          </w:tcPr>
          <w:p w14:paraId="2E790658" w14:textId="77777777" w:rsidR="00806B8B" w:rsidRPr="004F71F2" w:rsidRDefault="00806B8B" w:rsidP="00233CC3">
            <w:pPr>
              <w:jc w:val="both"/>
              <w:rPr>
                <w:color w:val="000000"/>
                <w:sz w:val="20"/>
                <w:szCs w:val="20"/>
              </w:rPr>
            </w:pPr>
            <w:r w:rsidRPr="004F71F2">
              <w:rPr>
                <w:color w:val="000000"/>
                <w:sz w:val="20"/>
                <w:szCs w:val="20"/>
              </w:rPr>
              <w:t>Phillips curve</w:t>
            </w:r>
          </w:p>
        </w:tc>
        <w:tc>
          <w:tcPr>
            <w:tcW w:w="1880" w:type="dxa"/>
            <w:tcBorders>
              <w:top w:val="nil"/>
              <w:left w:val="nil"/>
              <w:bottom w:val="nil"/>
              <w:right w:val="single" w:sz="8" w:space="0" w:color="auto"/>
            </w:tcBorders>
            <w:noWrap/>
            <w:vAlign w:val="bottom"/>
            <w:hideMark/>
          </w:tcPr>
          <w:p w14:paraId="73F5238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A5218F8" w14:textId="77777777" w:rsidTr="00806B8B">
        <w:trPr>
          <w:trHeight w:val="320"/>
        </w:trPr>
        <w:tc>
          <w:tcPr>
            <w:tcW w:w="1480" w:type="dxa"/>
            <w:tcBorders>
              <w:top w:val="nil"/>
              <w:left w:val="single" w:sz="8" w:space="0" w:color="auto"/>
              <w:bottom w:val="nil"/>
              <w:right w:val="nil"/>
            </w:tcBorders>
            <w:noWrap/>
            <w:vAlign w:val="bottom"/>
            <w:hideMark/>
          </w:tcPr>
          <w:p w14:paraId="5D78191B" w14:textId="77777777" w:rsidR="00806B8B" w:rsidRPr="004F71F2" w:rsidRDefault="00806B8B" w:rsidP="00233CC3">
            <w:pPr>
              <w:jc w:val="both"/>
              <w:rPr>
                <w:color w:val="000000"/>
                <w:sz w:val="20"/>
                <w:szCs w:val="20"/>
              </w:rPr>
            </w:pPr>
            <w:r w:rsidRPr="004F71F2">
              <w:rPr>
                <w:color w:val="000000"/>
                <w:sz w:val="20"/>
                <w:szCs w:val="20"/>
              </w:rPr>
              <w:t>3-Nov-2025</w:t>
            </w:r>
          </w:p>
        </w:tc>
        <w:tc>
          <w:tcPr>
            <w:tcW w:w="880" w:type="dxa"/>
            <w:tcBorders>
              <w:top w:val="nil"/>
              <w:left w:val="nil"/>
              <w:bottom w:val="nil"/>
              <w:right w:val="nil"/>
            </w:tcBorders>
            <w:noWrap/>
            <w:vAlign w:val="bottom"/>
            <w:hideMark/>
          </w:tcPr>
          <w:p w14:paraId="63680390" w14:textId="77777777" w:rsidR="00806B8B" w:rsidRPr="004F71F2" w:rsidRDefault="00806B8B" w:rsidP="00233CC3">
            <w:pPr>
              <w:jc w:val="both"/>
              <w:rPr>
                <w:color w:val="000000"/>
                <w:sz w:val="20"/>
                <w:szCs w:val="20"/>
              </w:rPr>
            </w:pPr>
            <w:r w:rsidRPr="004F71F2">
              <w:rPr>
                <w:color w:val="000000"/>
                <w:sz w:val="20"/>
                <w:szCs w:val="20"/>
              </w:rPr>
              <w:t>18</w:t>
            </w:r>
          </w:p>
        </w:tc>
        <w:tc>
          <w:tcPr>
            <w:tcW w:w="5560" w:type="dxa"/>
            <w:tcBorders>
              <w:top w:val="nil"/>
              <w:left w:val="nil"/>
              <w:bottom w:val="nil"/>
              <w:right w:val="nil"/>
            </w:tcBorders>
            <w:noWrap/>
            <w:vAlign w:val="bottom"/>
            <w:hideMark/>
          </w:tcPr>
          <w:p w14:paraId="285D9497" w14:textId="77777777" w:rsidR="00806B8B" w:rsidRPr="004F71F2" w:rsidRDefault="00806B8B" w:rsidP="00233CC3">
            <w:pPr>
              <w:jc w:val="both"/>
              <w:rPr>
                <w:color w:val="000000"/>
                <w:sz w:val="20"/>
                <w:szCs w:val="20"/>
              </w:rPr>
            </w:pPr>
            <w:r w:rsidRPr="004F71F2">
              <w:rPr>
                <w:color w:val="000000"/>
                <w:sz w:val="20"/>
                <w:szCs w:val="20"/>
              </w:rPr>
              <w:t xml:space="preserve">Government spending </w:t>
            </w:r>
          </w:p>
        </w:tc>
        <w:tc>
          <w:tcPr>
            <w:tcW w:w="1880" w:type="dxa"/>
            <w:tcBorders>
              <w:top w:val="nil"/>
              <w:left w:val="nil"/>
              <w:bottom w:val="nil"/>
              <w:right w:val="single" w:sz="8" w:space="0" w:color="auto"/>
            </w:tcBorders>
            <w:noWrap/>
            <w:vAlign w:val="bottom"/>
            <w:hideMark/>
          </w:tcPr>
          <w:p w14:paraId="291A2033"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ED048C4" w14:textId="77777777" w:rsidTr="00806B8B">
        <w:trPr>
          <w:trHeight w:val="320"/>
        </w:trPr>
        <w:tc>
          <w:tcPr>
            <w:tcW w:w="1480" w:type="dxa"/>
            <w:tcBorders>
              <w:top w:val="nil"/>
              <w:left w:val="single" w:sz="8" w:space="0" w:color="auto"/>
              <w:bottom w:val="nil"/>
              <w:right w:val="nil"/>
            </w:tcBorders>
            <w:noWrap/>
            <w:vAlign w:val="bottom"/>
            <w:hideMark/>
          </w:tcPr>
          <w:p w14:paraId="6A94D721" w14:textId="77777777" w:rsidR="00806B8B" w:rsidRPr="004F71F2" w:rsidRDefault="00806B8B" w:rsidP="00233CC3">
            <w:pPr>
              <w:jc w:val="both"/>
              <w:rPr>
                <w:color w:val="000000"/>
                <w:sz w:val="20"/>
                <w:szCs w:val="20"/>
              </w:rPr>
            </w:pPr>
            <w:r w:rsidRPr="004F71F2">
              <w:rPr>
                <w:color w:val="000000"/>
                <w:sz w:val="20"/>
                <w:szCs w:val="20"/>
              </w:rPr>
              <w:t>5-Nov-2025</w:t>
            </w:r>
          </w:p>
        </w:tc>
        <w:tc>
          <w:tcPr>
            <w:tcW w:w="880" w:type="dxa"/>
            <w:tcBorders>
              <w:top w:val="nil"/>
              <w:left w:val="nil"/>
              <w:bottom w:val="nil"/>
              <w:right w:val="nil"/>
            </w:tcBorders>
            <w:noWrap/>
            <w:vAlign w:val="bottom"/>
            <w:hideMark/>
          </w:tcPr>
          <w:p w14:paraId="6B0E028C" w14:textId="77777777" w:rsidR="00806B8B" w:rsidRPr="004F71F2" w:rsidRDefault="00806B8B" w:rsidP="00233CC3">
            <w:pPr>
              <w:jc w:val="both"/>
              <w:rPr>
                <w:color w:val="000000"/>
                <w:sz w:val="20"/>
                <w:szCs w:val="20"/>
              </w:rPr>
            </w:pPr>
            <w:r w:rsidRPr="004F71F2">
              <w:rPr>
                <w:color w:val="000000"/>
                <w:sz w:val="20"/>
                <w:szCs w:val="20"/>
              </w:rPr>
              <w:t>19</w:t>
            </w:r>
          </w:p>
        </w:tc>
        <w:tc>
          <w:tcPr>
            <w:tcW w:w="5560" w:type="dxa"/>
            <w:tcBorders>
              <w:top w:val="nil"/>
              <w:left w:val="nil"/>
              <w:bottom w:val="nil"/>
              <w:right w:val="nil"/>
            </w:tcBorders>
            <w:noWrap/>
            <w:vAlign w:val="bottom"/>
            <w:hideMark/>
          </w:tcPr>
          <w:p w14:paraId="1384B4D7" w14:textId="77777777" w:rsidR="00806B8B" w:rsidRPr="004F71F2" w:rsidRDefault="00806B8B" w:rsidP="00233CC3">
            <w:pPr>
              <w:jc w:val="both"/>
              <w:rPr>
                <w:color w:val="000000"/>
                <w:sz w:val="20"/>
                <w:szCs w:val="20"/>
              </w:rPr>
            </w:pPr>
            <w:r w:rsidRPr="004F71F2">
              <w:rPr>
                <w:color w:val="000000"/>
                <w:sz w:val="20"/>
                <w:szCs w:val="20"/>
              </w:rPr>
              <w:t xml:space="preserve">Government spending </w:t>
            </w:r>
          </w:p>
        </w:tc>
        <w:tc>
          <w:tcPr>
            <w:tcW w:w="1880" w:type="dxa"/>
            <w:tcBorders>
              <w:top w:val="nil"/>
              <w:left w:val="nil"/>
              <w:bottom w:val="nil"/>
              <w:right w:val="single" w:sz="8" w:space="0" w:color="auto"/>
            </w:tcBorders>
            <w:noWrap/>
            <w:vAlign w:val="bottom"/>
            <w:hideMark/>
          </w:tcPr>
          <w:p w14:paraId="651A58DF" w14:textId="77777777" w:rsidR="00806B8B" w:rsidRPr="004F71F2" w:rsidRDefault="00806B8B" w:rsidP="00233CC3">
            <w:pPr>
              <w:jc w:val="both"/>
              <w:rPr>
                <w:color w:val="000000"/>
                <w:sz w:val="20"/>
                <w:szCs w:val="20"/>
              </w:rPr>
            </w:pPr>
            <w:r w:rsidRPr="004F71F2">
              <w:rPr>
                <w:color w:val="000000"/>
                <w:sz w:val="20"/>
                <w:szCs w:val="20"/>
              </w:rPr>
              <w:t>Quiz #3</w:t>
            </w:r>
          </w:p>
        </w:tc>
      </w:tr>
      <w:tr w:rsidR="00806B8B" w:rsidRPr="004F71F2" w14:paraId="1E83F0F4" w14:textId="77777777" w:rsidTr="00806B8B">
        <w:trPr>
          <w:trHeight w:val="320"/>
        </w:trPr>
        <w:tc>
          <w:tcPr>
            <w:tcW w:w="1480" w:type="dxa"/>
            <w:tcBorders>
              <w:top w:val="nil"/>
              <w:left w:val="single" w:sz="8" w:space="0" w:color="auto"/>
              <w:bottom w:val="nil"/>
              <w:right w:val="nil"/>
            </w:tcBorders>
            <w:noWrap/>
            <w:vAlign w:val="bottom"/>
            <w:hideMark/>
          </w:tcPr>
          <w:p w14:paraId="5784544E" w14:textId="77777777" w:rsidR="00806B8B" w:rsidRPr="004F71F2" w:rsidRDefault="00806B8B" w:rsidP="00233CC3">
            <w:pPr>
              <w:jc w:val="both"/>
              <w:rPr>
                <w:color w:val="000000"/>
                <w:sz w:val="20"/>
                <w:szCs w:val="20"/>
              </w:rPr>
            </w:pPr>
            <w:r w:rsidRPr="004F71F2">
              <w:rPr>
                <w:color w:val="000000"/>
                <w:sz w:val="20"/>
                <w:szCs w:val="20"/>
              </w:rPr>
              <w:t>10-Nov-2025</w:t>
            </w:r>
          </w:p>
        </w:tc>
        <w:tc>
          <w:tcPr>
            <w:tcW w:w="880" w:type="dxa"/>
            <w:tcBorders>
              <w:top w:val="nil"/>
              <w:left w:val="nil"/>
              <w:bottom w:val="nil"/>
              <w:right w:val="nil"/>
            </w:tcBorders>
            <w:noWrap/>
            <w:vAlign w:val="bottom"/>
            <w:hideMark/>
          </w:tcPr>
          <w:p w14:paraId="0AA30AA8" w14:textId="77777777" w:rsidR="00806B8B" w:rsidRPr="004F71F2" w:rsidRDefault="00806B8B" w:rsidP="00233CC3">
            <w:pPr>
              <w:jc w:val="both"/>
              <w:rPr>
                <w:color w:val="000000"/>
                <w:sz w:val="20"/>
                <w:szCs w:val="20"/>
              </w:rPr>
            </w:pPr>
            <w:r w:rsidRPr="004F71F2">
              <w:rPr>
                <w:color w:val="000000"/>
                <w:sz w:val="20"/>
                <w:szCs w:val="20"/>
              </w:rPr>
              <w:t>20</w:t>
            </w:r>
          </w:p>
        </w:tc>
        <w:tc>
          <w:tcPr>
            <w:tcW w:w="5560" w:type="dxa"/>
            <w:tcBorders>
              <w:top w:val="nil"/>
              <w:left w:val="nil"/>
              <w:bottom w:val="nil"/>
              <w:right w:val="nil"/>
            </w:tcBorders>
            <w:noWrap/>
            <w:vAlign w:val="bottom"/>
            <w:hideMark/>
          </w:tcPr>
          <w:p w14:paraId="2BDC8C19" w14:textId="77777777" w:rsidR="00806B8B" w:rsidRPr="004F71F2" w:rsidRDefault="00806B8B" w:rsidP="00233CC3">
            <w:pPr>
              <w:jc w:val="both"/>
              <w:rPr>
                <w:color w:val="000000"/>
                <w:sz w:val="20"/>
                <w:szCs w:val="20"/>
              </w:rPr>
            </w:pPr>
            <w:r w:rsidRPr="004F71F2">
              <w:rPr>
                <w:color w:val="000000"/>
                <w:sz w:val="20"/>
                <w:szCs w:val="20"/>
              </w:rPr>
              <w:t xml:space="preserve">Finance, the supply of capital, and long-run growth </w:t>
            </w:r>
          </w:p>
        </w:tc>
        <w:tc>
          <w:tcPr>
            <w:tcW w:w="1880" w:type="dxa"/>
            <w:tcBorders>
              <w:top w:val="nil"/>
              <w:left w:val="nil"/>
              <w:bottom w:val="nil"/>
              <w:right w:val="single" w:sz="8" w:space="0" w:color="auto"/>
            </w:tcBorders>
            <w:noWrap/>
            <w:vAlign w:val="bottom"/>
            <w:hideMark/>
          </w:tcPr>
          <w:p w14:paraId="46F77658"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1A23763B" w14:textId="77777777" w:rsidTr="00806B8B">
        <w:trPr>
          <w:trHeight w:val="320"/>
        </w:trPr>
        <w:tc>
          <w:tcPr>
            <w:tcW w:w="1480" w:type="dxa"/>
            <w:tcBorders>
              <w:top w:val="nil"/>
              <w:left w:val="single" w:sz="8" w:space="0" w:color="auto"/>
              <w:bottom w:val="nil"/>
              <w:right w:val="nil"/>
            </w:tcBorders>
            <w:noWrap/>
            <w:vAlign w:val="bottom"/>
            <w:hideMark/>
          </w:tcPr>
          <w:p w14:paraId="46BF7218" w14:textId="77777777" w:rsidR="00806B8B" w:rsidRPr="004F71F2" w:rsidRDefault="00806B8B" w:rsidP="00233CC3">
            <w:pPr>
              <w:jc w:val="both"/>
              <w:rPr>
                <w:color w:val="000000"/>
                <w:sz w:val="20"/>
                <w:szCs w:val="20"/>
              </w:rPr>
            </w:pPr>
            <w:r w:rsidRPr="004F71F2">
              <w:rPr>
                <w:color w:val="000000"/>
                <w:sz w:val="20"/>
                <w:szCs w:val="20"/>
              </w:rPr>
              <w:t>12-Nov-2025</w:t>
            </w:r>
          </w:p>
        </w:tc>
        <w:tc>
          <w:tcPr>
            <w:tcW w:w="880" w:type="dxa"/>
            <w:tcBorders>
              <w:top w:val="nil"/>
              <w:left w:val="nil"/>
              <w:bottom w:val="nil"/>
              <w:right w:val="nil"/>
            </w:tcBorders>
            <w:noWrap/>
            <w:vAlign w:val="bottom"/>
            <w:hideMark/>
          </w:tcPr>
          <w:p w14:paraId="3988D810" w14:textId="77777777" w:rsidR="00806B8B" w:rsidRPr="004F71F2" w:rsidRDefault="00806B8B" w:rsidP="00233CC3">
            <w:pPr>
              <w:jc w:val="both"/>
              <w:rPr>
                <w:color w:val="000000"/>
                <w:sz w:val="20"/>
                <w:szCs w:val="20"/>
              </w:rPr>
            </w:pPr>
            <w:r w:rsidRPr="004F71F2">
              <w:rPr>
                <w:color w:val="000000"/>
                <w:sz w:val="20"/>
                <w:szCs w:val="20"/>
              </w:rPr>
              <w:t>21</w:t>
            </w:r>
          </w:p>
        </w:tc>
        <w:tc>
          <w:tcPr>
            <w:tcW w:w="5560" w:type="dxa"/>
            <w:tcBorders>
              <w:top w:val="nil"/>
              <w:left w:val="nil"/>
              <w:bottom w:val="nil"/>
              <w:right w:val="nil"/>
            </w:tcBorders>
            <w:noWrap/>
            <w:vAlign w:val="bottom"/>
            <w:hideMark/>
          </w:tcPr>
          <w:p w14:paraId="51D5B361" w14:textId="77777777" w:rsidR="00806B8B" w:rsidRPr="004F71F2" w:rsidRDefault="00806B8B" w:rsidP="00233CC3">
            <w:pPr>
              <w:jc w:val="both"/>
              <w:rPr>
                <w:color w:val="000000"/>
                <w:sz w:val="20"/>
                <w:szCs w:val="20"/>
              </w:rPr>
            </w:pPr>
            <w:r w:rsidRPr="004F71F2">
              <w:rPr>
                <w:color w:val="000000"/>
                <w:sz w:val="20"/>
                <w:szCs w:val="20"/>
              </w:rPr>
              <w:t>Corporate finance, financing frictions</w:t>
            </w:r>
          </w:p>
        </w:tc>
        <w:tc>
          <w:tcPr>
            <w:tcW w:w="1880" w:type="dxa"/>
            <w:tcBorders>
              <w:top w:val="nil"/>
              <w:left w:val="nil"/>
              <w:bottom w:val="nil"/>
              <w:right w:val="single" w:sz="8" w:space="0" w:color="auto"/>
            </w:tcBorders>
            <w:noWrap/>
            <w:vAlign w:val="bottom"/>
            <w:hideMark/>
          </w:tcPr>
          <w:p w14:paraId="0E4F7AB7"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027467D" w14:textId="77777777" w:rsidTr="00806B8B">
        <w:trPr>
          <w:trHeight w:val="320"/>
        </w:trPr>
        <w:tc>
          <w:tcPr>
            <w:tcW w:w="1480" w:type="dxa"/>
            <w:tcBorders>
              <w:top w:val="nil"/>
              <w:left w:val="single" w:sz="8" w:space="0" w:color="auto"/>
              <w:bottom w:val="nil"/>
              <w:right w:val="nil"/>
            </w:tcBorders>
            <w:noWrap/>
            <w:vAlign w:val="bottom"/>
            <w:hideMark/>
          </w:tcPr>
          <w:p w14:paraId="5D7B6E4D" w14:textId="77777777" w:rsidR="00806B8B" w:rsidRPr="004F71F2" w:rsidRDefault="00806B8B" w:rsidP="00233CC3">
            <w:pPr>
              <w:jc w:val="both"/>
              <w:rPr>
                <w:color w:val="000000"/>
                <w:sz w:val="20"/>
                <w:szCs w:val="20"/>
              </w:rPr>
            </w:pPr>
            <w:r w:rsidRPr="004F71F2">
              <w:rPr>
                <w:color w:val="000000"/>
                <w:sz w:val="20"/>
                <w:szCs w:val="20"/>
              </w:rPr>
              <w:t>17-Nov-2025</w:t>
            </w:r>
          </w:p>
        </w:tc>
        <w:tc>
          <w:tcPr>
            <w:tcW w:w="880" w:type="dxa"/>
            <w:tcBorders>
              <w:top w:val="nil"/>
              <w:left w:val="nil"/>
              <w:bottom w:val="nil"/>
              <w:right w:val="nil"/>
            </w:tcBorders>
            <w:noWrap/>
            <w:vAlign w:val="bottom"/>
            <w:hideMark/>
          </w:tcPr>
          <w:p w14:paraId="63437B01" w14:textId="77777777" w:rsidR="00806B8B" w:rsidRPr="004F71F2" w:rsidRDefault="00806B8B" w:rsidP="00233CC3">
            <w:pPr>
              <w:jc w:val="both"/>
              <w:rPr>
                <w:color w:val="000000"/>
                <w:sz w:val="20"/>
                <w:szCs w:val="20"/>
              </w:rPr>
            </w:pPr>
            <w:r w:rsidRPr="004F71F2">
              <w:rPr>
                <w:color w:val="000000"/>
                <w:sz w:val="20"/>
                <w:szCs w:val="20"/>
              </w:rPr>
              <w:t>22</w:t>
            </w:r>
          </w:p>
        </w:tc>
        <w:tc>
          <w:tcPr>
            <w:tcW w:w="5560" w:type="dxa"/>
            <w:tcBorders>
              <w:top w:val="nil"/>
              <w:left w:val="nil"/>
              <w:bottom w:val="nil"/>
              <w:right w:val="nil"/>
            </w:tcBorders>
            <w:noWrap/>
            <w:vAlign w:val="bottom"/>
            <w:hideMark/>
          </w:tcPr>
          <w:p w14:paraId="2ED2B8F2" w14:textId="4B9ADC98" w:rsidR="00806B8B" w:rsidRPr="004F71F2" w:rsidRDefault="004F71F2" w:rsidP="00233CC3">
            <w:pPr>
              <w:jc w:val="both"/>
              <w:rPr>
                <w:color w:val="000000"/>
                <w:sz w:val="20"/>
                <w:szCs w:val="20"/>
              </w:rPr>
            </w:pPr>
            <w:r w:rsidRPr="004F71F2">
              <w:rPr>
                <w:color w:val="000000"/>
                <w:sz w:val="20"/>
                <w:szCs w:val="20"/>
              </w:rPr>
              <w:t>Corporate finance, financing frictions</w:t>
            </w:r>
          </w:p>
        </w:tc>
        <w:tc>
          <w:tcPr>
            <w:tcW w:w="1880" w:type="dxa"/>
            <w:tcBorders>
              <w:top w:val="nil"/>
              <w:left w:val="nil"/>
              <w:bottom w:val="nil"/>
              <w:right w:val="single" w:sz="8" w:space="0" w:color="auto"/>
            </w:tcBorders>
            <w:noWrap/>
            <w:vAlign w:val="bottom"/>
            <w:hideMark/>
          </w:tcPr>
          <w:p w14:paraId="650DDEC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13F68C0" w14:textId="77777777" w:rsidTr="00806B8B">
        <w:trPr>
          <w:trHeight w:val="320"/>
        </w:trPr>
        <w:tc>
          <w:tcPr>
            <w:tcW w:w="1480" w:type="dxa"/>
            <w:tcBorders>
              <w:top w:val="nil"/>
              <w:left w:val="single" w:sz="8" w:space="0" w:color="auto"/>
              <w:bottom w:val="nil"/>
              <w:right w:val="nil"/>
            </w:tcBorders>
            <w:noWrap/>
            <w:vAlign w:val="bottom"/>
            <w:hideMark/>
          </w:tcPr>
          <w:p w14:paraId="5DC801F9" w14:textId="77777777" w:rsidR="00806B8B" w:rsidRPr="004F71F2" w:rsidRDefault="00806B8B" w:rsidP="00233CC3">
            <w:pPr>
              <w:jc w:val="both"/>
              <w:rPr>
                <w:color w:val="000000"/>
                <w:sz w:val="20"/>
                <w:szCs w:val="20"/>
              </w:rPr>
            </w:pPr>
            <w:r w:rsidRPr="004F71F2">
              <w:rPr>
                <w:color w:val="000000"/>
                <w:sz w:val="20"/>
                <w:szCs w:val="20"/>
              </w:rPr>
              <w:t>19-Nov-2025</w:t>
            </w:r>
          </w:p>
        </w:tc>
        <w:tc>
          <w:tcPr>
            <w:tcW w:w="880" w:type="dxa"/>
            <w:tcBorders>
              <w:top w:val="nil"/>
              <w:left w:val="nil"/>
              <w:bottom w:val="nil"/>
              <w:right w:val="nil"/>
            </w:tcBorders>
            <w:noWrap/>
            <w:vAlign w:val="bottom"/>
            <w:hideMark/>
          </w:tcPr>
          <w:p w14:paraId="5D00A21E" w14:textId="77777777" w:rsidR="00806B8B" w:rsidRPr="004F71F2" w:rsidRDefault="00806B8B" w:rsidP="00233CC3">
            <w:pPr>
              <w:jc w:val="both"/>
              <w:rPr>
                <w:color w:val="000000"/>
                <w:sz w:val="20"/>
                <w:szCs w:val="20"/>
              </w:rPr>
            </w:pPr>
            <w:r w:rsidRPr="004F71F2">
              <w:rPr>
                <w:color w:val="000000"/>
                <w:sz w:val="20"/>
                <w:szCs w:val="20"/>
              </w:rPr>
              <w:t>23</w:t>
            </w:r>
          </w:p>
        </w:tc>
        <w:tc>
          <w:tcPr>
            <w:tcW w:w="5560" w:type="dxa"/>
            <w:tcBorders>
              <w:top w:val="nil"/>
              <w:left w:val="nil"/>
              <w:bottom w:val="nil"/>
              <w:right w:val="nil"/>
            </w:tcBorders>
            <w:noWrap/>
            <w:vAlign w:val="center"/>
            <w:hideMark/>
          </w:tcPr>
          <w:p w14:paraId="7C5851FB" w14:textId="77777777" w:rsidR="00806B8B" w:rsidRPr="004F71F2" w:rsidRDefault="00806B8B" w:rsidP="00233CC3">
            <w:pPr>
              <w:jc w:val="both"/>
              <w:rPr>
                <w:color w:val="000000"/>
                <w:sz w:val="20"/>
                <w:szCs w:val="20"/>
              </w:rPr>
            </w:pPr>
            <w:r w:rsidRPr="004F71F2">
              <w:rPr>
                <w:color w:val="000000"/>
                <w:sz w:val="20"/>
                <w:szCs w:val="20"/>
              </w:rPr>
              <w:t>Banking crises and the Great Recession</w:t>
            </w:r>
          </w:p>
        </w:tc>
        <w:tc>
          <w:tcPr>
            <w:tcW w:w="1880" w:type="dxa"/>
            <w:tcBorders>
              <w:top w:val="nil"/>
              <w:left w:val="nil"/>
              <w:bottom w:val="nil"/>
              <w:right w:val="single" w:sz="8" w:space="0" w:color="auto"/>
            </w:tcBorders>
            <w:noWrap/>
            <w:vAlign w:val="bottom"/>
            <w:hideMark/>
          </w:tcPr>
          <w:p w14:paraId="634DF867" w14:textId="77777777" w:rsidR="00806B8B" w:rsidRPr="004F71F2" w:rsidRDefault="00806B8B" w:rsidP="00233CC3">
            <w:pPr>
              <w:jc w:val="both"/>
              <w:rPr>
                <w:color w:val="000000"/>
                <w:sz w:val="20"/>
                <w:szCs w:val="20"/>
              </w:rPr>
            </w:pPr>
            <w:r w:rsidRPr="004F71F2">
              <w:rPr>
                <w:color w:val="000000"/>
                <w:sz w:val="20"/>
                <w:szCs w:val="20"/>
              </w:rPr>
              <w:t>Quiz #4</w:t>
            </w:r>
          </w:p>
        </w:tc>
      </w:tr>
      <w:tr w:rsidR="00806B8B" w:rsidRPr="004F71F2" w14:paraId="754399BF" w14:textId="77777777" w:rsidTr="00806B8B">
        <w:trPr>
          <w:trHeight w:val="320"/>
        </w:trPr>
        <w:tc>
          <w:tcPr>
            <w:tcW w:w="1480" w:type="dxa"/>
            <w:tcBorders>
              <w:top w:val="nil"/>
              <w:left w:val="single" w:sz="8" w:space="0" w:color="auto"/>
              <w:bottom w:val="nil"/>
              <w:right w:val="nil"/>
            </w:tcBorders>
            <w:noWrap/>
            <w:vAlign w:val="bottom"/>
            <w:hideMark/>
          </w:tcPr>
          <w:p w14:paraId="38A265B7" w14:textId="77777777" w:rsidR="00806B8B" w:rsidRPr="004F71F2" w:rsidRDefault="00806B8B" w:rsidP="00233CC3">
            <w:pPr>
              <w:jc w:val="both"/>
              <w:rPr>
                <w:color w:val="000000"/>
                <w:sz w:val="20"/>
                <w:szCs w:val="20"/>
              </w:rPr>
            </w:pPr>
            <w:r w:rsidRPr="004F71F2">
              <w:rPr>
                <w:color w:val="000000"/>
                <w:sz w:val="20"/>
                <w:szCs w:val="20"/>
              </w:rPr>
              <w:t>24-Nov-2025</w:t>
            </w:r>
          </w:p>
        </w:tc>
        <w:tc>
          <w:tcPr>
            <w:tcW w:w="880" w:type="dxa"/>
            <w:tcBorders>
              <w:top w:val="nil"/>
              <w:left w:val="nil"/>
              <w:bottom w:val="nil"/>
              <w:right w:val="nil"/>
            </w:tcBorders>
            <w:noWrap/>
            <w:vAlign w:val="bottom"/>
            <w:hideMark/>
          </w:tcPr>
          <w:p w14:paraId="492500C3" w14:textId="77777777" w:rsidR="00806B8B" w:rsidRPr="004F71F2" w:rsidRDefault="00806B8B" w:rsidP="00233CC3">
            <w:pPr>
              <w:jc w:val="both"/>
              <w:rPr>
                <w:color w:val="000000"/>
                <w:sz w:val="20"/>
                <w:szCs w:val="20"/>
              </w:rPr>
            </w:pPr>
            <w:r w:rsidRPr="004F71F2">
              <w:rPr>
                <w:color w:val="000000"/>
                <w:sz w:val="20"/>
                <w:szCs w:val="20"/>
              </w:rPr>
              <w:t>24</w:t>
            </w:r>
          </w:p>
        </w:tc>
        <w:tc>
          <w:tcPr>
            <w:tcW w:w="5560" w:type="dxa"/>
            <w:tcBorders>
              <w:top w:val="nil"/>
              <w:left w:val="nil"/>
              <w:bottom w:val="nil"/>
              <w:right w:val="nil"/>
            </w:tcBorders>
            <w:noWrap/>
            <w:vAlign w:val="center"/>
            <w:hideMark/>
          </w:tcPr>
          <w:p w14:paraId="2B9B062B" w14:textId="77777777" w:rsidR="00806B8B" w:rsidRPr="004F71F2" w:rsidRDefault="00806B8B" w:rsidP="00233CC3">
            <w:pPr>
              <w:jc w:val="both"/>
              <w:rPr>
                <w:color w:val="000000"/>
                <w:sz w:val="20"/>
                <w:szCs w:val="20"/>
              </w:rPr>
            </w:pPr>
            <w:r w:rsidRPr="004F71F2">
              <w:rPr>
                <w:color w:val="000000"/>
                <w:sz w:val="20"/>
                <w:szCs w:val="20"/>
              </w:rPr>
              <w:t>Banking crises and the Great Recession</w:t>
            </w:r>
          </w:p>
        </w:tc>
        <w:tc>
          <w:tcPr>
            <w:tcW w:w="1880" w:type="dxa"/>
            <w:tcBorders>
              <w:top w:val="nil"/>
              <w:left w:val="nil"/>
              <w:bottom w:val="nil"/>
              <w:right w:val="single" w:sz="8" w:space="0" w:color="auto"/>
            </w:tcBorders>
            <w:noWrap/>
            <w:vAlign w:val="bottom"/>
            <w:hideMark/>
          </w:tcPr>
          <w:p w14:paraId="7548647A"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097EE9BA" w14:textId="77777777" w:rsidTr="00806B8B">
        <w:trPr>
          <w:trHeight w:val="320"/>
        </w:trPr>
        <w:tc>
          <w:tcPr>
            <w:tcW w:w="1480" w:type="dxa"/>
            <w:tcBorders>
              <w:top w:val="nil"/>
              <w:left w:val="single" w:sz="8" w:space="0" w:color="auto"/>
              <w:bottom w:val="nil"/>
              <w:right w:val="nil"/>
            </w:tcBorders>
            <w:noWrap/>
            <w:vAlign w:val="bottom"/>
            <w:hideMark/>
          </w:tcPr>
          <w:p w14:paraId="3D6E3723" w14:textId="77777777" w:rsidR="00806B8B" w:rsidRPr="004F71F2" w:rsidRDefault="00806B8B" w:rsidP="00233CC3">
            <w:pPr>
              <w:jc w:val="both"/>
              <w:rPr>
                <w:color w:val="000000"/>
                <w:sz w:val="20"/>
                <w:szCs w:val="20"/>
              </w:rPr>
            </w:pPr>
            <w:r w:rsidRPr="004F71F2">
              <w:rPr>
                <w:color w:val="000000"/>
                <w:sz w:val="20"/>
                <w:szCs w:val="20"/>
              </w:rPr>
              <w:t>1-Dec-2025</w:t>
            </w:r>
          </w:p>
        </w:tc>
        <w:tc>
          <w:tcPr>
            <w:tcW w:w="880" w:type="dxa"/>
            <w:tcBorders>
              <w:top w:val="nil"/>
              <w:left w:val="nil"/>
              <w:bottom w:val="nil"/>
              <w:right w:val="nil"/>
            </w:tcBorders>
            <w:noWrap/>
            <w:vAlign w:val="bottom"/>
            <w:hideMark/>
          </w:tcPr>
          <w:p w14:paraId="48461234" w14:textId="77777777" w:rsidR="00806B8B" w:rsidRPr="004F71F2" w:rsidRDefault="00806B8B" w:rsidP="00233CC3">
            <w:pPr>
              <w:jc w:val="both"/>
              <w:rPr>
                <w:color w:val="000000"/>
                <w:sz w:val="20"/>
                <w:szCs w:val="20"/>
              </w:rPr>
            </w:pPr>
            <w:r w:rsidRPr="004F71F2">
              <w:rPr>
                <w:color w:val="000000"/>
                <w:sz w:val="20"/>
                <w:szCs w:val="20"/>
              </w:rPr>
              <w:t>25</w:t>
            </w:r>
          </w:p>
        </w:tc>
        <w:tc>
          <w:tcPr>
            <w:tcW w:w="5560" w:type="dxa"/>
            <w:tcBorders>
              <w:top w:val="nil"/>
              <w:left w:val="nil"/>
              <w:bottom w:val="nil"/>
              <w:right w:val="nil"/>
            </w:tcBorders>
            <w:noWrap/>
            <w:vAlign w:val="bottom"/>
            <w:hideMark/>
          </w:tcPr>
          <w:p w14:paraId="43354296" w14:textId="77777777" w:rsidR="00806B8B" w:rsidRPr="004F71F2" w:rsidRDefault="00806B8B" w:rsidP="00233CC3">
            <w:pPr>
              <w:jc w:val="both"/>
              <w:rPr>
                <w:color w:val="000000"/>
                <w:sz w:val="20"/>
                <w:szCs w:val="20"/>
              </w:rPr>
            </w:pPr>
            <w:r w:rsidRPr="004F71F2">
              <w:rPr>
                <w:color w:val="000000"/>
                <w:sz w:val="20"/>
                <w:szCs w:val="20"/>
              </w:rPr>
              <w:t>Growth &amp; growth policies</w:t>
            </w:r>
          </w:p>
        </w:tc>
        <w:tc>
          <w:tcPr>
            <w:tcW w:w="1880" w:type="dxa"/>
            <w:tcBorders>
              <w:top w:val="nil"/>
              <w:left w:val="nil"/>
              <w:bottom w:val="nil"/>
              <w:right w:val="single" w:sz="8" w:space="0" w:color="auto"/>
            </w:tcBorders>
            <w:noWrap/>
            <w:vAlign w:val="bottom"/>
            <w:hideMark/>
          </w:tcPr>
          <w:p w14:paraId="6D484B55"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A75983D" w14:textId="77777777" w:rsidTr="00806B8B">
        <w:trPr>
          <w:trHeight w:val="320"/>
        </w:trPr>
        <w:tc>
          <w:tcPr>
            <w:tcW w:w="1480" w:type="dxa"/>
            <w:tcBorders>
              <w:top w:val="nil"/>
              <w:left w:val="single" w:sz="8" w:space="0" w:color="auto"/>
              <w:bottom w:val="nil"/>
              <w:right w:val="nil"/>
            </w:tcBorders>
            <w:noWrap/>
            <w:vAlign w:val="bottom"/>
            <w:hideMark/>
          </w:tcPr>
          <w:p w14:paraId="64D942FC" w14:textId="77777777" w:rsidR="00806B8B" w:rsidRPr="004F71F2" w:rsidRDefault="00806B8B" w:rsidP="00233CC3">
            <w:pPr>
              <w:jc w:val="both"/>
              <w:rPr>
                <w:color w:val="000000"/>
                <w:sz w:val="20"/>
                <w:szCs w:val="20"/>
              </w:rPr>
            </w:pPr>
            <w:r w:rsidRPr="004F71F2">
              <w:rPr>
                <w:color w:val="000000"/>
                <w:sz w:val="20"/>
                <w:szCs w:val="20"/>
              </w:rPr>
              <w:t>3-Dec-2025</w:t>
            </w:r>
          </w:p>
        </w:tc>
        <w:tc>
          <w:tcPr>
            <w:tcW w:w="880" w:type="dxa"/>
            <w:tcBorders>
              <w:top w:val="nil"/>
              <w:left w:val="nil"/>
              <w:bottom w:val="nil"/>
              <w:right w:val="nil"/>
            </w:tcBorders>
            <w:noWrap/>
            <w:vAlign w:val="bottom"/>
            <w:hideMark/>
          </w:tcPr>
          <w:p w14:paraId="7DEBA325" w14:textId="77777777" w:rsidR="00806B8B" w:rsidRPr="004F71F2" w:rsidRDefault="00806B8B" w:rsidP="00233CC3">
            <w:pPr>
              <w:jc w:val="both"/>
              <w:rPr>
                <w:color w:val="000000"/>
                <w:sz w:val="20"/>
                <w:szCs w:val="20"/>
              </w:rPr>
            </w:pPr>
            <w:r w:rsidRPr="004F71F2">
              <w:rPr>
                <w:color w:val="000000"/>
                <w:sz w:val="20"/>
                <w:szCs w:val="20"/>
              </w:rPr>
              <w:t>26</w:t>
            </w:r>
          </w:p>
        </w:tc>
        <w:tc>
          <w:tcPr>
            <w:tcW w:w="5560" w:type="dxa"/>
            <w:tcBorders>
              <w:top w:val="nil"/>
              <w:left w:val="nil"/>
              <w:bottom w:val="nil"/>
              <w:right w:val="nil"/>
            </w:tcBorders>
            <w:noWrap/>
            <w:vAlign w:val="bottom"/>
            <w:hideMark/>
          </w:tcPr>
          <w:p w14:paraId="53DECE55" w14:textId="77777777" w:rsidR="00806B8B" w:rsidRPr="004F71F2" w:rsidRDefault="00806B8B" w:rsidP="00233CC3">
            <w:pPr>
              <w:jc w:val="both"/>
              <w:rPr>
                <w:color w:val="000000"/>
                <w:sz w:val="20"/>
                <w:szCs w:val="20"/>
              </w:rPr>
            </w:pPr>
            <w:r w:rsidRPr="004F71F2">
              <w:rPr>
                <w:color w:val="000000"/>
                <w:sz w:val="20"/>
                <w:szCs w:val="20"/>
              </w:rPr>
              <w:t>Growth &amp; growth policies</w:t>
            </w:r>
          </w:p>
        </w:tc>
        <w:tc>
          <w:tcPr>
            <w:tcW w:w="1880" w:type="dxa"/>
            <w:tcBorders>
              <w:top w:val="nil"/>
              <w:left w:val="nil"/>
              <w:bottom w:val="nil"/>
              <w:right w:val="single" w:sz="8" w:space="0" w:color="auto"/>
            </w:tcBorders>
            <w:noWrap/>
            <w:vAlign w:val="bottom"/>
            <w:hideMark/>
          </w:tcPr>
          <w:p w14:paraId="259E7184" w14:textId="77777777" w:rsidR="00806B8B" w:rsidRPr="004F71F2" w:rsidRDefault="00806B8B" w:rsidP="00233CC3">
            <w:pPr>
              <w:jc w:val="both"/>
              <w:rPr>
                <w:color w:val="000000"/>
                <w:sz w:val="20"/>
                <w:szCs w:val="20"/>
              </w:rPr>
            </w:pPr>
            <w:r w:rsidRPr="004F71F2">
              <w:rPr>
                <w:color w:val="000000"/>
                <w:sz w:val="20"/>
                <w:szCs w:val="20"/>
              </w:rPr>
              <w:t>Quiz #5</w:t>
            </w:r>
          </w:p>
        </w:tc>
      </w:tr>
      <w:tr w:rsidR="00806B8B" w:rsidRPr="004F71F2" w14:paraId="71693019" w14:textId="77777777" w:rsidTr="00806B8B">
        <w:trPr>
          <w:trHeight w:val="320"/>
        </w:trPr>
        <w:tc>
          <w:tcPr>
            <w:tcW w:w="1480" w:type="dxa"/>
            <w:tcBorders>
              <w:top w:val="nil"/>
              <w:left w:val="single" w:sz="8" w:space="0" w:color="auto"/>
              <w:bottom w:val="nil"/>
              <w:right w:val="nil"/>
            </w:tcBorders>
            <w:noWrap/>
            <w:vAlign w:val="bottom"/>
            <w:hideMark/>
          </w:tcPr>
          <w:p w14:paraId="1C5E3A59" w14:textId="77777777" w:rsidR="00806B8B" w:rsidRPr="004F71F2" w:rsidRDefault="00806B8B" w:rsidP="00233CC3">
            <w:pPr>
              <w:jc w:val="both"/>
              <w:rPr>
                <w:color w:val="000000"/>
                <w:sz w:val="20"/>
                <w:szCs w:val="20"/>
              </w:rPr>
            </w:pPr>
            <w:r w:rsidRPr="004F71F2">
              <w:rPr>
                <w:color w:val="000000"/>
                <w:sz w:val="20"/>
                <w:szCs w:val="20"/>
              </w:rPr>
              <w:t>8-Dec-2025</w:t>
            </w:r>
          </w:p>
        </w:tc>
        <w:tc>
          <w:tcPr>
            <w:tcW w:w="880" w:type="dxa"/>
            <w:tcBorders>
              <w:top w:val="nil"/>
              <w:left w:val="nil"/>
              <w:bottom w:val="nil"/>
              <w:right w:val="nil"/>
            </w:tcBorders>
            <w:noWrap/>
            <w:vAlign w:val="bottom"/>
            <w:hideMark/>
          </w:tcPr>
          <w:p w14:paraId="65F1282B" w14:textId="77777777" w:rsidR="00806B8B" w:rsidRPr="004F71F2" w:rsidRDefault="00806B8B" w:rsidP="00233CC3">
            <w:pPr>
              <w:jc w:val="both"/>
              <w:rPr>
                <w:color w:val="000000"/>
                <w:sz w:val="20"/>
                <w:szCs w:val="20"/>
              </w:rPr>
            </w:pPr>
            <w:r w:rsidRPr="004F71F2">
              <w:rPr>
                <w:color w:val="000000"/>
                <w:sz w:val="20"/>
                <w:szCs w:val="20"/>
              </w:rPr>
              <w:t>27</w:t>
            </w:r>
          </w:p>
        </w:tc>
        <w:tc>
          <w:tcPr>
            <w:tcW w:w="5560" w:type="dxa"/>
            <w:tcBorders>
              <w:top w:val="nil"/>
              <w:left w:val="nil"/>
              <w:bottom w:val="nil"/>
              <w:right w:val="nil"/>
            </w:tcBorders>
            <w:noWrap/>
            <w:vAlign w:val="bottom"/>
            <w:hideMark/>
          </w:tcPr>
          <w:p w14:paraId="6F9EF088" w14:textId="77777777" w:rsidR="00806B8B" w:rsidRPr="004F71F2" w:rsidRDefault="00806B8B" w:rsidP="00233CC3">
            <w:pPr>
              <w:jc w:val="both"/>
              <w:rPr>
                <w:color w:val="000000"/>
                <w:sz w:val="20"/>
                <w:szCs w:val="20"/>
              </w:rPr>
            </w:pPr>
            <w:r w:rsidRPr="004F71F2">
              <w:rPr>
                <w:color w:val="000000"/>
                <w:sz w:val="20"/>
                <w:szCs w:val="20"/>
              </w:rPr>
              <w:t>Climate Change and the Macroeconomy</w:t>
            </w:r>
          </w:p>
        </w:tc>
        <w:tc>
          <w:tcPr>
            <w:tcW w:w="1880" w:type="dxa"/>
            <w:tcBorders>
              <w:top w:val="nil"/>
              <w:left w:val="nil"/>
              <w:bottom w:val="nil"/>
              <w:right w:val="single" w:sz="8" w:space="0" w:color="auto"/>
            </w:tcBorders>
            <w:noWrap/>
            <w:vAlign w:val="bottom"/>
            <w:hideMark/>
          </w:tcPr>
          <w:p w14:paraId="3F7E755C"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58445003" w14:textId="77777777" w:rsidTr="00806B8B">
        <w:trPr>
          <w:trHeight w:val="340"/>
        </w:trPr>
        <w:tc>
          <w:tcPr>
            <w:tcW w:w="1480" w:type="dxa"/>
            <w:tcBorders>
              <w:top w:val="nil"/>
              <w:left w:val="single" w:sz="8" w:space="0" w:color="auto"/>
              <w:bottom w:val="single" w:sz="8" w:space="0" w:color="auto"/>
              <w:right w:val="nil"/>
            </w:tcBorders>
            <w:noWrap/>
            <w:vAlign w:val="bottom"/>
            <w:hideMark/>
          </w:tcPr>
          <w:p w14:paraId="6B671B93" w14:textId="77777777" w:rsidR="00806B8B" w:rsidRPr="004F71F2" w:rsidRDefault="00806B8B" w:rsidP="00233CC3">
            <w:pPr>
              <w:jc w:val="both"/>
              <w:rPr>
                <w:color w:val="000000"/>
                <w:sz w:val="20"/>
                <w:szCs w:val="20"/>
              </w:rPr>
            </w:pPr>
            <w:r w:rsidRPr="004F71F2">
              <w:rPr>
                <w:color w:val="000000"/>
                <w:sz w:val="20"/>
                <w:szCs w:val="20"/>
              </w:rPr>
              <w:t>15-Dec-25</w:t>
            </w:r>
          </w:p>
        </w:tc>
        <w:tc>
          <w:tcPr>
            <w:tcW w:w="880" w:type="dxa"/>
            <w:tcBorders>
              <w:top w:val="nil"/>
              <w:left w:val="nil"/>
              <w:bottom w:val="single" w:sz="8" w:space="0" w:color="auto"/>
              <w:right w:val="nil"/>
            </w:tcBorders>
            <w:noWrap/>
            <w:vAlign w:val="bottom"/>
            <w:hideMark/>
          </w:tcPr>
          <w:p w14:paraId="6D99D734" w14:textId="77777777" w:rsidR="00806B8B" w:rsidRPr="004F71F2" w:rsidRDefault="00806B8B" w:rsidP="00233CC3">
            <w:pPr>
              <w:jc w:val="both"/>
              <w:rPr>
                <w:color w:val="000000"/>
                <w:sz w:val="20"/>
                <w:szCs w:val="20"/>
              </w:rPr>
            </w:pPr>
            <w:r w:rsidRPr="004F71F2">
              <w:rPr>
                <w:color w:val="000000"/>
                <w:sz w:val="20"/>
                <w:szCs w:val="20"/>
              </w:rPr>
              <w:t> </w:t>
            </w:r>
          </w:p>
        </w:tc>
        <w:tc>
          <w:tcPr>
            <w:tcW w:w="5560" w:type="dxa"/>
            <w:tcBorders>
              <w:top w:val="nil"/>
              <w:left w:val="nil"/>
              <w:bottom w:val="single" w:sz="8" w:space="0" w:color="auto"/>
              <w:right w:val="nil"/>
            </w:tcBorders>
            <w:noWrap/>
            <w:vAlign w:val="bottom"/>
            <w:hideMark/>
          </w:tcPr>
          <w:p w14:paraId="41E1C905" w14:textId="77777777" w:rsidR="00806B8B" w:rsidRPr="004F71F2" w:rsidRDefault="00806B8B" w:rsidP="00233CC3">
            <w:pPr>
              <w:jc w:val="both"/>
              <w:rPr>
                <w:color w:val="000000"/>
                <w:sz w:val="20"/>
                <w:szCs w:val="20"/>
              </w:rPr>
            </w:pPr>
            <w:r w:rsidRPr="004F71F2">
              <w:rPr>
                <w:color w:val="000000"/>
                <w:sz w:val="20"/>
                <w:szCs w:val="20"/>
              </w:rPr>
              <w:t>FINAL EXAM</w:t>
            </w:r>
          </w:p>
        </w:tc>
        <w:tc>
          <w:tcPr>
            <w:tcW w:w="1880" w:type="dxa"/>
            <w:tcBorders>
              <w:top w:val="nil"/>
              <w:left w:val="nil"/>
              <w:bottom w:val="single" w:sz="8" w:space="0" w:color="auto"/>
              <w:right w:val="single" w:sz="8" w:space="0" w:color="auto"/>
            </w:tcBorders>
            <w:noWrap/>
            <w:vAlign w:val="bottom"/>
            <w:hideMark/>
          </w:tcPr>
          <w:p w14:paraId="0DE9AAA6" w14:textId="77777777" w:rsidR="00806B8B" w:rsidRPr="004F71F2" w:rsidRDefault="00806B8B" w:rsidP="00233CC3">
            <w:pPr>
              <w:jc w:val="both"/>
              <w:rPr>
                <w:color w:val="000000"/>
                <w:sz w:val="20"/>
                <w:szCs w:val="20"/>
              </w:rPr>
            </w:pPr>
            <w:r w:rsidRPr="004F71F2">
              <w:rPr>
                <w:color w:val="000000"/>
                <w:sz w:val="20"/>
                <w:szCs w:val="20"/>
              </w:rPr>
              <w:t>FINAL EXAM</w:t>
            </w:r>
          </w:p>
        </w:tc>
      </w:tr>
    </w:tbl>
    <w:p w14:paraId="009E988F" w14:textId="77777777" w:rsidR="00806B8B" w:rsidRPr="00806B8B" w:rsidRDefault="00806B8B" w:rsidP="00233CC3">
      <w:pPr>
        <w:jc w:val="both"/>
      </w:pPr>
    </w:p>
    <w:p w14:paraId="18D729C7" w14:textId="4090EF33" w:rsidR="00484A41" w:rsidRDefault="008C154B" w:rsidP="00233CC3">
      <w:pPr>
        <w:spacing w:before="240"/>
        <w:jc w:val="both"/>
        <w:rPr>
          <w:b/>
        </w:rPr>
      </w:pPr>
      <w:r w:rsidRPr="00806B8B">
        <w:rPr>
          <w:b/>
        </w:rPr>
        <w:t>Readings</w:t>
      </w:r>
      <w:r w:rsidR="00806B8B" w:rsidRPr="00806B8B">
        <w:rPr>
          <w:b/>
        </w:rPr>
        <w:t xml:space="preserve"> for each topic</w:t>
      </w:r>
      <w:r w:rsidR="00E922EF">
        <w:rPr>
          <w:b/>
        </w:rPr>
        <w:t xml:space="preserve">. </w:t>
      </w:r>
      <w:r w:rsidR="00484A41">
        <w:rPr>
          <w:bCs/>
        </w:rPr>
        <w:t>Below, I</w:t>
      </w:r>
      <w:r w:rsidR="00484A41" w:rsidRPr="00484A41">
        <w:rPr>
          <w:bCs/>
        </w:rPr>
        <w:t xml:space="preserve"> list</w:t>
      </w:r>
      <w:r w:rsidR="00484A41">
        <w:rPr>
          <w:bCs/>
        </w:rPr>
        <w:t xml:space="preserve"> </w:t>
      </w:r>
      <w:r w:rsidR="00484A41" w:rsidRPr="00484A41">
        <w:rPr>
          <w:bCs/>
        </w:rPr>
        <w:t xml:space="preserve">references for the material presented in class. References prefixed with an asterisk (*) are strongly recommended readings. </w:t>
      </w:r>
      <w:r w:rsidR="00484A41">
        <w:rPr>
          <w:bCs/>
        </w:rPr>
        <w:t>References prefixed with a plus sign (+) are readings that will be covered during recitations.</w:t>
      </w:r>
    </w:p>
    <w:p w14:paraId="0087C8ED" w14:textId="77777777" w:rsidR="00E922EF" w:rsidRPr="00806B8B" w:rsidRDefault="00E922EF" w:rsidP="00233CC3">
      <w:pPr>
        <w:spacing w:before="240"/>
        <w:jc w:val="both"/>
        <w:rPr>
          <w:b/>
        </w:rPr>
      </w:pPr>
    </w:p>
    <w:p w14:paraId="031D9F89" w14:textId="20BCCF37" w:rsidR="00863918" w:rsidRPr="00806B8B" w:rsidRDefault="00863918" w:rsidP="00233CC3">
      <w:pPr>
        <w:jc w:val="both"/>
        <w:rPr>
          <w:b/>
          <w:bCs/>
        </w:rPr>
      </w:pPr>
      <w:r w:rsidRPr="00806B8B">
        <w:rPr>
          <w:b/>
          <w:bCs/>
        </w:rPr>
        <w:t xml:space="preserve">Course introduction &amp; Causal inference for macroeconomics and finance </w:t>
      </w:r>
    </w:p>
    <w:p w14:paraId="0640D214" w14:textId="351A82B0" w:rsidR="00863918" w:rsidRPr="00806B8B" w:rsidRDefault="00863918" w:rsidP="00233CC3">
      <w:pPr>
        <w:jc w:val="both"/>
      </w:pPr>
      <w:r w:rsidRPr="00806B8B">
        <w:t xml:space="preserve">Angrist, J. D. and Pischke. </w:t>
      </w:r>
      <w:r w:rsidR="001A354F" w:rsidRPr="00484A41">
        <w:t>Mastering ’Metrics:</w:t>
      </w:r>
      <w:r w:rsidR="001A354F">
        <w:t xml:space="preserve"> </w:t>
      </w:r>
      <w:r w:rsidR="001A354F" w:rsidRPr="00484A41">
        <w:t>The Path from Cause to Effect</w:t>
      </w:r>
      <w:r w:rsidR="001A354F">
        <w:t>. Chapters 1 and 2.</w:t>
      </w:r>
    </w:p>
    <w:p w14:paraId="17F3817F" w14:textId="237E824C" w:rsidR="005E7275" w:rsidRPr="00806B8B" w:rsidRDefault="005E7275" w:rsidP="00233CC3">
      <w:pPr>
        <w:jc w:val="both"/>
      </w:pPr>
      <w:r w:rsidRPr="00806B8B">
        <w:t xml:space="preserve">(+) Angrist, J.D., Graddy, K. and </w:t>
      </w:r>
      <w:proofErr w:type="spellStart"/>
      <w:r w:rsidRPr="00806B8B">
        <w:t>Imbens</w:t>
      </w:r>
      <w:proofErr w:type="spellEnd"/>
      <w:r w:rsidRPr="00806B8B">
        <w:t>, G.W., 2000. The interpretation of instrumental variables estimators in simultaneous equations models with an application to the demand for fish. </w:t>
      </w:r>
      <w:r w:rsidRPr="00806B8B">
        <w:rPr>
          <w:i/>
          <w:iCs/>
        </w:rPr>
        <w:t>The Review of Economic Studies</w:t>
      </w:r>
      <w:r w:rsidRPr="00806B8B">
        <w:t>, </w:t>
      </w:r>
      <w:r w:rsidRPr="00806B8B">
        <w:rPr>
          <w:i/>
          <w:iCs/>
        </w:rPr>
        <w:t>67</w:t>
      </w:r>
      <w:r w:rsidRPr="00806B8B">
        <w:t>(3), pp.499-527.</w:t>
      </w:r>
    </w:p>
    <w:p w14:paraId="37C0F0DB" w14:textId="77777777" w:rsidR="00863918" w:rsidRPr="00806B8B" w:rsidRDefault="00863918" w:rsidP="00233CC3">
      <w:pPr>
        <w:jc w:val="both"/>
      </w:pPr>
    </w:p>
    <w:p w14:paraId="47604E73" w14:textId="5460937B" w:rsidR="00863918" w:rsidRPr="00806B8B" w:rsidRDefault="00863918" w:rsidP="00233CC3">
      <w:pPr>
        <w:jc w:val="both"/>
        <w:rPr>
          <w:b/>
          <w:bCs/>
        </w:rPr>
      </w:pPr>
      <w:r w:rsidRPr="00806B8B">
        <w:rPr>
          <w:b/>
          <w:bCs/>
        </w:rPr>
        <w:t>Consumption</w:t>
      </w:r>
    </w:p>
    <w:p w14:paraId="7BBD7CB3" w14:textId="769B3F46" w:rsidR="002317BC" w:rsidRPr="00806B8B" w:rsidRDefault="002317BC" w:rsidP="00233CC3">
      <w:pPr>
        <w:jc w:val="both"/>
      </w:pPr>
      <w:proofErr w:type="spellStart"/>
      <w:r w:rsidRPr="00806B8B">
        <w:t>Kurlat</w:t>
      </w:r>
      <w:proofErr w:type="spellEnd"/>
      <w:r w:rsidR="0005263D" w:rsidRPr="00806B8B">
        <w:t xml:space="preserve">, Pablo. 2020. A Course in Modern Macroeconomics. Chapter 6. </w:t>
      </w:r>
    </w:p>
    <w:p w14:paraId="34E7677B" w14:textId="3036ACD0" w:rsidR="001A354F" w:rsidRDefault="001A354F" w:rsidP="00233CC3">
      <w:pPr>
        <w:jc w:val="both"/>
      </w:pPr>
      <w:r w:rsidRPr="00806B8B">
        <w:t xml:space="preserve">Angrist, J. D. and Pischke. </w:t>
      </w:r>
      <w:r w:rsidRPr="00484A41">
        <w:t>Mastering ’Metrics:</w:t>
      </w:r>
      <w:r>
        <w:t xml:space="preserve"> </w:t>
      </w:r>
      <w:r w:rsidRPr="00484A41">
        <w:t>The Path from Cause to Effect</w:t>
      </w:r>
      <w:r>
        <w:t>. Chapter</w:t>
      </w:r>
      <w:r>
        <w:t xml:space="preserve"> 3</w:t>
      </w:r>
      <w:r>
        <w:t>.</w:t>
      </w:r>
    </w:p>
    <w:p w14:paraId="343C5AAA" w14:textId="3DE27D22" w:rsidR="00863918" w:rsidRPr="00806B8B" w:rsidRDefault="00863918" w:rsidP="00233CC3">
      <w:pPr>
        <w:jc w:val="both"/>
      </w:pPr>
      <w:r w:rsidRPr="00806B8B">
        <w:t xml:space="preserve">Johnson, D. S., Parker, J. A., &amp; </w:t>
      </w:r>
      <w:proofErr w:type="spellStart"/>
      <w:r w:rsidRPr="00806B8B">
        <w:t>Souleles</w:t>
      </w:r>
      <w:proofErr w:type="spellEnd"/>
      <w:r w:rsidRPr="00806B8B">
        <w:t>, N. S. (2006). Household expenditure and the income tax rebates of 2001. American Economic Review, 96(5), 1589-1610.</w:t>
      </w:r>
    </w:p>
    <w:p w14:paraId="085D4A75" w14:textId="44F94EBB" w:rsidR="00863918" w:rsidRPr="00806B8B" w:rsidRDefault="00AF3F16" w:rsidP="00233CC3">
      <w:pPr>
        <w:jc w:val="both"/>
      </w:pPr>
      <w:r w:rsidRPr="00806B8B">
        <w:t>(</w:t>
      </w:r>
      <w:r w:rsidR="002317BC" w:rsidRPr="00806B8B">
        <w:t>*</w:t>
      </w:r>
      <w:r w:rsidRPr="00806B8B">
        <w:t xml:space="preserve">) </w:t>
      </w:r>
      <w:r w:rsidR="00863918" w:rsidRPr="00806B8B">
        <w:t xml:space="preserve">Parker, J. A., </w:t>
      </w:r>
      <w:proofErr w:type="spellStart"/>
      <w:r w:rsidR="00863918" w:rsidRPr="00806B8B">
        <w:t>Souleles</w:t>
      </w:r>
      <w:proofErr w:type="spellEnd"/>
      <w:r w:rsidR="00863918" w:rsidRPr="00806B8B">
        <w:t>, N. S., Johnson, D. S., &amp; McClelland, R. (2013). Consumer spending and the economic stimulus payments of 2008. American economic review, 103(6), 2530-2553.</w:t>
      </w:r>
    </w:p>
    <w:p w14:paraId="0A6EF09F" w14:textId="77777777" w:rsidR="00863918" w:rsidRPr="00806B8B" w:rsidRDefault="00863918" w:rsidP="00233CC3">
      <w:pPr>
        <w:jc w:val="both"/>
      </w:pPr>
      <w:r w:rsidRPr="00806B8B">
        <w:rPr>
          <w:lang w:val="es-ES"/>
        </w:rPr>
        <w:t xml:space="preserve">Kaplan, G., &amp; Violante, </w:t>
      </w:r>
      <w:proofErr w:type="spellStart"/>
      <w:r w:rsidRPr="00806B8B">
        <w:rPr>
          <w:lang w:val="es-ES"/>
        </w:rPr>
        <w:t>Gv</w:t>
      </w:r>
      <w:proofErr w:type="spellEnd"/>
      <w:r w:rsidRPr="00806B8B">
        <w:rPr>
          <w:lang w:val="es-ES"/>
        </w:rPr>
        <w:t xml:space="preserve">. L. (2014). </w:t>
      </w:r>
      <w:r w:rsidRPr="00806B8B">
        <w:t xml:space="preserve">A model of the consumption response to fiscal stimulus payments. </w:t>
      </w:r>
      <w:proofErr w:type="spellStart"/>
      <w:r w:rsidRPr="00806B8B">
        <w:t>Econometrica</w:t>
      </w:r>
      <w:proofErr w:type="spellEnd"/>
      <w:r w:rsidRPr="00806B8B">
        <w:t>, 82(4), 1199-1239.</w:t>
      </w:r>
    </w:p>
    <w:p w14:paraId="121345DB" w14:textId="73DB88CC" w:rsidR="00863918" w:rsidRPr="00806B8B" w:rsidRDefault="00AF3F16" w:rsidP="00233CC3">
      <w:pPr>
        <w:jc w:val="both"/>
      </w:pPr>
      <w:r w:rsidRPr="00806B8B">
        <w:t xml:space="preserve">(*) </w:t>
      </w:r>
      <w:r w:rsidR="00863918" w:rsidRPr="00806B8B">
        <w:t xml:space="preserve">Boehm, J., </w:t>
      </w:r>
      <w:proofErr w:type="spellStart"/>
      <w:r w:rsidR="00863918" w:rsidRPr="00806B8B">
        <w:t>Fize</w:t>
      </w:r>
      <w:proofErr w:type="spellEnd"/>
      <w:r w:rsidR="00863918" w:rsidRPr="00806B8B">
        <w:t xml:space="preserve">, E., &amp; </w:t>
      </w:r>
      <w:proofErr w:type="spellStart"/>
      <w:r w:rsidR="00863918" w:rsidRPr="00806B8B">
        <w:t>Jaravel</w:t>
      </w:r>
      <w:proofErr w:type="spellEnd"/>
      <w:r w:rsidR="00863918" w:rsidRPr="00806B8B">
        <w:t>, X. (2025). Five facts about MPCs: Evidence from a randomized experiment. </w:t>
      </w:r>
      <w:r w:rsidR="00863918" w:rsidRPr="00806B8B">
        <w:rPr>
          <w:i/>
          <w:iCs/>
        </w:rPr>
        <w:t>American Economic Review</w:t>
      </w:r>
      <w:r w:rsidR="00863918" w:rsidRPr="00806B8B">
        <w:t>, </w:t>
      </w:r>
      <w:r w:rsidR="00863918" w:rsidRPr="00806B8B">
        <w:rPr>
          <w:i/>
          <w:iCs/>
        </w:rPr>
        <w:t>115</w:t>
      </w:r>
      <w:r w:rsidR="00863918" w:rsidRPr="00806B8B">
        <w:t>(1), 1-42.</w:t>
      </w:r>
    </w:p>
    <w:p w14:paraId="627E9AB6" w14:textId="77777777" w:rsidR="00F20DCD" w:rsidRPr="00806B8B" w:rsidRDefault="00AF3F16" w:rsidP="00233CC3">
      <w:pPr>
        <w:jc w:val="both"/>
      </w:pPr>
      <w:r w:rsidRPr="00806B8B">
        <w:t xml:space="preserve">(+) </w:t>
      </w:r>
      <w:r w:rsidR="00F20DCD" w:rsidRPr="00806B8B">
        <w:t>Fagereng, Andreas, Martin B. Holm, and Gisle J. Natvik. 2021. "MPC Heterogeneity and Household Balance Sheets." </w:t>
      </w:r>
      <w:r w:rsidR="00F20DCD" w:rsidRPr="00806B8B">
        <w:rPr>
          <w:i/>
          <w:iCs/>
        </w:rPr>
        <w:t>American Economic Journal: Macroeconomics</w:t>
      </w:r>
      <w:r w:rsidR="00F20DCD" w:rsidRPr="00806B8B">
        <w:t> 13 (4): 1–54</w:t>
      </w:r>
      <w:r w:rsidR="00F20DCD" w:rsidRPr="00806B8B">
        <w:rPr>
          <w:b/>
          <w:bCs/>
        </w:rPr>
        <w:t>.</w:t>
      </w:r>
    </w:p>
    <w:p w14:paraId="5020C207" w14:textId="77777777" w:rsidR="00D90375" w:rsidRPr="00806B8B" w:rsidRDefault="00D90375" w:rsidP="00233CC3">
      <w:pPr>
        <w:jc w:val="both"/>
        <w:rPr>
          <w:b/>
          <w:bCs/>
        </w:rPr>
      </w:pPr>
    </w:p>
    <w:p w14:paraId="0B45159F" w14:textId="1806C5B4" w:rsidR="00863918" w:rsidRPr="00806B8B" w:rsidRDefault="00863918" w:rsidP="00233CC3">
      <w:pPr>
        <w:jc w:val="both"/>
        <w:rPr>
          <w:b/>
          <w:bCs/>
        </w:rPr>
      </w:pPr>
      <w:r w:rsidRPr="00806B8B">
        <w:rPr>
          <w:b/>
          <w:bCs/>
        </w:rPr>
        <w:t xml:space="preserve">Labor supply </w:t>
      </w:r>
    </w:p>
    <w:p w14:paraId="43FD27A3" w14:textId="7B8F0284" w:rsidR="00A57C51" w:rsidRPr="00806B8B" w:rsidRDefault="00A57C51" w:rsidP="00233CC3">
      <w:pPr>
        <w:jc w:val="both"/>
        <w:rPr>
          <w:b/>
          <w:bCs/>
        </w:rPr>
      </w:pPr>
      <w:proofErr w:type="spellStart"/>
      <w:r w:rsidRPr="00806B8B">
        <w:t>Kurlat</w:t>
      </w:r>
      <w:proofErr w:type="spellEnd"/>
      <w:r w:rsidRPr="00806B8B">
        <w:t>, Pablo. 2020. A Course in Modern Macroeconomics. Chapter 7.</w:t>
      </w:r>
    </w:p>
    <w:p w14:paraId="1642D95D" w14:textId="741439F0" w:rsidR="001A354F" w:rsidRDefault="001A354F" w:rsidP="001A354F">
      <w:pPr>
        <w:jc w:val="both"/>
      </w:pPr>
      <w:r w:rsidRPr="00806B8B">
        <w:t xml:space="preserve">Angrist, J. D. and Pischke. </w:t>
      </w:r>
      <w:r w:rsidRPr="00484A41">
        <w:t>Mastering ’Metrics:</w:t>
      </w:r>
      <w:r>
        <w:t xml:space="preserve"> </w:t>
      </w:r>
      <w:r w:rsidRPr="00484A41">
        <w:t>The Path from Cause to Effect</w:t>
      </w:r>
      <w:r>
        <w:t xml:space="preserve">. Chapter </w:t>
      </w:r>
      <w:r>
        <w:t>5</w:t>
      </w:r>
      <w:r>
        <w:t>.</w:t>
      </w:r>
    </w:p>
    <w:p w14:paraId="2708AD16" w14:textId="77777777" w:rsidR="001A354F" w:rsidRDefault="001A354F" w:rsidP="00233CC3">
      <w:pPr>
        <w:jc w:val="both"/>
      </w:pPr>
    </w:p>
    <w:p w14:paraId="49C9853A" w14:textId="1D998ED1" w:rsidR="00A57C51" w:rsidRPr="00806B8B" w:rsidRDefault="00A57C51" w:rsidP="00233CC3">
      <w:pPr>
        <w:jc w:val="both"/>
      </w:pPr>
      <w:r w:rsidRPr="00806B8B">
        <w:t xml:space="preserve">(*) Sigurdsson, J. 2024. Labor Supply Responses and Adjustment Frictions: A Tax-Free Year in Iceland. Working paper. </w:t>
      </w:r>
    </w:p>
    <w:p w14:paraId="67ECE049" w14:textId="7E4C2237" w:rsidR="00863918" w:rsidRPr="00806B8B" w:rsidRDefault="00A57C51" w:rsidP="00233CC3">
      <w:pPr>
        <w:jc w:val="both"/>
      </w:pPr>
      <w:r w:rsidRPr="00806B8B">
        <w:t xml:space="preserve">(*) </w:t>
      </w:r>
      <w:proofErr w:type="spellStart"/>
      <w:r w:rsidR="00863918" w:rsidRPr="00806B8B">
        <w:rPr>
          <w:lang w:val="es-ES"/>
        </w:rPr>
        <w:t>Martinez</w:t>
      </w:r>
      <w:proofErr w:type="spellEnd"/>
      <w:r w:rsidR="00863918" w:rsidRPr="00806B8B">
        <w:rPr>
          <w:lang w:val="es-ES"/>
        </w:rPr>
        <w:t xml:space="preserve">, I. Z., </w:t>
      </w:r>
      <w:proofErr w:type="spellStart"/>
      <w:r w:rsidR="00863918" w:rsidRPr="00806B8B">
        <w:rPr>
          <w:lang w:val="es-ES"/>
        </w:rPr>
        <w:t>Saez</w:t>
      </w:r>
      <w:proofErr w:type="spellEnd"/>
      <w:r w:rsidR="00863918" w:rsidRPr="00806B8B">
        <w:rPr>
          <w:lang w:val="es-ES"/>
        </w:rPr>
        <w:t xml:space="preserve">, E., &amp; </w:t>
      </w:r>
      <w:proofErr w:type="spellStart"/>
      <w:r w:rsidR="00863918" w:rsidRPr="00806B8B">
        <w:rPr>
          <w:lang w:val="es-ES"/>
        </w:rPr>
        <w:t>Siegenthaler</w:t>
      </w:r>
      <w:proofErr w:type="spellEnd"/>
      <w:r w:rsidR="00863918" w:rsidRPr="00806B8B">
        <w:rPr>
          <w:lang w:val="es-ES"/>
        </w:rPr>
        <w:t xml:space="preserve">, M. (2021). </w:t>
      </w:r>
      <w:r w:rsidR="00863918" w:rsidRPr="00806B8B">
        <w:t>Intertemporal labor supply substitution? Evidence from the Swiss income tax holidays. American Economic Review, 111(2), 506-46.</w:t>
      </w:r>
    </w:p>
    <w:p w14:paraId="056551ED" w14:textId="15DAFFCB" w:rsidR="00863918" w:rsidRPr="00806B8B" w:rsidRDefault="00A57C51" w:rsidP="00233CC3">
      <w:pPr>
        <w:jc w:val="both"/>
      </w:pPr>
      <w:r w:rsidRPr="00806B8B">
        <w:t xml:space="preserve">(*) </w:t>
      </w:r>
      <w:r w:rsidR="00863918" w:rsidRPr="00806B8B">
        <w:t xml:space="preserve">Cesarini, D., Lindqvist, E., </w:t>
      </w:r>
      <w:proofErr w:type="spellStart"/>
      <w:r w:rsidR="00863918" w:rsidRPr="00806B8B">
        <w:t>Notowidigdo</w:t>
      </w:r>
      <w:proofErr w:type="spellEnd"/>
      <w:r w:rsidR="00863918" w:rsidRPr="00806B8B">
        <w:t xml:space="preserve">, M. J., &amp; </w:t>
      </w:r>
      <w:proofErr w:type="spellStart"/>
      <w:r w:rsidR="00863918" w:rsidRPr="00806B8B">
        <w:t>Östling</w:t>
      </w:r>
      <w:proofErr w:type="spellEnd"/>
      <w:r w:rsidR="00863918" w:rsidRPr="00806B8B">
        <w:t>, R. (2017). The effect of wealth on individual and household labor supply: Evidence from Swedish lotteries. American Economic Review, 107(12), 3917-46.</w:t>
      </w:r>
    </w:p>
    <w:p w14:paraId="1B0498D0" w14:textId="3ECEFD99" w:rsidR="00863918" w:rsidRPr="00806B8B" w:rsidRDefault="00A57C51" w:rsidP="00233CC3">
      <w:pPr>
        <w:jc w:val="both"/>
      </w:pPr>
      <w:r w:rsidRPr="00806B8B">
        <w:t>(+) Aguiar, M., Bils, M., Charles, K.K. and Hurst, E., 2021. Leisure luxuries and the labor supply of young men. </w:t>
      </w:r>
      <w:r w:rsidRPr="00806B8B">
        <w:rPr>
          <w:i/>
          <w:iCs/>
        </w:rPr>
        <w:t>Journal of Political Economy</w:t>
      </w:r>
      <w:r w:rsidRPr="00806B8B">
        <w:t>, </w:t>
      </w:r>
      <w:r w:rsidRPr="00806B8B">
        <w:rPr>
          <w:i/>
          <w:iCs/>
        </w:rPr>
        <w:t>129</w:t>
      </w:r>
      <w:r w:rsidRPr="00806B8B">
        <w:t>(2), pp.337-382.</w:t>
      </w:r>
    </w:p>
    <w:p w14:paraId="15EB79FA" w14:textId="5C218A51" w:rsidR="00806B8B" w:rsidRPr="00806B8B" w:rsidRDefault="00806B8B" w:rsidP="00233CC3">
      <w:pPr>
        <w:jc w:val="both"/>
        <w:rPr>
          <w:b/>
          <w:bCs/>
        </w:rPr>
      </w:pPr>
    </w:p>
    <w:p w14:paraId="77DDA5A0" w14:textId="56DB5312" w:rsidR="00A57C51" w:rsidRPr="00806B8B" w:rsidRDefault="00863918" w:rsidP="00233CC3">
      <w:pPr>
        <w:jc w:val="both"/>
        <w:rPr>
          <w:b/>
          <w:bCs/>
        </w:rPr>
      </w:pPr>
      <w:r w:rsidRPr="00806B8B">
        <w:rPr>
          <w:b/>
          <w:bCs/>
        </w:rPr>
        <w:t xml:space="preserve">Investment </w:t>
      </w:r>
    </w:p>
    <w:p w14:paraId="0D27D2C1" w14:textId="628A1B9F" w:rsidR="00A57C51" w:rsidRPr="00806B8B" w:rsidRDefault="00A57C51" w:rsidP="00233CC3">
      <w:pPr>
        <w:jc w:val="both"/>
        <w:rPr>
          <w:b/>
          <w:bCs/>
        </w:rPr>
      </w:pPr>
      <w:proofErr w:type="spellStart"/>
      <w:r w:rsidRPr="00806B8B">
        <w:t>Kurlat</w:t>
      </w:r>
      <w:proofErr w:type="spellEnd"/>
      <w:r w:rsidRPr="00806B8B">
        <w:t>, Pablo. 2020. A Course in Modern Macroeconomics. Chapter 8.</w:t>
      </w:r>
    </w:p>
    <w:p w14:paraId="11B74849" w14:textId="19694DE2" w:rsidR="00863918" w:rsidRPr="00806B8B" w:rsidRDefault="00A57C51" w:rsidP="00233CC3">
      <w:pPr>
        <w:jc w:val="both"/>
      </w:pPr>
      <w:r w:rsidRPr="00806B8B">
        <w:t xml:space="preserve">(*) </w:t>
      </w:r>
      <w:r w:rsidR="00863918" w:rsidRPr="00806B8B">
        <w:t>Zwick, E., &amp; Mahon, J. (2017). Tax policy and heterogeneous investment behavior. American Economic Review, 107(1), 217-248.</w:t>
      </w:r>
    </w:p>
    <w:p w14:paraId="66D59FD3" w14:textId="47F688EB" w:rsidR="00A57C51" w:rsidRPr="00806B8B" w:rsidRDefault="005313C1" w:rsidP="00233CC3">
      <w:pPr>
        <w:jc w:val="both"/>
      </w:pPr>
      <w:r w:rsidRPr="00806B8B">
        <w:t xml:space="preserve">(*) Kennedy, Patrick J., Christine Dobridge, Paul Landefeld, and Jake Mortenson. 2022. </w:t>
      </w:r>
      <w:proofErr w:type="gramStart"/>
      <w:r w:rsidRPr="00806B8B">
        <w:t>“ The</w:t>
      </w:r>
      <w:proofErr w:type="gramEnd"/>
      <w:r w:rsidRPr="00806B8B">
        <w:t xml:space="preserve"> Efficiency-Equity Tradeoff of the Corporate Income Tax: Evidence from the Tax Cuts and Jobs Act.” Working Paper.</w:t>
      </w:r>
    </w:p>
    <w:p w14:paraId="36CFBDFE" w14:textId="77777777" w:rsidR="005313C1" w:rsidRPr="00806B8B" w:rsidRDefault="005313C1" w:rsidP="00233CC3">
      <w:pPr>
        <w:jc w:val="both"/>
      </w:pPr>
    </w:p>
    <w:p w14:paraId="2CD498AD" w14:textId="3434220B" w:rsidR="00A57C51" w:rsidRPr="00806B8B" w:rsidRDefault="00806B8B" w:rsidP="00233CC3">
      <w:pPr>
        <w:jc w:val="both"/>
        <w:rPr>
          <w:b/>
          <w:bCs/>
        </w:rPr>
      </w:pPr>
      <w:r w:rsidRPr="00806B8B">
        <w:rPr>
          <w:b/>
          <w:bCs/>
        </w:rPr>
        <w:t>Production function 1: Substituting away from Russian gas</w:t>
      </w:r>
    </w:p>
    <w:p w14:paraId="122C15F6" w14:textId="163BE565" w:rsidR="00A57C51" w:rsidRPr="00806B8B" w:rsidRDefault="00FE2523" w:rsidP="00233CC3">
      <w:pPr>
        <w:jc w:val="both"/>
      </w:pPr>
      <w:r w:rsidRPr="00806B8B">
        <w:t xml:space="preserve">(*) Bachmann, R., </w:t>
      </w:r>
      <w:proofErr w:type="spellStart"/>
      <w:r w:rsidRPr="00806B8B">
        <w:t>Baqaee</w:t>
      </w:r>
      <w:proofErr w:type="spellEnd"/>
      <w:r w:rsidRPr="00806B8B">
        <w:t xml:space="preserve">, D., Bayer, C., Kuhn, M., </w:t>
      </w:r>
      <w:proofErr w:type="spellStart"/>
      <w:r w:rsidRPr="00806B8B">
        <w:t>Löschel</w:t>
      </w:r>
      <w:proofErr w:type="spellEnd"/>
      <w:r w:rsidRPr="00806B8B">
        <w:t xml:space="preserve">, A., Moll, B., </w:t>
      </w:r>
      <w:proofErr w:type="spellStart"/>
      <w:r w:rsidRPr="00806B8B">
        <w:t>Peichl</w:t>
      </w:r>
      <w:proofErr w:type="spellEnd"/>
      <w:r w:rsidRPr="00806B8B">
        <w:t xml:space="preserve">, A., Pittel, K. and </w:t>
      </w:r>
      <w:proofErr w:type="spellStart"/>
      <w:r w:rsidRPr="00806B8B">
        <w:t>Schularick</w:t>
      </w:r>
      <w:proofErr w:type="spellEnd"/>
      <w:r w:rsidRPr="00806B8B">
        <w:t>, M., 2022. What if? The macroeconomic and distributional effects for Germany of a stop of energy imports from Russia. </w:t>
      </w:r>
      <w:proofErr w:type="spellStart"/>
      <w:r w:rsidRPr="00806B8B">
        <w:rPr>
          <w:i/>
          <w:iCs/>
        </w:rPr>
        <w:t>ECONtribute</w:t>
      </w:r>
      <w:proofErr w:type="spellEnd"/>
      <w:r w:rsidRPr="00806B8B">
        <w:rPr>
          <w:i/>
          <w:iCs/>
        </w:rPr>
        <w:t xml:space="preserve"> Policy Brief No. 028</w:t>
      </w:r>
      <w:r w:rsidRPr="00806B8B">
        <w:t>.</w:t>
      </w:r>
    </w:p>
    <w:p w14:paraId="723BCC7F" w14:textId="1DFA49A6" w:rsidR="00FE2523" w:rsidRPr="00806B8B" w:rsidRDefault="00FE2523" w:rsidP="00233CC3">
      <w:pPr>
        <w:jc w:val="both"/>
      </w:pPr>
      <w:r w:rsidRPr="00806B8B">
        <w:t xml:space="preserve">(*) Moll, B., </w:t>
      </w:r>
      <w:proofErr w:type="spellStart"/>
      <w:r w:rsidRPr="00806B8B">
        <w:t>Schularick</w:t>
      </w:r>
      <w:proofErr w:type="spellEnd"/>
      <w:r w:rsidRPr="00806B8B">
        <w:t>, M. and Zachmann, G., 2023. The power of substitution: The great German gas debate in retrospect. </w:t>
      </w:r>
      <w:r w:rsidRPr="00806B8B">
        <w:rPr>
          <w:i/>
          <w:iCs/>
        </w:rPr>
        <w:t>Brookings Papers on Economic Activity</w:t>
      </w:r>
      <w:r w:rsidRPr="00806B8B">
        <w:t>, </w:t>
      </w:r>
      <w:r w:rsidRPr="00806B8B">
        <w:rPr>
          <w:i/>
          <w:iCs/>
        </w:rPr>
        <w:t>2023</w:t>
      </w:r>
      <w:r w:rsidRPr="00806B8B">
        <w:t>(2), pp.395-481.</w:t>
      </w:r>
    </w:p>
    <w:p w14:paraId="71466C63" w14:textId="77777777" w:rsidR="00FE2523" w:rsidRPr="00806B8B" w:rsidRDefault="00FE2523" w:rsidP="00233CC3">
      <w:pPr>
        <w:jc w:val="both"/>
      </w:pPr>
    </w:p>
    <w:p w14:paraId="51308E36" w14:textId="10DB7AA7" w:rsidR="00A57C51" w:rsidRPr="00806B8B" w:rsidRDefault="00A57C51" w:rsidP="00233CC3">
      <w:pPr>
        <w:jc w:val="both"/>
        <w:rPr>
          <w:b/>
          <w:bCs/>
        </w:rPr>
      </w:pPr>
      <w:r w:rsidRPr="00806B8B">
        <w:rPr>
          <w:b/>
          <w:bCs/>
        </w:rPr>
        <w:t>Production function</w:t>
      </w:r>
      <w:r w:rsidR="00806B8B" w:rsidRPr="00806B8B">
        <w:rPr>
          <w:b/>
          <w:bCs/>
        </w:rPr>
        <w:t xml:space="preserve"> 2: AI and jobs</w:t>
      </w:r>
    </w:p>
    <w:p w14:paraId="47F73A2D" w14:textId="647E0C19" w:rsidR="00863918" w:rsidRPr="00806B8B" w:rsidRDefault="00E17F27" w:rsidP="00233CC3">
      <w:pPr>
        <w:jc w:val="both"/>
      </w:pPr>
      <w:r w:rsidRPr="00806B8B">
        <w:t>(*) Acemoglu, D. and Restrepo, P., 2018. Artificial intelligence, automation, and work. In </w:t>
      </w:r>
      <w:r w:rsidRPr="00806B8B">
        <w:rPr>
          <w:i/>
          <w:iCs/>
        </w:rPr>
        <w:t>The economics of artificial intelligence: An agenda</w:t>
      </w:r>
      <w:r w:rsidRPr="00806B8B">
        <w:t> (pp. 197-236). University of Chicago Press.</w:t>
      </w:r>
    </w:p>
    <w:p w14:paraId="20C9FEEC" w14:textId="77777777" w:rsidR="00E17F27" w:rsidRPr="00806B8B" w:rsidRDefault="00E17F27" w:rsidP="00233CC3">
      <w:pPr>
        <w:jc w:val="both"/>
      </w:pPr>
      <w:r w:rsidRPr="00806B8B">
        <w:t xml:space="preserve">(*) </w:t>
      </w:r>
      <w:proofErr w:type="spellStart"/>
      <w:r w:rsidRPr="00806B8B">
        <w:t>Hampole</w:t>
      </w:r>
      <w:proofErr w:type="spellEnd"/>
      <w:r w:rsidRPr="00806B8B">
        <w:t>, M., Papanikolaou, D., Schmidt, L.D. and Seegmiller, B., 2025. Artificial intelligence and the labor market (No. w33509). National Bureau of Economic Research.</w:t>
      </w:r>
    </w:p>
    <w:p w14:paraId="412E9503" w14:textId="4E146B74" w:rsidR="00E17F27" w:rsidRPr="00806B8B" w:rsidRDefault="00E17F27" w:rsidP="00233CC3">
      <w:pPr>
        <w:jc w:val="both"/>
      </w:pPr>
      <w:r w:rsidRPr="00806B8B">
        <w:t xml:space="preserve">(+) </w:t>
      </w:r>
      <w:r w:rsidR="00BB1AF0" w:rsidRPr="00806B8B">
        <w:t>Acemoglu, D., Autor, D., Hazell, J. and Restrepo, P., 2022. Artificial intelligence and jobs: Evidence from online vacancies. </w:t>
      </w:r>
      <w:r w:rsidR="00BB1AF0" w:rsidRPr="00806B8B">
        <w:rPr>
          <w:i/>
          <w:iCs/>
        </w:rPr>
        <w:t>Journal of Labor Economics</w:t>
      </w:r>
      <w:r w:rsidR="00BB1AF0" w:rsidRPr="00806B8B">
        <w:t>, </w:t>
      </w:r>
      <w:r w:rsidR="00BB1AF0" w:rsidRPr="00806B8B">
        <w:rPr>
          <w:i/>
          <w:iCs/>
        </w:rPr>
        <w:t>40</w:t>
      </w:r>
      <w:r w:rsidR="00BB1AF0" w:rsidRPr="00806B8B">
        <w:t xml:space="preserve">(S1), </w:t>
      </w:r>
      <w:proofErr w:type="gramStart"/>
      <w:r w:rsidR="00BB1AF0" w:rsidRPr="00806B8B">
        <w:t>pp.S</w:t>
      </w:r>
      <w:proofErr w:type="gramEnd"/>
      <w:r w:rsidR="00BB1AF0" w:rsidRPr="00806B8B">
        <w:t>293-S340.</w:t>
      </w:r>
    </w:p>
    <w:p w14:paraId="03474D77" w14:textId="77777777" w:rsidR="00E17F27" w:rsidRPr="00806B8B" w:rsidRDefault="00E17F27" w:rsidP="00233CC3">
      <w:pPr>
        <w:jc w:val="both"/>
      </w:pPr>
    </w:p>
    <w:p w14:paraId="3F5CD77F" w14:textId="4EFD2193" w:rsidR="00863918" w:rsidRPr="00806B8B" w:rsidRDefault="00863918" w:rsidP="00233CC3">
      <w:pPr>
        <w:jc w:val="both"/>
        <w:rPr>
          <w:b/>
          <w:bCs/>
        </w:rPr>
      </w:pPr>
      <w:r w:rsidRPr="00806B8B">
        <w:rPr>
          <w:b/>
          <w:bCs/>
        </w:rPr>
        <w:t>Monetary non-neutrality</w:t>
      </w:r>
    </w:p>
    <w:p w14:paraId="67C40374" w14:textId="00E511EB" w:rsidR="00863918" w:rsidRPr="00806B8B" w:rsidRDefault="00727FDD" w:rsidP="00233CC3">
      <w:pPr>
        <w:jc w:val="both"/>
      </w:pPr>
      <w:r w:rsidRPr="00806B8B">
        <w:rPr>
          <w:rStyle w:val="Strong"/>
          <w:b w:val="0"/>
          <w:bCs w:val="0"/>
        </w:rPr>
        <w:t xml:space="preserve">(*) </w:t>
      </w:r>
      <w:r w:rsidR="00863918" w:rsidRPr="00806B8B">
        <w:rPr>
          <w:rStyle w:val="Strong"/>
          <w:b w:val="0"/>
          <w:bCs w:val="0"/>
        </w:rPr>
        <w:t>Romer, C. D., &amp; Romer, D. H. (2004).</w:t>
      </w:r>
      <w:r w:rsidR="00863918" w:rsidRPr="00806B8B">
        <w:t xml:space="preserve"> </w:t>
      </w:r>
      <w:r w:rsidR="00863918" w:rsidRPr="00806B8B">
        <w:rPr>
          <w:rStyle w:val="Emphasis"/>
          <w:i w:val="0"/>
          <w:iCs w:val="0"/>
        </w:rPr>
        <w:t>A new measure of monetary shocks: Derivation and implications</w:t>
      </w:r>
      <w:r w:rsidR="00863918" w:rsidRPr="00806B8B">
        <w:t>. American Economic Review, 94(4), 1055–1084.</w:t>
      </w:r>
    </w:p>
    <w:p w14:paraId="3D5D5A52" w14:textId="6A010A52" w:rsidR="00863918" w:rsidRPr="00806B8B" w:rsidRDefault="00727FDD" w:rsidP="00233CC3">
      <w:pPr>
        <w:jc w:val="both"/>
      </w:pPr>
      <w:r w:rsidRPr="00806B8B">
        <w:rPr>
          <w:rStyle w:val="Strong"/>
          <w:b w:val="0"/>
          <w:bCs w:val="0"/>
        </w:rPr>
        <w:t xml:space="preserve">(*) </w:t>
      </w:r>
      <w:r w:rsidR="00863918" w:rsidRPr="00806B8B">
        <w:t>Nakamura, E., &amp; Steinsson, J. (2018). High-frequency identification of monetary non-neutrality: The information effect. The Quarterly Journal of Economics, 133(3), 1283-1330.</w:t>
      </w:r>
    </w:p>
    <w:p w14:paraId="51519036" w14:textId="77777777" w:rsidR="00BD039D" w:rsidRPr="00806B8B" w:rsidRDefault="00BD039D" w:rsidP="00233CC3">
      <w:pPr>
        <w:jc w:val="both"/>
      </w:pPr>
      <w:r w:rsidRPr="00806B8B">
        <w:t>(+) Miranda-Agrippino, S., &amp; Ricco, G. (2021). The transmission of monetary policy shocks. American Economic Journal: Macroeconomics, 13(3), 74-107.</w:t>
      </w:r>
    </w:p>
    <w:p w14:paraId="0F8AC6F4" w14:textId="77777777" w:rsidR="00BD039D" w:rsidRPr="00806B8B" w:rsidRDefault="00BD039D" w:rsidP="00233CC3">
      <w:pPr>
        <w:jc w:val="both"/>
      </w:pPr>
      <w:r w:rsidRPr="00806B8B">
        <w:t xml:space="preserve">(+) </w:t>
      </w:r>
      <w:r w:rsidRPr="00806B8B">
        <w:rPr>
          <w:rStyle w:val="Strong"/>
          <w:b w:val="0"/>
          <w:bCs w:val="0"/>
        </w:rPr>
        <w:t>Gertler, M., &amp; Karadi, P. (2015).</w:t>
      </w:r>
      <w:r w:rsidRPr="00806B8B">
        <w:t xml:space="preserve"> </w:t>
      </w:r>
      <w:r w:rsidRPr="00806B8B">
        <w:rPr>
          <w:rStyle w:val="Emphasis"/>
          <w:i w:val="0"/>
          <w:iCs w:val="0"/>
        </w:rPr>
        <w:t>Monetary policy surprises, credit costs, and economic activity</w:t>
      </w:r>
      <w:r w:rsidRPr="00806B8B">
        <w:rPr>
          <w:rStyle w:val="Emphasis"/>
        </w:rPr>
        <w:t>.</w:t>
      </w:r>
      <w:r w:rsidRPr="00806B8B">
        <w:t xml:space="preserve"> American Economic Journal: Macroeconomics, 7(1), 44–76.</w:t>
      </w:r>
    </w:p>
    <w:p w14:paraId="5EA53E89" w14:textId="77777777" w:rsidR="00863918" w:rsidRPr="00806B8B" w:rsidRDefault="00863918" w:rsidP="00233CC3">
      <w:pPr>
        <w:jc w:val="both"/>
        <w:rPr>
          <w:i/>
          <w:iCs/>
        </w:rPr>
      </w:pPr>
    </w:p>
    <w:p w14:paraId="045CE823" w14:textId="1E322A3E" w:rsidR="00863918" w:rsidRPr="00806B8B" w:rsidRDefault="00863918" w:rsidP="00233CC3">
      <w:pPr>
        <w:jc w:val="both"/>
        <w:rPr>
          <w:b/>
          <w:bCs/>
        </w:rPr>
      </w:pPr>
      <w:r w:rsidRPr="00806B8B">
        <w:rPr>
          <w:b/>
          <w:bCs/>
        </w:rPr>
        <w:t xml:space="preserve">The Phillips curve </w:t>
      </w:r>
    </w:p>
    <w:p w14:paraId="67EFDD43" w14:textId="482A4269" w:rsidR="00FD4323" w:rsidRPr="00806B8B" w:rsidRDefault="00BD039D" w:rsidP="00233CC3">
      <w:pPr>
        <w:jc w:val="both"/>
      </w:pPr>
      <w:r w:rsidRPr="00806B8B">
        <w:lastRenderedPageBreak/>
        <w:t xml:space="preserve">(*) </w:t>
      </w:r>
      <w:proofErr w:type="spellStart"/>
      <w:r w:rsidR="00FD4323" w:rsidRPr="00806B8B">
        <w:t>Mavroeidis</w:t>
      </w:r>
      <w:proofErr w:type="spellEnd"/>
      <w:r w:rsidR="00FD4323" w:rsidRPr="00806B8B">
        <w:t>, S., Plagborg-Møller, M., &amp; Stock, J. H. (2014). Empirical evidence on inflation expectations in the New Keynesian Phillips Curve. </w:t>
      </w:r>
      <w:r w:rsidR="00FD4323" w:rsidRPr="00806B8B">
        <w:rPr>
          <w:i/>
          <w:iCs/>
        </w:rPr>
        <w:t>American Economic Journal: Journal of Economic Literature</w:t>
      </w:r>
      <w:r w:rsidR="00FD4323" w:rsidRPr="00806B8B">
        <w:t>, </w:t>
      </w:r>
      <w:r w:rsidR="00FD4323" w:rsidRPr="00806B8B">
        <w:rPr>
          <w:i/>
          <w:iCs/>
        </w:rPr>
        <w:t>52</w:t>
      </w:r>
      <w:r w:rsidR="00FD4323" w:rsidRPr="00806B8B">
        <w:t>(1), 124-188.</w:t>
      </w:r>
    </w:p>
    <w:p w14:paraId="7B423C6F" w14:textId="5F87C2D7" w:rsidR="00863918" w:rsidRPr="00806B8B" w:rsidRDefault="00BD039D" w:rsidP="00233CC3">
      <w:pPr>
        <w:jc w:val="both"/>
      </w:pPr>
      <w:r w:rsidRPr="00806B8B">
        <w:t xml:space="preserve">(*) </w:t>
      </w:r>
      <w:r w:rsidR="00FD4323" w:rsidRPr="00806B8B">
        <w:t xml:space="preserve">Hazell, J., </w:t>
      </w:r>
      <w:proofErr w:type="spellStart"/>
      <w:r w:rsidR="00FD4323" w:rsidRPr="00806B8B">
        <w:t>Herreno</w:t>
      </w:r>
      <w:proofErr w:type="spellEnd"/>
      <w:r w:rsidR="00FD4323" w:rsidRPr="00806B8B">
        <w:t>, J., Nakamura, E., &amp; Steinsson, J. (2022). The slope of the Phillips Curve: evidence from US states. </w:t>
      </w:r>
      <w:r w:rsidR="00FD4323" w:rsidRPr="00806B8B">
        <w:rPr>
          <w:i/>
          <w:iCs/>
        </w:rPr>
        <w:t>The Quarterly Journal of Economics</w:t>
      </w:r>
      <w:r w:rsidR="00FD4323" w:rsidRPr="00806B8B">
        <w:t>, </w:t>
      </w:r>
      <w:r w:rsidR="00FD4323" w:rsidRPr="00806B8B">
        <w:rPr>
          <w:i/>
          <w:iCs/>
        </w:rPr>
        <w:t>137</w:t>
      </w:r>
      <w:r w:rsidR="00FD4323" w:rsidRPr="00806B8B">
        <w:t>(3), 1299-1344.</w:t>
      </w:r>
    </w:p>
    <w:p w14:paraId="4F6E4E48" w14:textId="3695CE01" w:rsidR="00FD4323" w:rsidRPr="00806B8B" w:rsidRDefault="00BD039D" w:rsidP="00233CC3">
      <w:pPr>
        <w:jc w:val="both"/>
      </w:pPr>
      <w:r w:rsidRPr="00806B8B">
        <w:t>(+)</w:t>
      </w:r>
      <w:r w:rsidR="002B0C5A" w:rsidRPr="00806B8B">
        <w:t xml:space="preserve"> Cerrato, A., </w:t>
      </w:r>
      <w:proofErr w:type="spellStart"/>
      <w:r w:rsidR="002B0C5A" w:rsidRPr="00806B8B">
        <w:t>Gitti</w:t>
      </w:r>
      <w:proofErr w:type="spellEnd"/>
      <w:r w:rsidR="002B0C5A" w:rsidRPr="00806B8B">
        <w:t xml:space="preserve">, G. 2025. The Return of the Phillips Curve: Evidence from US Cities. Working paper. </w:t>
      </w:r>
    </w:p>
    <w:p w14:paraId="20B47ED9" w14:textId="77777777" w:rsidR="00131DB2" w:rsidRPr="00806B8B" w:rsidRDefault="00131DB2" w:rsidP="00233CC3">
      <w:pPr>
        <w:jc w:val="both"/>
      </w:pPr>
    </w:p>
    <w:p w14:paraId="37157798" w14:textId="2C0CCF4F" w:rsidR="00863918" w:rsidRPr="00806B8B" w:rsidRDefault="00863918" w:rsidP="00233CC3">
      <w:pPr>
        <w:jc w:val="both"/>
        <w:rPr>
          <w:b/>
          <w:bCs/>
        </w:rPr>
      </w:pPr>
      <w:r w:rsidRPr="00806B8B">
        <w:rPr>
          <w:b/>
          <w:bCs/>
        </w:rPr>
        <w:t xml:space="preserve">Government spending </w:t>
      </w:r>
    </w:p>
    <w:p w14:paraId="198B11C3" w14:textId="2725B394" w:rsidR="002B0C5A" w:rsidRPr="00806B8B" w:rsidRDefault="002B0C5A" w:rsidP="00233CC3">
      <w:pPr>
        <w:jc w:val="both"/>
      </w:pPr>
      <w:r w:rsidRPr="00806B8B">
        <w:t>(*) Ramey, V.A., 2011. Identifying government spending shocks: It's all in the timing. </w:t>
      </w:r>
      <w:r w:rsidRPr="00806B8B">
        <w:rPr>
          <w:i/>
          <w:iCs/>
        </w:rPr>
        <w:t>The Quarterly Journal of Economics</w:t>
      </w:r>
      <w:r w:rsidRPr="00806B8B">
        <w:t>, </w:t>
      </w:r>
      <w:r w:rsidRPr="00806B8B">
        <w:rPr>
          <w:i/>
          <w:iCs/>
        </w:rPr>
        <w:t>126</w:t>
      </w:r>
      <w:r w:rsidRPr="00806B8B">
        <w:t>(1), pp.1-50.</w:t>
      </w:r>
    </w:p>
    <w:p w14:paraId="4D99D311" w14:textId="6FF43BCE" w:rsidR="00863918" w:rsidRPr="00806B8B" w:rsidRDefault="002B0C5A" w:rsidP="00233CC3">
      <w:pPr>
        <w:jc w:val="both"/>
      </w:pPr>
      <w:r w:rsidRPr="00806B8B">
        <w:t xml:space="preserve">(*) </w:t>
      </w:r>
      <w:r w:rsidR="00863918" w:rsidRPr="00806B8B">
        <w:t>Nakamura, E., &amp; Steinsson, J. (2014). Fiscal stimulus in a monetary union: Evidence from US regions. American Economic Review, 104(3), 753-792.</w:t>
      </w:r>
    </w:p>
    <w:p w14:paraId="54BB8B6C" w14:textId="68F34E74" w:rsidR="00E14956" w:rsidRPr="00806B8B" w:rsidRDefault="00E14956" w:rsidP="00233CC3">
      <w:pPr>
        <w:jc w:val="both"/>
      </w:pPr>
      <w:r w:rsidRPr="00806B8B">
        <w:t>(*) Zidar, O., 2019. Tax cuts for whom? Heterogeneous effects of income tax changes on growth and employment. </w:t>
      </w:r>
      <w:r w:rsidRPr="00806B8B">
        <w:rPr>
          <w:i/>
          <w:iCs/>
        </w:rPr>
        <w:t>Journal of Political Economy</w:t>
      </w:r>
      <w:r w:rsidRPr="00806B8B">
        <w:t>, </w:t>
      </w:r>
      <w:r w:rsidRPr="00806B8B">
        <w:rPr>
          <w:i/>
          <w:iCs/>
        </w:rPr>
        <w:t>127</w:t>
      </w:r>
      <w:r w:rsidRPr="00806B8B">
        <w:t>(3), pp.1437-1472.</w:t>
      </w:r>
    </w:p>
    <w:p w14:paraId="2448C4C6" w14:textId="7957EA1D" w:rsidR="00863918" w:rsidRPr="00806B8B" w:rsidRDefault="00863918" w:rsidP="00233CC3">
      <w:pPr>
        <w:jc w:val="both"/>
      </w:pPr>
      <w:r w:rsidRPr="00806B8B">
        <w:t>Chodorow-Reich, G. (2019). Geographic cross-sectional fiscal spending multipliers: What have we learned? American Economic Journal: Economic Policy, 11(2), 1-34.</w:t>
      </w:r>
    </w:p>
    <w:p w14:paraId="598AEEBC" w14:textId="56E61D13" w:rsidR="006E3A50" w:rsidRPr="00806B8B" w:rsidRDefault="006E3A50" w:rsidP="00233CC3">
      <w:pPr>
        <w:jc w:val="both"/>
      </w:pPr>
      <w:r w:rsidRPr="00806B8B">
        <w:t xml:space="preserve">Ramey, V.A., 2019. Ten years after the financial crisis: What have we learned from the renaissance in fiscal </w:t>
      </w:r>
      <w:proofErr w:type="gramStart"/>
      <w:r w:rsidRPr="00806B8B">
        <w:t>research?.</w:t>
      </w:r>
      <w:proofErr w:type="gramEnd"/>
      <w:r w:rsidRPr="00806B8B">
        <w:t> </w:t>
      </w:r>
      <w:r w:rsidRPr="00806B8B">
        <w:rPr>
          <w:i/>
          <w:iCs/>
        </w:rPr>
        <w:t>Journal of Economic Perspectives</w:t>
      </w:r>
      <w:r w:rsidRPr="00806B8B">
        <w:t>, </w:t>
      </w:r>
      <w:r w:rsidRPr="00806B8B">
        <w:rPr>
          <w:i/>
          <w:iCs/>
        </w:rPr>
        <w:t>33</w:t>
      </w:r>
      <w:r w:rsidRPr="00806B8B">
        <w:t>(2), pp.89-114.</w:t>
      </w:r>
    </w:p>
    <w:p w14:paraId="23AA561F" w14:textId="7B175C4D" w:rsidR="00863918" w:rsidRPr="00806B8B" w:rsidRDefault="006E3A50" w:rsidP="00233CC3">
      <w:pPr>
        <w:jc w:val="both"/>
      </w:pPr>
      <w:r w:rsidRPr="00806B8B">
        <w:t>(+) Serrato, J.C.S. and Wingender, P., 2016. Estimating local fiscal multipliers (No. w22425). National Bureau of Economic Research.</w:t>
      </w:r>
    </w:p>
    <w:p w14:paraId="063F9C96" w14:textId="19A40BEC" w:rsidR="006E3A50" w:rsidRPr="00806B8B" w:rsidRDefault="00E14956" w:rsidP="00233CC3">
      <w:pPr>
        <w:jc w:val="both"/>
      </w:pPr>
      <w:r w:rsidRPr="00806B8B">
        <w:t xml:space="preserve">Christina D. Romer and David H. Romer, “The Macroeconomic Effects of Tax Changes: Estimates Based on a New Measure of Fiscal Shocks,” American Economic Review 100, no. 3 (June 2010): 763–801. </w:t>
      </w:r>
    </w:p>
    <w:p w14:paraId="6D9CBB08" w14:textId="77777777" w:rsidR="00E14956" w:rsidRPr="00806B8B" w:rsidRDefault="00E14956" w:rsidP="00233CC3">
      <w:pPr>
        <w:jc w:val="both"/>
      </w:pPr>
    </w:p>
    <w:p w14:paraId="73D4B083" w14:textId="57FDFA57" w:rsidR="006E3A50" w:rsidRPr="00806B8B" w:rsidRDefault="006E3A50" w:rsidP="00233CC3">
      <w:pPr>
        <w:jc w:val="both"/>
        <w:rPr>
          <w:b/>
          <w:bCs/>
        </w:rPr>
      </w:pPr>
      <w:r w:rsidRPr="00806B8B">
        <w:rPr>
          <w:b/>
          <w:bCs/>
        </w:rPr>
        <w:t xml:space="preserve">Finance, the supply of capital, and long-run growth </w:t>
      </w:r>
    </w:p>
    <w:p w14:paraId="418499F6" w14:textId="328705FB" w:rsidR="006E3A50" w:rsidRPr="00806B8B" w:rsidRDefault="006E3A50" w:rsidP="00233CC3">
      <w:pPr>
        <w:jc w:val="both"/>
      </w:pPr>
      <w:r w:rsidRPr="00806B8B">
        <w:t>(*) King, R., and Levine, R. 1993. “Finance and Growth: Schumpeter Might be Right.” Quarterly Journal of Economics, 108(3), 717-737</w:t>
      </w:r>
    </w:p>
    <w:p w14:paraId="21E4E49E" w14:textId="77777777" w:rsidR="000D0295" w:rsidRPr="00806B8B" w:rsidRDefault="006E3A50" w:rsidP="00233CC3">
      <w:pPr>
        <w:jc w:val="both"/>
      </w:pPr>
      <w:r w:rsidRPr="00806B8B">
        <w:t>(*) Rajan, R., and Zingales, L. 1998 “Financial Dependence and Growth.” American Economic Review 88(3), pp. 559-586.</w:t>
      </w:r>
    </w:p>
    <w:p w14:paraId="00710854" w14:textId="77777777" w:rsidR="000D0295" w:rsidRPr="00806B8B" w:rsidRDefault="000D0295" w:rsidP="00233CC3">
      <w:pPr>
        <w:jc w:val="both"/>
      </w:pPr>
      <w:r w:rsidRPr="00806B8B">
        <w:t xml:space="preserve">Levine, R. 2005. “Finance and Growth: Theory and Evidence.” Handbook of Economic Growth, Volume 1, Part A, 2005, pp. 865-934. Section 3. </w:t>
      </w:r>
    </w:p>
    <w:p w14:paraId="7F307A2F" w14:textId="08DF7AA7" w:rsidR="000D0295" w:rsidRPr="00806B8B" w:rsidRDefault="000D0295" w:rsidP="00233CC3">
      <w:pPr>
        <w:jc w:val="both"/>
      </w:pPr>
      <w:r w:rsidRPr="00806B8B">
        <w:t xml:space="preserve">Papaioannou, E. 2007. “Finance and growth: a macroeconomic assessment of the evidence from a European angle.” ECB Working Paper, No 787. </w:t>
      </w:r>
    </w:p>
    <w:p w14:paraId="3257F813" w14:textId="77777777" w:rsidR="006E3A50" w:rsidRPr="00806B8B" w:rsidRDefault="006E3A50" w:rsidP="00233CC3">
      <w:pPr>
        <w:jc w:val="both"/>
      </w:pPr>
    </w:p>
    <w:p w14:paraId="58B6A32D" w14:textId="1AF5A54B" w:rsidR="00863918" w:rsidRPr="00806B8B" w:rsidRDefault="00863918" w:rsidP="00233CC3">
      <w:pPr>
        <w:jc w:val="both"/>
        <w:rPr>
          <w:b/>
          <w:bCs/>
        </w:rPr>
      </w:pPr>
      <w:r w:rsidRPr="00806B8B">
        <w:rPr>
          <w:b/>
          <w:bCs/>
        </w:rPr>
        <w:t>Corporate finance, financing frictions</w:t>
      </w:r>
    </w:p>
    <w:p w14:paraId="719ECCDC" w14:textId="1A076B71" w:rsidR="00863918" w:rsidRPr="00806B8B" w:rsidRDefault="006E3A50" w:rsidP="00233CC3">
      <w:pPr>
        <w:jc w:val="both"/>
      </w:pPr>
      <w:r w:rsidRPr="00806B8B">
        <w:t xml:space="preserve">(*) </w:t>
      </w:r>
      <w:r w:rsidR="00FD4323" w:rsidRPr="00806B8B">
        <w:t>Rauh, J. 2006. Investment and Financing Constraints: Evidence from the Funding of Corporate Pension Plans. Journal of Finance 61, 33-71.</w:t>
      </w:r>
    </w:p>
    <w:p w14:paraId="1A4CCDD9" w14:textId="1C9D08DE" w:rsidR="00FD4323" w:rsidRPr="00806B8B" w:rsidRDefault="006E3A50" w:rsidP="00233CC3">
      <w:pPr>
        <w:jc w:val="both"/>
      </w:pPr>
      <w:r w:rsidRPr="00806B8B">
        <w:t xml:space="preserve">(*) </w:t>
      </w:r>
      <w:r w:rsidR="00FD4323" w:rsidRPr="00806B8B">
        <w:t xml:space="preserve">Chaney, T, </w:t>
      </w:r>
      <w:proofErr w:type="spellStart"/>
      <w:r w:rsidR="00FD4323" w:rsidRPr="00806B8B">
        <w:t>Sraer</w:t>
      </w:r>
      <w:proofErr w:type="spellEnd"/>
      <w:r w:rsidR="00FD4323" w:rsidRPr="00806B8B">
        <w:t xml:space="preserve">, D., and </w:t>
      </w:r>
      <w:proofErr w:type="spellStart"/>
      <w:r w:rsidR="00FD4323" w:rsidRPr="00806B8B">
        <w:t>Thesmar</w:t>
      </w:r>
      <w:proofErr w:type="spellEnd"/>
      <w:r w:rsidR="00FD4323" w:rsidRPr="00806B8B">
        <w:t>, D. 2012. “The Collateral Channel: How Real Estate Shocks Affect Corporate Investment.” American Economic Review, 102 (6): 2381- 2409.</w:t>
      </w:r>
    </w:p>
    <w:p w14:paraId="5D7C9CC1" w14:textId="77777777" w:rsidR="000D0295" w:rsidRPr="00806B8B" w:rsidRDefault="006E3A50" w:rsidP="00233CC3">
      <w:pPr>
        <w:jc w:val="both"/>
      </w:pPr>
      <w:r w:rsidRPr="00806B8B">
        <w:t xml:space="preserve">(+) </w:t>
      </w:r>
      <w:r w:rsidR="000D0295" w:rsidRPr="00806B8B">
        <w:t xml:space="preserve">Lian, C and, Ma, Y. 2021. “Anatomy of Corporate Borrowing Constraints.” The Quarterly Journal of Economics, 136(1): 229-291 </w:t>
      </w:r>
    </w:p>
    <w:p w14:paraId="6F4F4F19" w14:textId="77777777" w:rsidR="003C5680" w:rsidRPr="00806B8B" w:rsidRDefault="003C5680" w:rsidP="00233CC3">
      <w:pPr>
        <w:jc w:val="both"/>
      </w:pPr>
    </w:p>
    <w:p w14:paraId="74261A1E" w14:textId="1C1207AB" w:rsidR="00863918" w:rsidRPr="00806B8B" w:rsidRDefault="00863918" w:rsidP="00233CC3">
      <w:pPr>
        <w:jc w:val="both"/>
        <w:rPr>
          <w:b/>
          <w:bCs/>
        </w:rPr>
      </w:pPr>
      <w:r w:rsidRPr="00806B8B">
        <w:rPr>
          <w:b/>
          <w:bCs/>
        </w:rPr>
        <w:t>Banking cris</w:t>
      </w:r>
      <w:r w:rsidR="00E14956" w:rsidRPr="00806B8B">
        <w:rPr>
          <w:b/>
          <w:bCs/>
        </w:rPr>
        <w:t>e</w:t>
      </w:r>
      <w:r w:rsidRPr="00806B8B">
        <w:rPr>
          <w:b/>
          <w:bCs/>
        </w:rPr>
        <w:t>s</w:t>
      </w:r>
      <w:r w:rsidR="00E14956" w:rsidRPr="00806B8B">
        <w:rPr>
          <w:b/>
          <w:bCs/>
        </w:rPr>
        <w:t xml:space="preserve"> and the Great Recession</w:t>
      </w:r>
    </w:p>
    <w:p w14:paraId="1A4C1F85" w14:textId="10237EED" w:rsidR="00E14956" w:rsidRPr="00806B8B" w:rsidRDefault="00E14956" w:rsidP="00233CC3">
      <w:pPr>
        <w:jc w:val="both"/>
      </w:pPr>
      <w:r w:rsidRPr="00806B8B">
        <w:t xml:space="preserve">(*) </w:t>
      </w:r>
      <w:proofErr w:type="spellStart"/>
      <w:r w:rsidRPr="00806B8B">
        <w:t>Schularick</w:t>
      </w:r>
      <w:proofErr w:type="spellEnd"/>
      <w:r w:rsidRPr="00806B8B">
        <w:t xml:space="preserve">, M., and Taylor, A. 2012. “Credit Booms Gone Bust: Monetary Policy, Leverage Cycles, and Financial Crises, 1870-2008”. American Economic Review 102 (2): 1029-1061 </w:t>
      </w:r>
    </w:p>
    <w:p w14:paraId="74C4D706" w14:textId="7B1CC8B1" w:rsidR="00863918" w:rsidRPr="00806B8B" w:rsidRDefault="00FD4323" w:rsidP="00233CC3">
      <w:pPr>
        <w:jc w:val="both"/>
      </w:pPr>
      <w:proofErr w:type="spellStart"/>
      <w:r w:rsidRPr="00806B8B">
        <w:lastRenderedPageBreak/>
        <w:t>Dell’Ariccia</w:t>
      </w:r>
      <w:proofErr w:type="spellEnd"/>
      <w:r w:rsidRPr="00806B8B">
        <w:t xml:space="preserve">, G., </w:t>
      </w:r>
      <w:proofErr w:type="spellStart"/>
      <w:r w:rsidRPr="00806B8B">
        <w:t>Detragiache</w:t>
      </w:r>
      <w:proofErr w:type="spellEnd"/>
      <w:r w:rsidRPr="00806B8B">
        <w:t>, D., Rajan, R. 2008. “The real effect of banking crises.” Journal of Financial Intermediation, Volume 17, Issue 1, pp. 89-112.</w:t>
      </w:r>
    </w:p>
    <w:p w14:paraId="19FF05AD" w14:textId="200501A5" w:rsidR="00FD4323" w:rsidRPr="00806B8B" w:rsidRDefault="00E14956" w:rsidP="00233CC3">
      <w:pPr>
        <w:jc w:val="both"/>
      </w:pPr>
      <w:r w:rsidRPr="00806B8B">
        <w:t xml:space="preserve">(*) </w:t>
      </w:r>
      <w:r w:rsidR="00FD4323" w:rsidRPr="00806B8B">
        <w:t>Chodorow-Reich, G. 2014. “The employment effects of credit market disruptions: Firm-level evidence from the 2008-9 financial crisis.” Quarterly Journal of Economics 129 (1): 1-59.</w:t>
      </w:r>
    </w:p>
    <w:p w14:paraId="09100B50" w14:textId="5BA43017" w:rsidR="00FD4323" w:rsidRPr="00806B8B" w:rsidRDefault="00FD4323" w:rsidP="00233CC3">
      <w:pPr>
        <w:jc w:val="both"/>
      </w:pPr>
      <w:r w:rsidRPr="00806B8B">
        <w:t xml:space="preserve">Rajan, R., &amp; Ramcharan, R. 2015. “The anatomy of a credit crisis: The boom and bust in </w:t>
      </w:r>
      <w:proofErr w:type="gramStart"/>
      <w:r w:rsidRPr="00806B8B">
        <w:t>farm land</w:t>
      </w:r>
      <w:proofErr w:type="gramEnd"/>
      <w:r w:rsidRPr="00806B8B">
        <w:t xml:space="preserve"> prices in the United States in the 1920s.” American Economic Review, 105(4), 1439-1477.</w:t>
      </w:r>
    </w:p>
    <w:p w14:paraId="6726FA48" w14:textId="101BAE6F" w:rsidR="00863918" w:rsidRPr="00806B8B" w:rsidRDefault="00E14956" w:rsidP="00233CC3">
      <w:pPr>
        <w:jc w:val="both"/>
      </w:pPr>
      <w:r w:rsidRPr="00806B8B">
        <w:t xml:space="preserve">(*) </w:t>
      </w:r>
      <w:r w:rsidR="00863918" w:rsidRPr="00806B8B">
        <w:t>Mian, A., &amp; Sufi, A. (2011). House prices, home equity–based borrowing, and the us household leverage crisis. American Economic Review, 101(5), 2132-2156.</w:t>
      </w:r>
    </w:p>
    <w:p w14:paraId="5D5C844E" w14:textId="179AD399" w:rsidR="00863918" w:rsidRPr="00806B8B" w:rsidRDefault="00863918" w:rsidP="00233CC3">
      <w:pPr>
        <w:jc w:val="both"/>
      </w:pPr>
      <w:r w:rsidRPr="00806B8B">
        <w:t>Mian, A., Sufi, A., &amp; Verner, E. (2017). Household debt and business cycles worldwide. The Quarterly Journal of Economics, 132(4), 1755-1817.</w:t>
      </w:r>
    </w:p>
    <w:p w14:paraId="25AAEC5D" w14:textId="77777777" w:rsidR="00863918" w:rsidRPr="00806B8B" w:rsidRDefault="00863918" w:rsidP="00233CC3">
      <w:pPr>
        <w:jc w:val="both"/>
        <w:rPr>
          <w:b/>
          <w:bCs/>
        </w:rPr>
      </w:pPr>
    </w:p>
    <w:p w14:paraId="293A6136" w14:textId="27BFB3A8" w:rsidR="00863918" w:rsidRPr="00806B8B" w:rsidRDefault="00FA2E72" w:rsidP="00233CC3">
      <w:pPr>
        <w:jc w:val="both"/>
        <w:rPr>
          <w:b/>
          <w:bCs/>
        </w:rPr>
      </w:pPr>
      <w:r w:rsidRPr="00806B8B">
        <w:rPr>
          <w:b/>
          <w:bCs/>
        </w:rPr>
        <w:t>G</w:t>
      </w:r>
      <w:r w:rsidR="00863918" w:rsidRPr="00806B8B">
        <w:rPr>
          <w:b/>
          <w:bCs/>
        </w:rPr>
        <w:t xml:space="preserve">rowth </w:t>
      </w:r>
      <w:r w:rsidR="00806B8B" w:rsidRPr="00806B8B">
        <w:rPr>
          <w:b/>
          <w:bCs/>
        </w:rPr>
        <w:t>&amp;</w:t>
      </w:r>
      <w:r w:rsidRPr="00806B8B">
        <w:rPr>
          <w:b/>
          <w:bCs/>
        </w:rPr>
        <w:t xml:space="preserve"> growth policies</w:t>
      </w:r>
    </w:p>
    <w:p w14:paraId="3FB01BA6" w14:textId="3C051AA6" w:rsidR="00863918" w:rsidRPr="00806B8B" w:rsidRDefault="00FA2E72" w:rsidP="00233CC3">
      <w:pPr>
        <w:jc w:val="both"/>
      </w:pPr>
      <w:r w:rsidRPr="00806B8B">
        <w:t xml:space="preserve">(*) </w:t>
      </w:r>
      <w:r w:rsidR="00863918" w:rsidRPr="00806B8B">
        <w:t>Acemoglu, D., Johnson, S., &amp; Robinson, J. A. (2001). The colonial origins of comparative development: An empirical investigation. American Economic Review, 91(5), 1369-1401.</w:t>
      </w:r>
    </w:p>
    <w:p w14:paraId="52EF71B5" w14:textId="54FD14A5" w:rsidR="00863918" w:rsidRPr="00806B8B" w:rsidRDefault="00FA2E72" w:rsidP="00233CC3">
      <w:pPr>
        <w:jc w:val="both"/>
      </w:pPr>
      <w:r w:rsidRPr="00806B8B">
        <w:t xml:space="preserve">(*) </w:t>
      </w:r>
      <w:r w:rsidR="00863918" w:rsidRPr="00806B8B">
        <w:t>Bloom, N., Van Reenen, J., &amp; Williams, H. (2019). A toolkit of policies to promote innovation. Journal of economic perspectives, 33(3), 163-184.</w:t>
      </w:r>
    </w:p>
    <w:p w14:paraId="50F89E3E" w14:textId="2184838B" w:rsidR="00FA2E72" w:rsidRPr="00806B8B" w:rsidRDefault="00FA2E72" w:rsidP="00233CC3">
      <w:pPr>
        <w:jc w:val="both"/>
      </w:pPr>
      <w:r w:rsidRPr="00806B8B">
        <w:t>(+) Nunn, N. (2008). The long-term effects of Africa's slave trades. The Quarterly Journal of Economics, 123(1), 139-176.</w:t>
      </w:r>
    </w:p>
    <w:p w14:paraId="784484C3" w14:textId="77777777" w:rsidR="00FA2E72" w:rsidRPr="00806B8B" w:rsidRDefault="00863918" w:rsidP="00233CC3">
      <w:pPr>
        <w:jc w:val="both"/>
      </w:pPr>
      <w:r w:rsidRPr="00806B8B">
        <w:t>Howell, S. T. (2017). Financing innovation: Evidence from R&amp;D grants. American Economic Review, 107(4), 1136-64.</w:t>
      </w:r>
    </w:p>
    <w:p w14:paraId="2180A4D4" w14:textId="77777777" w:rsidR="00863918" w:rsidRPr="00806B8B" w:rsidRDefault="00863918" w:rsidP="00233CC3">
      <w:pPr>
        <w:jc w:val="both"/>
        <w:rPr>
          <w:b/>
          <w:bCs/>
        </w:rPr>
      </w:pPr>
    </w:p>
    <w:p w14:paraId="5F400B97" w14:textId="77A6173C" w:rsidR="00863918" w:rsidRPr="00806B8B" w:rsidRDefault="00863918" w:rsidP="00233CC3">
      <w:pPr>
        <w:jc w:val="both"/>
        <w:outlineLvl w:val="3"/>
        <w:rPr>
          <w:b/>
          <w:bCs/>
        </w:rPr>
      </w:pPr>
      <w:r w:rsidRPr="00806B8B">
        <w:rPr>
          <w:b/>
          <w:bCs/>
        </w:rPr>
        <w:t>Climate Change and the Macroeconomy</w:t>
      </w:r>
    </w:p>
    <w:p w14:paraId="050C6B1F" w14:textId="1D55528A" w:rsidR="00863918" w:rsidRPr="00806B8B" w:rsidRDefault="00E20718" w:rsidP="00233CC3">
      <w:pPr>
        <w:jc w:val="both"/>
      </w:pPr>
      <w:r w:rsidRPr="00806B8B">
        <w:t xml:space="preserve">(*) </w:t>
      </w:r>
      <w:r w:rsidR="00863918" w:rsidRPr="00806B8B">
        <w:t>Dell, M., Jones, B. F., &amp; Olken, B. A. (2012). Temperature shocks and economic growth: Evidence from the last half century. American Economic Journal: Macroeconomics, 4(3), 66-95.</w:t>
      </w:r>
    </w:p>
    <w:p w14:paraId="31ED13E7" w14:textId="6E126F44" w:rsidR="00FD4323" w:rsidRPr="00806B8B" w:rsidRDefault="00E20718" w:rsidP="00233CC3">
      <w:pPr>
        <w:jc w:val="both"/>
      </w:pPr>
      <w:r w:rsidRPr="00806B8B">
        <w:t xml:space="preserve">(*) </w:t>
      </w:r>
      <w:r w:rsidR="00FD4323" w:rsidRPr="00806B8B">
        <w:t xml:space="preserve">Bilal, A., &amp; </w:t>
      </w:r>
      <w:proofErr w:type="spellStart"/>
      <w:r w:rsidR="00FD4323" w:rsidRPr="00806B8B">
        <w:t>Känzig</w:t>
      </w:r>
      <w:proofErr w:type="spellEnd"/>
      <w:r w:rsidR="00FD4323" w:rsidRPr="00806B8B">
        <w:t>, D. R. (2024). The macroeconomic impact of climate change: Global vs. local temperature (No. w32450). National Bureau of Economic Research.</w:t>
      </w:r>
    </w:p>
    <w:p w14:paraId="77DB1B22" w14:textId="23FBDF1B" w:rsidR="00863918" w:rsidRPr="00806B8B" w:rsidRDefault="00E20718" w:rsidP="00233CC3">
      <w:pPr>
        <w:jc w:val="both"/>
      </w:pPr>
      <w:r w:rsidRPr="00806B8B">
        <w:t xml:space="preserve">(+) </w:t>
      </w:r>
      <w:proofErr w:type="spellStart"/>
      <w:r w:rsidR="00FD4323" w:rsidRPr="00806B8B">
        <w:t>Känzig</w:t>
      </w:r>
      <w:proofErr w:type="spellEnd"/>
      <w:r w:rsidR="00FD4323" w:rsidRPr="00806B8B">
        <w:t>, D. R. (2023). The unequal economic consequences of carbon pricing (No. w31221). National Bureau of Economic Research.</w:t>
      </w:r>
    </w:p>
    <w:p w14:paraId="2BACEAC7" w14:textId="77777777" w:rsidR="00863918" w:rsidRPr="00806B8B" w:rsidRDefault="00863918" w:rsidP="00233CC3">
      <w:pPr>
        <w:jc w:val="both"/>
      </w:pPr>
    </w:p>
    <w:p w14:paraId="23B79EB3" w14:textId="77777777" w:rsidR="00863918" w:rsidRPr="00806B8B" w:rsidRDefault="00863918" w:rsidP="00233CC3">
      <w:pPr>
        <w:jc w:val="both"/>
      </w:pPr>
    </w:p>
    <w:p w14:paraId="4DC93EF6" w14:textId="77777777" w:rsidR="00FD4323" w:rsidRPr="00806B8B" w:rsidRDefault="00FD4323" w:rsidP="00233CC3">
      <w:pPr>
        <w:jc w:val="both"/>
        <w:rPr>
          <w:b/>
        </w:rPr>
      </w:pPr>
    </w:p>
    <w:sectPr w:rsidR="00FD4323" w:rsidRPr="00806B8B" w:rsidSect="008A7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92746"/>
    <w:multiLevelType w:val="hybridMultilevel"/>
    <w:tmpl w:val="DADA9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D71A6"/>
    <w:multiLevelType w:val="hybridMultilevel"/>
    <w:tmpl w:val="7888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C59F0"/>
    <w:multiLevelType w:val="multilevel"/>
    <w:tmpl w:val="124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830E2"/>
    <w:multiLevelType w:val="multilevel"/>
    <w:tmpl w:val="13B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A63634"/>
    <w:multiLevelType w:val="hybridMultilevel"/>
    <w:tmpl w:val="A09CFD02"/>
    <w:lvl w:ilvl="0" w:tplc="5D448FC2">
      <w:numFmt w:val="bullet"/>
      <w:lvlText w:val="-"/>
      <w:lvlJc w:val="left"/>
      <w:pPr>
        <w:ind w:left="400" w:hanging="360"/>
      </w:pPr>
      <w:rPr>
        <w:rFonts w:ascii="Calibri" w:eastAsia="Times New Roman"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15:restartNumberingAfterBreak="0">
    <w:nsid w:val="7B733841"/>
    <w:multiLevelType w:val="multilevel"/>
    <w:tmpl w:val="89BC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7390832">
    <w:abstractNumId w:val="1"/>
  </w:num>
  <w:num w:numId="2" w16cid:durableId="548422156">
    <w:abstractNumId w:val="0"/>
  </w:num>
  <w:num w:numId="3" w16cid:durableId="123236603">
    <w:abstractNumId w:val="4"/>
  </w:num>
  <w:num w:numId="4" w16cid:durableId="1859931484">
    <w:abstractNumId w:val="5"/>
  </w:num>
  <w:num w:numId="5" w16cid:durableId="1341272051">
    <w:abstractNumId w:val="3"/>
  </w:num>
  <w:num w:numId="6" w16cid:durableId="1724987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54"/>
    <w:rsid w:val="00001FB8"/>
    <w:rsid w:val="000315DA"/>
    <w:rsid w:val="0003693B"/>
    <w:rsid w:val="0005263D"/>
    <w:rsid w:val="00053C33"/>
    <w:rsid w:val="00054430"/>
    <w:rsid w:val="000612CD"/>
    <w:rsid w:val="00094DA9"/>
    <w:rsid w:val="00097186"/>
    <w:rsid w:val="000D0295"/>
    <w:rsid w:val="000D6CFB"/>
    <w:rsid w:val="000F0C42"/>
    <w:rsid w:val="001026C3"/>
    <w:rsid w:val="00131DB2"/>
    <w:rsid w:val="00151A4D"/>
    <w:rsid w:val="001778D1"/>
    <w:rsid w:val="00181D05"/>
    <w:rsid w:val="001A304D"/>
    <w:rsid w:val="001A354F"/>
    <w:rsid w:val="001D466A"/>
    <w:rsid w:val="001E073C"/>
    <w:rsid w:val="001E0C45"/>
    <w:rsid w:val="001E75BC"/>
    <w:rsid w:val="00207B8A"/>
    <w:rsid w:val="002317BC"/>
    <w:rsid w:val="00233CC3"/>
    <w:rsid w:val="00255DBD"/>
    <w:rsid w:val="00281E21"/>
    <w:rsid w:val="00291751"/>
    <w:rsid w:val="002B0215"/>
    <w:rsid w:val="002B0C5A"/>
    <w:rsid w:val="002B1DB3"/>
    <w:rsid w:val="002E0869"/>
    <w:rsid w:val="002E0C07"/>
    <w:rsid w:val="002F322A"/>
    <w:rsid w:val="00301D1E"/>
    <w:rsid w:val="00311D1E"/>
    <w:rsid w:val="00331800"/>
    <w:rsid w:val="003544A9"/>
    <w:rsid w:val="0036212A"/>
    <w:rsid w:val="00366080"/>
    <w:rsid w:val="00374531"/>
    <w:rsid w:val="003B6DFE"/>
    <w:rsid w:val="003C50E3"/>
    <w:rsid w:val="003C5680"/>
    <w:rsid w:val="003D1062"/>
    <w:rsid w:val="003F2B25"/>
    <w:rsid w:val="00410CFD"/>
    <w:rsid w:val="00426ED0"/>
    <w:rsid w:val="00440DC8"/>
    <w:rsid w:val="004531B2"/>
    <w:rsid w:val="00454AB8"/>
    <w:rsid w:val="004552E0"/>
    <w:rsid w:val="00482C28"/>
    <w:rsid w:val="00484A41"/>
    <w:rsid w:val="004A0C38"/>
    <w:rsid w:val="004C5A13"/>
    <w:rsid w:val="004F335D"/>
    <w:rsid w:val="004F71F2"/>
    <w:rsid w:val="005260D7"/>
    <w:rsid w:val="00531087"/>
    <w:rsid w:val="005313C1"/>
    <w:rsid w:val="00542AFA"/>
    <w:rsid w:val="0054434F"/>
    <w:rsid w:val="005813C7"/>
    <w:rsid w:val="005A5EE6"/>
    <w:rsid w:val="005B592F"/>
    <w:rsid w:val="005D70DA"/>
    <w:rsid w:val="005E1F40"/>
    <w:rsid w:val="005E7275"/>
    <w:rsid w:val="005F3F74"/>
    <w:rsid w:val="00617CD6"/>
    <w:rsid w:val="00621E20"/>
    <w:rsid w:val="0069367A"/>
    <w:rsid w:val="006D4C6B"/>
    <w:rsid w:val="006D4ECF"/>
    <w:rsid w:val="006E1C95"/>
    <w:rsid w:val="006E3A50"/>
    <w:rsid w:val="006F23C0"/>
    <w:rsid w:val="00715D7C"/>
    <w:rsid w:val="007212DD"/>
    <w:rsid w:val="00727FDD"/>
    <w:rsid w:val="00737D38"/>
    <w:rsid w:val="0077771B"/>
    <w:rsid w:val="007B47EF"/>
    <w:rsid w:val="007C3E0F"/>
    <w:rsid w:val="00806B8B"/>
    <w:rsid w:val="008149D4"/>
    <w:rsid w:val="008258BD"/>
    <w:rsid w:val="0083186C"/>
    <w:rsid w:val="00863918"/>
    <w:rsid w:val="00870ACF"/>
    <w:rsid w:val="008A39B5"/>
    <w:rsid w:val="008A3EF0"/>
    <w:rsid w:val="008A76AF"/>
    <w:rsid w:val="008C154B"/>
    <w:rsid w:val="008C1BCB"/>
    <w:rsid w:val="008C35AF"/>
    <w:rsid w:val="008E7D99"/>
    <w:rsid w:val="00921AA9"/>
    <w:rsid w:val="009224F5"/>
    <w:rsid w:val="0094651F"/>
    <w:rsid w:val="00964F9D"/>
    <w:rsid w:val="00974493"/>
    <w:rsid w:val="009760F8"/>
    <w:rsid w:val="009A7EDD"/>
    <w:rsid w:val="009B1445"/>
    <w:rsid w:val="009C0C7B"/>
    <w:rsid w:val="00A30FCB"/>
    <w:rsid w:val="00A57C51"/>
    <w:rsid w:val="00A943B7"/>
    <w:rsid w:val="00AA0CE8"/>
    <w:rsid w:val="00AB4545"/>
    <w:rsid w:val="00AC4FFA"/>
    <w:rsid w:val="00AD1741"/>
    <w:rsid w:val="00AE100D"/>
    <w:rsid w:val="00AF3F16"/>
    <w:rsid w:val="00B54ECE"/>
    <w:rsid w:val="00B75124"/>
    <w:rsid w:val="00B81DF5"/>
    <w:rsid w:val="00BA2367"/>
    <w:rsid w:val="00BB1AF0"/>
    <w:rsid w:val="00BB4CA9"/>
    <w:rsid w:val="00BC0564"/>
    <w:rsid w:val="00BC6934"/>
    <w:rsid w:val="00BD039D"/>
    <w:rsid w:val="00BE3FBC"/>
    <w:rsid w:val="00BE5311"/>
    <w:rsid w:val="00C00DE3"/>
    <w:rsid w:val="00C22F5C"/>
    <w:rsid w:val="00C2753F"/>
    <w:rsid w:val="00C45932"/>
    <w:rsid w:val="00C62554"/>
    <w:rsid w:val="00C62E73"/>
    <w:rsid w:val="00C85DD1"/>
    <w:rsid w:val="00CB2FE3"/>
    <w:rsid w:val="00CB6E7E"/>
    <w:rsid w:val="00CD0E6F"/>
    <w:rsid w:val="00D15AB8"/>
    <w:rsid w:val="00D17EF5"/>
    <w:rsid w:val="00D35BD4"/>
    <w:rsid w:val="00D3759F"/>
    <w:rsid w:val="00D7016E"/>
    <w:rsid w:val="00D90375"/>
    <w:rsid w:val="00D92E9B"/>
    <w:rsid w:val="00D94BAD"/>
    <w:rsid w:val="00DB74DB"/>
    <w:rsid w:val="00DB78FD"/>
    <w:rsid w:val="00DC78D7"/>
    <w:rsid w:val="00DF0A26"/>
    <w:rsid w:val="00DF56D9"/>
    <w:rsid w:val="00E14956"/>
    <w:rsid w:val="00E17F27"/>
    <w:rsid w:val="00E20718"/>
    <w:rsid w:val="00E507A5"/>
    <w:rsid w:val="00E60C9A"/>
    <w:rsid w:val="00E922EF"/>
    <w:rsid w:val="00EB5F6F"/>
    <w:rsid w:val="00EC55FA"/>
    <w:rsid w:val="00ED2BDE"/>
    <w:rsid w:val="00ED3F31"/>
    <w:rsid w:val="00EF62EB"/>
    <w:rsid w:val="00F0414F"/>
    <w:rsid w:val="00F05894"/>
    <w:rsid w:val="00F17AB0"/>
    <w:rsid w:val="00F20DCD"/>
    <w:rsid w:val="00F22E55"/>
    <w:rsid w:val="00F330E1"/>
    <w:rsid w:val="00F36E24"/>
    <w:rsid w:val="00F37DB2"/>
    <w:rsid w:val="00F45518"/>
    <w:rsid w:val="00F5117C"/>
    <w:rsid w:val="00F52FEE"/>
    <w:rsid w:val="00F772D6"/>
    <w:rsid w:val="00F80CD6"/>
    <w:rsid w:val="00F83E7F"/>
    <w:rsid w:val="00F84B6F"/>
    <w:rsid w:val="00F90484"/>
    <w:rsid w:val="00F95B6D"/>
    <w:rsid w:val="00FA1E41"/>
    <w:rsid w:val="00FA2819"/>
    <w:rsid w:val="00FA2E72"/>
    <w:rsid w:val="00FD4323"/>
    <w:rsid w:val="00FE2523"/>
    <w:rsid w:val="00FE54D7"/>
    <w:rsid w:val="00FE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947D"/>
  <w15:docId w15:val="{5405C530-4E1B-6740-82A8-EB382840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9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554"/>
    <w:rPr>
      <w:color w:val="0000FF" w:themeColor="hyperlink"/>
      <w:u w:val="single"/>
    </w:rPr>
  </w:style>
  <w:style w:type="paragraph" w:styleId="ListParagraph">
    <w:name w:val="List Paragraph"/>
    <w:basedOn w:val="Normal"/>
    <w:uiPriority w:val="34"/>
    <w:qFormat/>
    <w:rsid w:val="00F5117C"/>
    <w:pPr>
      <w:ind w:left="720"/>
      <w:contextualSpacing/>
    </w:pPr>
  </w:style>
  <w:style w:type="character" w:styleId="UnresolvedMention">
    <w:name w:val="Unresolved Mention"/>
    <w:basedOn w:val="DefaultParagraphFont"/>
    <w:uiPriority w:val="99"/>
    <w:semiHidden/>
    <w:unhideWhenUsed/>
    <w:rsid w:val="0069367A"/>
    <w:rPr>
      <w:color w:val="605E5C"/>
      <w:shd w:val="clear" w:color="auto" w:fill="E1DFDD"/>
    </w:rPr>
  </w:style>
  <w:style w:type="character" w:styleId="Strong">
    <w:name w:val="Strong"/>
    <w:basedOn w:val="DefaultParagraphFont"/>
    <w:uiPriority w:val="22"/>
    <w:qFormat/>
    <w:rsid w:val="00863918"/>
    <w:rPr>
      <w:b/>
      <w:bCs/>
    </w:rPr>
  </w:style>
  <w:style w:type="character" w:styleId="Emphasis">
    <w:name w:val="Emphasis"/>
    <w:basedOn w:val="DefaultParagraphFont"/>
    <w:uiPriority w:val="20"/>
    <w:qFormat/>
    <w:rsid w:val="00863918"/>
    <w:rPr>
      <w:i/>
      <w:iCs/>
    </w:rPr>
  </w:style>
  <w:style w:type="paragraph" w:styleId="NormalWeb">
    <w:name w:val="Normal (Web)"/>
    <w:basedOn w:val="Normal"/>
    <w:uiPriority w:val="99"/>
    <w:semiHidden/>
    <w:unhideWhenUsed/>
    <w:rsid w:val="000D02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5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columbia.edu" TargetMode="External"/><Relationship Id="rId3" Type="http://schemas.openxmlformats.org/officeDocument/2006/relationships/settings" Target="settings.xml"/><Relationship Id="rId7" Type="http://schemas.openxmlformats.org/officeDocument/2006/relationships/hyperlink" Target="http://health.columbia.edu/services/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4462@columbia.edu" TargetMode="External"/><Relationship Id="rId11" Type="http://schemas.openxmlformats.org/officeDocument/2006/relationships/theme" Target="theme/theme1.xml"/><Relationship Id="rId5" Type="http://schemas.openxmlformats.org/officeDocument/2006/relationships/hyperlink" Target="mailto:np2842@columbi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pkurlat/a-course-in-modern-macroeco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mw2230</dc:creator>
  <cp:lastModifiedBy>Noemie Pinardon-Touati</cp:lastModifiedBy>
  <cp:revision>42</cp:revision>
  <dcterms:created xsi:type="dcterms:W3CDTF">2025-03-03T04:02:00Z</dcterms:created>
  <dcterms:modified xsi:type="dcterms:W3CDTF">2025-09-02T19:33:00Z</dcterms:modified>
</cp:coreProperties>
</file>