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2D004873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Affordance Norms for 3000 </w:t>
      </w:r>
      <w:r w:rsidR="00B83C6B">
        <w:t xml:space="preserve">Highly </w:t>
      </w:r>
      <w:r w:rsidR="00F57E41">
        <w:t>Concrete Nouns</w:t>
      </w:r>
    </w:p>
    <w:p w14:paraId="0744EDA8" w14:textId="6E4EAD19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commentRangeStart w:id="0"/>
      <w:r>
        <w:t>Nicholas P. Maxwell, Alen Hajnal, Mark J. Huff</w:t>
      </w:r>
      <w:r w:rsidR="005A7F43">
        <w:t>, &amp; Tyler Surber</w:t>
      </w:r>
      <w:commentRangeEnd w:id="0"/>
      <w:r w:rsidR="00F57E41">
        <w:rPr>
          <w:rStyle w:val="CommentReference"/>
        </w:rPr>
        <w:commentReference w:id="0"/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64E9088E" w:rsidR="00B9438A" w:rsidRDefault="0095395E" w:rsidP="00B9438A">
      <w:pPr>
        <w:spacing w:line="240" w:lineRule="auto"/>
      </w:pPr>
      <w:r w:rsidRPr="0095395E">
        <w:t xml:space="preserve">Objects </w:t>
      </w:r>
      <w:r w:rsidR="00AA2F72">
        <w:t xml:space="preserve">are </w:t>
      </w:r>
      <w:r w:rsidR="004A791B">
        <w:t>commonly</w:t>
      </w:r>
      <w:r w:rsidRPr="0095395E">
        <w:t xml:space="preserve"> </w:t>
      </w:r>
      <w:r w:rsidR="00AA2F72">
        <w:t xml:space="preserve">described </w:t>
      </w:r>
      <w:r w:rsidR="00B41E04">
        <w:t>based on</w:t>
      </w:r>
      <w:r w:rsidR="00AA2F72">
        <w:t xml:space="preserve"> their</w:t>
      </w:r>
      <w:r w:rsidR="00C8231D">
        <w:t xml:space="preserve"> relations to</w:t>
      </w:r>
      <w:r w:rsidR="00D56B9B">
        <w:t xml:space="preserve"> other</w:t>
      </w:r>
      <w:r w:rsidRPr="0095395E">
        <w:t xml:space="preserve"> objects (</w:t>
      </w:r>
      <w:r w:rsidR="009F70B7">
        <w:t>e.g</w:t>
      </w:r>
      <w:r>
        <w:t>.</w:t>
      </w:r>
      <w:r w:rsidRPr="0095395E">
        <w:t>, associations</w:t>
      </w:r>
      <w:r w:rsidR="009F70B7">
        <w:t>, semantic similarity, etc.</w:t>
      </w:r>
      <w:r w:rsidRPr="0095395E">
        <w:t xml:space="preserve">) or </w:t>
      </w:r>
      <w:r w:rsidR="00C8231D">
        <w:t xml:space="preserve">physical </w:t>
      </w:r>
      <w:r w:rsidRPr="0095395E">
        <w:t>features (e.g., birds have wings, feathers, etc.).</w:t>
      </w:r>
      <w:r w:rsidR="000B7ABA">
        <w:t xml:space="preserve"> </w:t>
      </w:r>
      <w:r w:rsidR="00AA2F72">
        <w:t>However, o</w:t>
      </w:r>
      <w:r w:rsidR="00701680">
        <w:t>bjects can also be described in terms of</w:t>
      </w:r>
      <w:r w:rsidR="00691AEB">
        <w:t xml:space="preserve"> their actionable properties</w:t>
      </w:r>
      <w:r w:rsidR="00701680">
        <w:t xml:space="preserve"> </w:t>
      </w:r>
      <w:r w:rsidR="002166AD">
        <w:t xml:space="preserve">(i.e., </w:t>
      </w:r>
      <w:r w:rsidR="00691AEB">
        <w:t>affordances</w:t>
      </w:r>
      <w:r w:rsidR="00701680">
        <w:t xml:space="preserve">), which </w:t>
      </w:r>
      <w:r w:rsidR="0010623C">
        <w:t>reflect</w:t>
      </w:r>
      <w:r w:rsidR="004C15AF">
        <w:t xml:space="preserve"> interactive relationship</w:t>
      </w:r>
      <w:r w:rsidR="000B7ABA">
        <w:t>s</w:t>
      </w:r>
      <w:r w:rsidR="004C15AF">
        <w:t xml:space="preserve"> between actor</w:t>
      </w:r>
      <w:r w:rsidR="000B7ABA">
        <w:t>s</w:t>
      </w:r>
      <w:r w:rsidR="004C15AF">
        <w:t xml:space="preserve"> and object</w:t>
      </w:r>
      <w:r w:rsidR="000B7ABA">
        <w:t>s</w:t>
      </w:r>
      <w:r w:rsidR="004C15AF">
        <w:t xml:space="preserve">. </w:t>
      </w:r>
      <w:r w:rsidR="00721915">
        <w:t>While</w:t>
      </w:r>
      <w:r w:rsidR="0010623C">
        <w:t xml:space="preserve"> there exist</w:t>
      </w:r>
      <w:r w:rsidR="00ED49A6">
        <w:t xml:space="preserve"> </w:t>
      </w:r>
      <w:r w:rsidR="00D26903">
        <w:t xml:space="preserve">several normed datasets </w:t>
      </w:r>
      <w:r w:rsidR="00E3305E">
        <w:t>categorizing</w:t>
      </w:r>
      <w:r w:rsidR="00D26903">
        <w:t xml:space="preserve"> </w:t>
      </w:r>
      <w:r w:rsidR="0010623C">
        <w:t xml:space="preserve">various </w:t>
      </w:r>
      <w:r w:rsidR="00701680">
        <w:t xml:space="preserve">aspects of meaning (e.g., </w:t>
      </w:r>
      <w:r w:rsidR="00D26903">
        <w:t>semantic features</w:t>
      </w:r>
      <w:r w:rsidR="00701680">
        <w:t>,</w:t>
      </w:r>
      <w:r w:rsidR="00D26903">
        <w:t xml:space="preserve"> </w:t>
      </w:r>
      <w:r w:rsidR="00701680">
        <w:t>associations, etc.)</w:t>
      </w:r>
      <w:r w:rsidR="00D26903">
        <w:t>,</w:t>
      </w:r>
      <w:r w:rsidR="0010623C">
        <w:t xml:space="preserve"> </w:t>
      </w:r>
      <w:r w:rsidR="0019047C">
        <w:t>to date,</w:t>
      </w:r>
      <w:r w:rsidR="00D26903">
        <w:t xml:space="preserve"> </w:t>
      </w:r>
      <w:r w:rsidR="0010623C">
        <w:t xml:space="preserve">norms for affordances have </w:t>
      </w:r>
      <w:r w:rsidR="00701680">
        <w:t xml:space="preserve">not been generated. </w:t>
      </w:r>
      <w:r w:rsidR="0019047C">
        <w:t>This</w:t>
      </w:r>
      <w:r w:rsidR="00857A97">
        <w:t xml:space="preserve"> study </w:t>
      </w:r>
      <w:r w:rsidR="000574AF">
        <w:t>addresses this limitation</w:t>
      </w:r>
      <w:r w:rsidR="00CE4D2A">
        <w:t xml:space="preserve"> </w:t>
      </w:r>
      <w:r w:rsidR="00721915">
        <w:t>by developing</w:t>
      </w:r>
      <w:r w:rsidR="00857A97">
        <w:t xml:space="preserve"> a </w:t>
      </w:r>
      <w:r w:rsidR="00270E4E">
        <w:t xml:space="preserve">set </w:t>
      </w:r>
      <w:r w:rsidR="00857A97">
        <w:t>of affordance</w:t>
      </w:r>
      <w:r w:rsidR="000574AF">
        <w:t xml:space="preserve"> norms for 3000</w:t>
      </w:r>
      <w:r w:rsidR="0019047C">
        <w:t xml:space="preserve"> concrete nouns</w:t>
      </w:r>
      <w:r w:rsidR="000574AF">
        <w:t>.</w:t>
      </w:r>
      <w:r w:rsidR="00913416">
        <w:t xml:space="preserve"> </w:t>
      </w:r>
      <w:r w:rsidR="0019047C">
        <w:t>Using an open-response form</w:t>
      </w:r>
      <w:r w:rsidR="0010623C">
        <w:t>at</w:t>
      </w:r>
      <w:r w:rsidR="0019047C">
        <w:t>, we compute</w:t>
      </w:r>
      <w:r w:rsidR="0010623C">
        <w:t>d</w:t>
      </w:r>
      <w:r w:rsidR="0019047C">
        <w:t xml:space="preserve"> affordance strengths (AFS; i.e., probability of an item eliciting a particular action response) and affordance set-sizes (</w:t>
      </w:r>
      <w:commentRangeStart w:id="1"/>
      <w:r w:rsidR="0019047C">
        <w:t>AFSS</w:t>
      </w:r>
      <w:commentRangeEnd w:id="1"/>
      <w:r w:rsidR="0019047C">
        <w:rPr>
          <w:rStyle w:val="CommentReference"/>
        </w:rPr>
        <w:commentReference w:id="1"/>
      </w:r>
      <w:r w:rsidR="0019047C">
        <w:t>; i.e., total number of unique action responses for each item)</w:t>
      </w:r>
      <w:r w:rsidR="0010623C">
        <w:t xml:space="preserve"> for </w:t>
      </w:r>
      <w:r w:rsidR="005C685F">
        <w:t xml:space="preserve">each item. </w:t>
      </w:r>
      <w:r w:rsidR="005D7AA6">
        <w:t xml:space="preserve">Because our stimuli overlapped with Pexman et al.’s (2019) Body-Object Interaction norms, we tested whether AFSS was related to BOI, as objects with more perceived action properties may be viewed as more interactive. </w:t>
      </w:r>
      <w:r w:rsidR="0019047C">
        <w:t xml:space="preserve">Preliminary analyses, however, </w:t>
      </w:r>
      <w:r w:rsidR="005D7AA6">
        <w:t>suggest</w:t>
      </w:r>
      <w:r w:rsidR="0019047C">
        <w:t xml:space="preserve"> </w:t>
      </w:r>
      <w:r w:rsidR="005D7AA6">
        <w:t>no relationship</w:t>
      </w:r>
      <w:r w:rsidR="0019047C">
        <w:t xml:space="preserve"> between </w:t>
      </w:r>
      <w:r w:rsidR="005D7AA6">
        <w:t>AFSS and BOI</w:t>
      </w:r>
      <w:r w:rsidR="0019047C">
        <w:t>, suggesting that</w:t>
      </w:r>
      <w:r w:rsidR="00FC76C9">
        <w:t xml:space="preserve"> affordance properties reflect a separate construct.</w:t>
      </w:r>
    </w:p>
    <w:p w14:paraId="42C640FE" w14:textId="77777777" w:rsidR="0019047C" w:rsidRDefault="0019047C" w:rsidP="00B9438A">
      <w:pPr>
        <w:spacing w:line="240" w:lineRule="auto"/>
        <w:rPr>
          <w:b/>
          <w:bCs/>
        </w:rPr>
      </w:pPr>
    </w:p>
    <w:p w14:paraId="1503B9EB" w14:textId="34CA1B5B" w:rsidR="0019047C" w:rsidRDefault="0019047C" w:rsidP="00B9438A">
      <w:pPr>
        <w:spacing w:line="240" w:lineRule="auto"/>
        <w:rPr>
          <w:b/>
          <w:bCs/>
        </w:rPr>
      </w:pPr>
      <w:r>
        <w:rPr>
          <w:b/>
          <w:bCs/>
        </w:rPr>
        <w:t xml:space="preserve">Word count: </w:t>
      </w:r>
      <w:r w:rsidR="00E3305E">
        <w:t>175</w:t>
      </w:r>
    </w:p>
    <w:p w14:paraId="1990A81B" w14:textId="0E14B4EF" w:rsidR="00B9438A" w:rsidRDefault="00721915" w:rsidP="00B9438A">
      <w:pPr>
        <w:spacing w:line="240" w:lineRule="auto"/>
      </w:pPr>
      <w:r>
        <w:rPr>
          <w:b/>
          <w:bCs/>
        </w:rPr>
        <w:t>Character Count (with spaces)</w:t>
      </w:r>
      <w:r w:rsidR="00B9438A" w:rsidRPr="00B9438A">
        <w:rPr>
          <w:b/>
          <w:bCs/>
        </w:rPr>
        <w:t>:</w:t>
      </w:r>
      <w:r w:rsidR="00B9438A">
        <w:t xml:space="preserve"> </w:t>
      </w:r>
      <w:r w:rsidR="00E3305E">
        <w:t>1247</w:t>
      </w:r>
      <w:r w:rsidR="00B9438A">
        <w:t>/</w:t>
      </w:r>
      <w:r>
        <w:t>1250</w:t>
      </w:r>
    </w:p>
    <w:p w14:paraId="7AA81895" w14:textId="79524721" w:rsidR="00260743" w:rsidRDefault="00260743" w:rsidP="00B9438A">
      <w:pPr>
        <w:spacing w:line="240" w:lineRule="auto"/>
      </w:pPr>
      <w:r w:rsidRPr="00260743">
        <w:rPr>
          <w:b/>
          <w:bCs/>
        </w:rPr>
        <w:t>Presentation Type:</w:t>
      </w:r>
      <w:r>
        <w:t xml:space="preserve"> </w:t>
      </w:r>
      <w:r w:rsidR="00270E4E">
        <w:t>Poster</w:t>
      </w:r>
    </w:p>
    <w:sectPr w:rsidR="002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well, Nicholas" w:date="2023-05-22T11:03:00Z" w:initials="MN">
    <w:p w14:paraId="255EF5F9" w14:textId="77777777" w:rsidR="00FC76C9" w:rsidRDefault="00F57E41" w:rsidP="0089291D">
      <w:pPr>
        <w:pStyle w:val="CommentText"/>
      </w:pPr>
      <w:r>
        <w:rPr>
          <w:rStyle w:val="CommentReference"/>
        </w:rPr>
        <w:annotationRef/>
      </w:r>
      <w:r w:rsidR="00FC76C9">
        <w:t>We good with this author order? I'd be fine adding Jacob since he's been helping coordinate our collaborators.</w:t>
      </w:r>
    </w:p>
  </w:comment>
  <w:comment w:id="1" w:author="Maxwell, Nicholas" w:date="2023-05-23T17:45:00Z" w:initials="MN">
    <w:p w14:paraId="6078A2FD" w14:textId="2BB72544" w:rsidR="0019047C" w:rsidRDefault="0019047C" w:rsidP="00D62040">
      <w:pPr>
        <w:pStyle w:val="CommentText"/>
      </w:pPr>
      <w:r>
        <w:rPr>
          <w:rStyle w:val="CommentReference"/>
        </w:rPr>
        <w:annotationRef/>
      </w:r>
      <w:r>
        <w:t>Going off of other set size naming conventions (feature set size (FSS), target set size (TSS), etc.), this should actually be ASS. But I don't think we can get away with that...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5EF5F9" w15:done="0"/>
  <w15:commentEx w15:paraId="6078A2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5CA9D" w16cex:dateUtc="2023-05-22T16:03:00Z"/>
  <w16cex:commentExtensible w16cex:durableId="28177A36" w16cex:dateUtc="2023-05-23T2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5EF5F9" w16cid:durableId="2815CA9D"/>
  <w16cid:commentId w16cid:paraId="6078A2FD" w16cid:durableId="28177A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well, Nicholas">
    <w15:presenceInfo w15:providerId="AD" w15:userId="S::nicholas.maxwell@msutexas.edu::7c2c002a-9062-4224-9563-2aa2a037ce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016BB4"/>
    <w:rsid w:val="000574AF"/>
    <w:rsid w:val="000B7ABA"/>
    <w:rsid w:val="0010623C"/>
    <w:rsid w:val="0019047C"/>
    <w:rsid w:val="001963FC"/>
    <w:rsid w:val="001B11CA"/>
    <w:rsid w:val="0021228E"/>
    <w:rsid w:val="002166AD"/>
    <w:rsid w:val="00260743"/>
    <w:rsid w:val="00270E4E"/>
    <w:rsid w:val="002A7BE5"/>
    <w:rsid w:val="00420D72"/>
    <w:rsid w:val="00420F87"/>
    <w:rsid w:val="00450EF6"/>
    <w:rsid w:val="00460E6F"/>
    <w:rsid w:val="004A791B"/>
    <w:rsid w:val="004C15AF"/>
    <w:rsid w:val="00540F9D"/>
    <w:rsid w:val="005A7F43"/>
    <w:rsid w:val="005C685F"/>
    <w:rsid w:val="005D7AA6"/>
    <w:rsid w:val="005F2E76"/>
    <w:rsid w:val="006428C4"/>
    <w:rsid w:val="00691AEB"/>
    <w:rsid w:val="006E72D9"/>
    <w:rsid w:val="00701680"/>
    <w:rsid w:val="00721915"/>
    <w:rsid w:val="00857A97"/>
    <w:rsid w:val="00913416"/>
    <w:rsid w:val="0095395E"/>
    <w:rsid w:val="00971BAC"/>
    <w:rsid w:val="009F70B7"/>
    <w:rsid w:val="00A40898"/>
    <w:rsid w:val="00AA2F72"/>
    <w:rsid w:val="00B06B97"/>
    <w:rsid w:val="00B137B4"/>
    <w:rsid w:val="00B41E04"/>
    <w:rsid w:val="00B83C6B"/>
    <w:rsid w:val="00B9438A"/>
    <w:rsid w:val="00C8231D"/>
    <w:rsid w:val="00CE4D2A"/>
    <w:rsid w:val="00D26903"/>
    <w:rsid w:val="00D273AC"/>
    <w:rsid w:val="00D55F2B"/>
    <w:rsid w:val="00D56B9B"/>
    <w:rsid w:val="00E11DA6"/>
    <w:rsid w:val="00E3305E"/>
    <w:rsid w:val="00ED49A6"/>
    <w:rsid w:val="00F57E41"/>
    <w:rsid w:val="00F77DF9"/>
    <w:rsid w:val="00F93A4E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0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0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EF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7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Maxwell, Nicholas</cp:lastModifiedBy>
  <cp:revision>17</cp:revision>
  <dcterms:created xsi:type="dcterms:W3CDTF">2022-03-22T17:58:00Z</dcterms:created>
  <dcterms:modified xsi:type="dcterms:W3CDTF">2023-05-23T23:07:00Z</dcterms:modified>
</cp:coreProperties>
</file>