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DB6DF8">
      <w:pPr>
        <w:spacing w:after="0" w:line="480" w:lineRule="auto"/>
        <w:rPr>
          <w:rFonts w:ascii="Times New Roman" w:hAnsi="Times New Roman" w:cs="Times New Roman"/>
          <w:sz w:val="24"/>
          <w:szCs w:val="24"/>
        </w:rPr>
      </w:pPr>
    </w:p>
    <w:p w14:paraId="0EBACA80" w14:textId="77777777" w:rsidR="00717E35" w:rsidRPr="00103A61" w:rsidRDefault="00717E35" w:rsidP="00DB6DF8">
      <w:pPr>
        <w:spacing w:after="0" w:line="480" w:lineRule="auto"/>
        <w:rPr>
          <w:rFonts w:ascii="Times New Roman" w:hAnsi="Times New Roman" w:cs="Times New Roman"/>
          <w:sz w:val="24"/>
          <w:szCs w:val="24"/>
        </w:rPr>
      </w:pPr>
    </w:p>
    <w:p w14:paraId="0A290C81" w14:textId="63D15B6C" w:rsidR="00422857" w:rsidRPr="00103A61" w:rsidRDefault="00422857" w:rsidP="00DB6DF8">
      <w:pPr>
        <w:spacing w:after="0" w:line="480" w:lineRule="auto"/>
        <w:rPr>
          <w:rFonts w:ascii="Times New Roman" w:hAnsi="Times New Roman" w:cs="Times New Roman"/>
          <w:sz w:val="24"/>
          <w:szCs w:val="24"/>
        </w:rPr>
      </w:pPr>
    </w:p>
    <w:p w14:paraId="71AD1EAA" w14:textId="197E5732" w:rsidR="00422857" w:rsidRPr="00103A61" w:rsidRDefault="00422857" w:rsidP="00DB6DF8">
      <w:pPr>
        <w:spacing w:after="0" w:line="480" w:lineRule="auto"/>
        <w:rPr>
          <w:rFonts w:ascii="Times New Roman" w:hAnsi="Times New Roman" w:cs="Times New Roman"/>
          <w:sz w:val="24"/>
          <w:szCs w:val="24"/>
        </w:rPr>
      </w:pPr>
    </w:p>
    <w:p w14:paraId="5A0A4691" w14:textId="77777777" w:rsidR="00422857" w:rsidRPr="00103A61" w:rsidRDefault="00422857" w:rsidP="00DB6DF8">
      <w:pPr>
        <w:spacing w:after="0" w:line="480" w:lineRule="auto"/>
        <w:jc w:val="center"/>
        <w:rPr>
          <w:rFonts w:ascii="Times New Roman" w:hAnsi="Times New Roman" w:cs="Times New Roman"/>
          <w:sz w:val="24"/>
          <w:szCs w:val="24"/>
        </w:rPr>
      </w:pPr>
    </w:p>
    <w:p w14:paraId="1EE3E153" w14:textId="54399FCF" w:rsidR="00422857" w:rsidRPr="00103A61" w:rsidRDefault="00422857"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4D4D0BA9" w:rsidR="00422857" w:rsidRPr="00103A61" w:rsidRDefault="00422857" w:rsidP="00DB6DF8">
      <w:pPr>
        <w:spacing w:after="0" w:line="480" w:lineRule="auto"/>
        <w:jc w:val="center"/>
        <w:rPr>
          <w:rFonts w:ascii="Times New Roman" w:hAnsi="Times New Roman" w:cs="Times New Roman"/>
          <w:sz w:val="24"/>
          <w:szCs w:val="24"/>
        </w:rPr>
      </w:pPr>
      <w:commentRangeStart w:id="0"/>
      <w:commentRangeStart w:id="1"/>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commentRangeEnd w:id="0"/>
      <w:r w:rsidR="005F6BD4" w:rsidRPr="00103A61">
        <w:rPr>
          <w:rStyle w:val="CommentReference"/>
          <w:rFonts w:ascii="Times New Roman" w:hAnsi="Times New Roman" w:cs="Times New Roman"/>
          <w:sz w:val="24"/>
          <w:szCs w:val="24"/>
        </w:rPr>
        <w:commentReference w:id="0"/>
      </w:r>
      <w:commentRangeEnd w:id="1"/>
      <w:r w:rsidR="0097313F" w:rsidRPr="00103A61">
        <w:rPr>
          <w:rStyle w:val="CommentReference"/>
          <w:rFonts w:ascii="Times New Roman" w:hAnsi="Times New Roman" w:cs="Times New Roman"/>
          <w:sz w:val="24"/>
          <w:szCs w:val="24"/>
        </w:rPr>
        <w:commentReference w:id="1"/>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72259F" w:rsidRPr="00103A61">
        <w:rPr>
          <w:rFonts w:ascii="Times New Roman" w:hAnsi="Times New Roman" w:cs="Times New Roman"/>
          <w:sz w:val="24"/>
          <w:szCs w:val="24"/>
        </w:rPr>
        <w:t xml:space="preserve"> Julia Blau</w:t>
      </w:r>
      <w:r w:rsidR="0072259F" w:rsidRPr="00103A61">
        <w:rPr>
          <w:rFonts w:ascii="Times New Roman" w:hAnsi="Times New Roman" w:cs="Times New Roman"/>
          <w:sz w:val="24"/>
          <w:szCs w:val="24"/>
          <w:vertAlign w:val="superscript"/>
        </w:rPr>
        <w:t>3</w:t>
      </w:r>
      <w:r w:rsidR="0072259F" w:rsidRPr="00103A61">
        <w:rPr>
          <w:rFonts w:ascii="Times New Roman" w:hAnsi="Times New Roman" w:cs="Times New Roman"/>
          <w:sz w:val="24"/>
          <w:szCs w:val="24"/>
        </w:rPr>
        <w:t>, Brian Day</w:t>
      </w:r>
      <w:r w:rsidR="0072259F" w:rsidRPr="00103A61">
        <w:rPr>
          <w:rFonts w:ascii="Times New Roman" w:hAnsi="Times New Roman" w:cs="Times New Roman"/>
          <w:sz w:val="24"/>
          <w:szCs w:val="24"/>
          <w:vertAlign w:val="superscript"/>
        </w:rPr>
        <w:t>4</w:t>
      </w:r>
      <w:r w:rsidR="0072259F" w:rsidRPr="00103A61">
        <w:rPr>
          <w:rFonts w:ascii="Times New Roman" w:hAnsi="Times New Roman" w:cs="Times New Roman"/>
          <w:sz w:val="24"/>
          <w:szCs w:val="24"/>
        </w:rPr>
        <w:t>, Kerry Marsh</w:t>
      </w:r>
      <w:r w:rsidR="0072259F" w:rsidRPr="00103A61">
        <w:rPr>
          <w:rFonts w:ascii="Times New Roman" w:hAnsi="Times New Roman" w:cs="Times New Roman"/>
          <w:sz w:val="24"/>
          <w:szCs w:val="24"/>
          <w:vertAlign w:val="superscript"/>
        </w:rPr>
        <w:t>5</w:t>
      </w:r>
      <w:r w:rsidR="0072259F" w:rsidRPr="00103A61">
        <w:rPr>
          <w:rFonts w:ascii="Times New Roman" w:hAnsi="Times New Roman" w:cs="Times New Roman"/>
          <w:sz w:val="24"/>
          <w:szCs w:val="24"/>
        </w:rPr>
        <w:t>, Benjamin Meagher</w:t>
      </w:r>
      <w:r w:rsidR="0072259F" w:rsidRPr="00103A61">
        <w:rPr>
          <w:rFonts w:ascii="Times New Roman" w:hAnsi="Times New Roman" w:cs="Times New Roman"/>
          <w:sz w:val="24"/>
          <w:szCs w:val="24"/>
          <w:vertAlign w:val="superscript"/>
        </w:rPr>
        <w:t>6</w:t>
      </w:r>
      <w:r w:rsidR="0072259F" w:rsidRPr="00103A61">
        <w:rPr>
          <w:rFonts w:ascii="Times New Roman" w:hAnsi="Times New Roman" w:cs="Times New Roman"/>
          <w:sz w:val="24"/>
          <w:szCs w:val="24"/>
        </w:rPr>
        <w:t>, Chris Pagano</w:t>
      </w:r>
      <w:r w:rsidR="0072259F" w:rsidRPr="00103A61">
        <w:rPr>
          <w:rFonts w:ascii="Times New Roman" w:hAnsi="Times New Roman" w:cs="Times New Roman"/>
          <w:sz w:val="24"/>
          <w:szCs w:val="24"/>
          <w:vertAlign w:val="superscript"/>
        </w:rPr>
        <w:t>7</w:t>
      </w:r>
      <w:r w:rsidR="0072259F" w:rsidRPr="00103A61">
        <w:rPr>
          <w:rFonts w:ascii="Times New Roman" w:hAnsi="Times New Roman" w:cs="Times New Roman"/>
          <w:sz w:val="24"/>
          <w:szCs w:val="24"/>
        </w:rPr>
        <w:t>, Jack Shelley-Tremblay</w:t>
      </w:r>
      <w:r w:rsidR="0072259F" w:rsidRPr="00103A61">
        <w:rPr>
          <w:rFonts w:ascii="Times New Roman" w:hAnsi="Times New Roman" w:cs="Times New Roman"/>
          <w:sz w:val="24"/>
          <w:szCs w:val="24"/>
          <w:vertAlign w:val="superscript"/>
        </w:rPr>
        <w:t>8</w:t>
      </w:r>
      <w:r w:rsidR="0072259F" w:rsidRPr="00103A61">
        <w:rPr>
          <w:rFonts w:ascii="Times New Roman" w:hAnsi="Times New Roman" w:cs="Times New Roman"/>
          <w:sz w:val="24"/>
          <w:szCs w:val="24"/>
        </w:rPr>
        <w:t>, &amp; Jeff Wagman</w:t>
      </w:r>
      <w:r w:rsidR="0097313F" w:rsidRPr="00103A61">
        <w:rPr>
          <w:rFonts w:ascii="Times New Roman" w:hAnsi="Times New Roman" w:cs="Times New Roman"/>
          <w:sz w:val="24"/>
          <w:szCs w:val="24"/>
          <w:vertAlign w:val="superscript"/>
        </w:rPr>
        <w:t>9</w:t>
      </w:r>
    </w:p>
    <w:p w14:paraId="221C023B" w14:textId="65F72B7D" w:rsidR="00422857" w:rsidRPr="00103A61" w:rsidRDefault="00422857"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r w:rsidR="0072259F" w:rsidRPr="00103A61">
        <w:rPr>
          <w:rFonts w:ascii="Times New Roman" w:hAnsi="Times New Roman" w:cs="Times New Roman"/>
          <w:sz w:val="24"/>
          <w:szCs w:val="24"/>
        </w:rPr>
        <w:t xml:space="preserve">, </w:t>
      </w:r>
      <w:r w:rsidR="0072259F" w:rsidRPr="00103A61">
        <w:rPr>
          <w:rFonts w:ascii="Times New Roman" w:hAnsi="Times New Roman" w:cs="Times New Roman"/>
          <w:sz w:val="24"/>
          <w:szCs w:val="24"/>
          <w:vertAlign w:val="superscript"/>
        </w:rPr>
        <w:t>3</w:t>
      </w:r>
      <w:r w:rsidR="0072259F" w:rsidRPr="00103A61">
        <w:rPr>
          <w:rFonts w:ascii="Times New Roman" w:hAnsi="Times New Roman" w:cs="Times New Roman"/>
          <w:sz w:val="24"/>
          <w:szCs w:val="24"/>
        </w:rPr>
        <w:t xml:space="preserve">Central Connecticut State University, </w:t>
      </w:r>
      <w:r w:rsidR="0072259F" w:rsidRPr="00103A61">
        <w:rPr>
          <w:rFonts w:ascii="Times New Roman" w:hAnsi="Times New Roman" w:cs="Times New Roman"/>
          <w:sz w:val="24"/>
          <w:szCs w:val="24"/>
          <w:vertAlign w:val="superscript"/>
        </w:rPr>
        <w:t>4</w:t>
      </w:r>
      <w:r w:rsidR="0072259F" w:rsidRPr="00103A61">
        <w:rPr>
          <w:rFonts w:ascii="Times New Roman" w:hAnsi="Times New Roman" w:cs="Times New Roman"/>
          <w:sz w:val="24"/>
          <w:szCs w:val="24"/>
        </w:rPr>
        <w:t xml:space="preserve">Butler University, </w:t>
      </w:r>
      <w:r w:rsidR="0072259F" w:rsidRPr="00103A61">
        <w:rPr>
          <w:rFonts w:ascii="Times New Roman" w:hAnsi="Times New Roman" w:cs="Times New Roman"/>
          <w:sz w:val="24"/>
          <w:szCs w:val="24"/>
          <w:vertAlign w:val="superscript"/>
        </w:rPr>
        <w:t>5</w:t>
      </w:r>
      <w:r w:rsidR="0072259F" w:rsidRPr="00103A61">
        <w:rPr>
          <w:rFonts w:ascii="Times New Roman" w:hAnsi="Times New Roman" w:cs="Times New Roman"/>
          <w:sz w:val="24"/>
          <w:szCs w:val="24"/>
        </w:rPr>
        <w:t xml:space="preserve">University of Connecticut, </w:t>
      </w:r>
      <w:r w:rsidR="0072259F" w:rsidRPr="00103A61">
        <w:rPr>
          <w:rFonts w:ascii="Times New Roman" w:hAnsi="Times New Roman" w:cs="Times New Roman"/>
          <w:sz w:val="24"/>
          <w:szCs w:val="24"/>
          <w:vertAlign w:val="superscript"/>
        </w:rPr>
        <w:t>6</w:t>
      </w:r>
      <w:r w:rsidR="0072259F" w:rsidRPr="00103A61">
        <w:rPr>
          <w:rFonts w:ascii="Times New Roman" w:hAnsi="Times New Roman" w:cs="Times New Roman"/>
          <w:sz w:val="24"/>
          <w:szCs w:val="24"/>
        </w:rPr>
        <w:t xml:space="preserve">Hope College, </w:t>
      </w:r>
      <w:r w:rsidR="0072259F" w:rsidRPr="00103A61">
        <w:rPr>
          <w:rFonts w:ascii="Times New Roman" w:hAnsi="Times New Roman" w:cs="Times New Roman"/>
          <w:sz w:val="24"/>
          <w:szCs w:val="24"/>
          <w:vertAlign w:val="superscript"/>
        </w:rPr>
        <w:t>7</w:t>
      </w:r>
      <w:r w:rsidR="0072259F" w:rsidRPr="00103A61">
        <w:rPr>
          <w:rFonts w:ascii="Times New Roman" w:hAnsi="Times New Roman" w:cs="Times New Roman"/>
          <w:sz w:val="24"/>
          <w:szCs w:val="24"/>
        </w:rPr>
        <w:t xml:space="preserve">Clemson University, </w:t>
      </w:r>
      <w:r w:rsidR="0072259F" w:rsidRPr="00103A61">
        <w:rPr>
          <w:rFonts w:ascii="Times New Roman" w:hAnsi="Times New Roman" w:cs="Times New Roman"/>
          <w:sz w:val="24"/>
          <w:szCs w:val="24"/>
          <w:vertAlign w:val="superscript"/>
        </w:rPr>
        <w:t>8</w:t>
      </w:r>
      <w:r w:rsidR="0072259F" w:rsidRPr="00103A61">
        <w:rPr>
          <w:rFonts w:ascii="Times New Roman" w:hAnsi="Times New Roman" w:cs="Times New Roman"/>
          <w:sz w:val="24"/>
          <w:szCs w:val="24"/>
        </w:rPr>
        <w:t>The University of South Alabama,</w:t>
      </w:r>
      <w:r w:rsidR="002C602B" w:rsidRPr="00103A61">
        <w:rPr>
          <w:rFonts w:ascii="Times New Roman" w:hAnsi="Times New Roman" w:cs="Times New Roman"/>
          <w:sz w:val="24"/>
          <w:szCs w:val="24"/>
        </w:rPr>
        <w:t xml:space="preserve"> </w:t>
      </w:r>
      <w:r w:rsidR="0097313F" w:rsidRPr="00103A61">
        <w:rPr>
          <w:rFonts w:ascii="Times New Roman" w:hAnsi="Times New Roman" w:cs="Times New Roman"/>
          <w:sz w:val="24"/>
          <w:szCs w:val="24"/>
          <w:vertAlign w:val="superscript"/>
        </w:rPr>
        <w:t>9</w:t>
      </w:r>
      <w:r w:rsidR="0072259F" w:rsidRPr="00103A61">
        <w:rPr>
          <w:rFonts w:ascii="Times New Roman" w:hAnsi="Times New Roman" w:cs="Times New Roman"/>
          <w:sz w:val="24"/>
          <w:szCs w:val="24"/>
        </w:rPr>
        <w:t>Illinois State University</w:t>
      </w:r>
    </w:p>
    <w:p w14:paraId="1CC1D919" w14:textId="53B24C21" w:rsidR="00422857" w:rsidRPr="00103A61" w:rsidRDefault="00422857" w:rsidP="00DB6DF8">
      <w:pPr>
        <w:spacing w:after="0" w:line="480" w:lineRule="auto"/>
        <w:jc w:val="center"/>
        <w:rPr>
          <w:rFonts w:ascii="Times New Roman" w:hAnsi="Times New Roman" w:cs="Times New Roman"/>
          <w:sz w:val="24"/>
          <w:szCs w:val="24"/>
        </w:rPr>
      </w:pPr>
    </w:p>
    <w:p w14:paraId="7A1F62BB" w14:textId="211B8A7C" w:rsidR="00422857" w:rsidRPr="00103A61" w:rsidRDefault="00422857" w:rsidP="00DB6DF8">
      <w:pPr>
        <w:spacing w:after="0" w:line="480" w:lineRule="auto"/>
        <w:jc w:val="center"/>
        <w:rPr>
          <w:rFonts w:ascii="Times New Roman" w:hAnsi="Times New Roman" w:cs="Times New Roman"/>
          <w:sz w:val="24"/>
          <w:szCs w:val="24"/>
        </w:rPr>
      </w:pPr>
    </w:p>
    <w:p w14:paraId="2B1F333A" w14:textId="66FD0B04" w:rsidR="00717E35" w:rsidRPr="00103A61" w:rsidRDefault="00717E35" w:rsidP="00DB6DF8">
      <w:pPr>
        <w:spacing w:after="0" w:line="480" w:lineRule="auto"/>
        <w:rPr>
          <w:rFonts w:ascii="Times New Roman" w:hAnsi="Times New Roman" w:cs="Times New Roman"/>
          <w:sz w:val="24"/>
          <w:szCs w:val="24"/>
        </w:rPr>
      </w:pPr>
    </w:p>
    <w:p w14:paraId="60CC5250" w14:textId="77777777" w:rsidR="0097313F" w:rsidRPr="00103A61" w:rsidRDefault="0097313F" w:rsidP="00DB6DF8">
      <w:pPr>
        <w:spacing w:after="0" w:line="480" w:lineRule="auto"/>
        <w:rPr>
          <w:rFonts w:ascii="Times New Roman" w:hAnsi="Times New Roman" w:cs="Times New Roman"/>
          <w:sz w:val="24"/>
          <w:szCs w:val="24"/>
        </w:rPr>
      </w:pPr>
    </w:p>
    <w:p w14:paraId="149C7538" w14:textId="77777777" w:rsidR="00717E35" w:rsidRPr="00103A61" w:rsidRDefault="00717E35" w:rsidP="00DB6DF8">
      <w:pPr>
        <w:spacing w:after="0" w:line="480" w:lineRule="auto"/>
        <w:jc w:val="center"/>
        <w:rPr>
          <w:rFonts w:ascii="Times New Roman" w:hAnsi="Times New Roman" w:cs="Times New Roman"/>
          <w:sz w:val="24"/>
          <w:szCs w:val="24"/>
        </w:rPr>
      </w:pPr>
    </w:p>
    <w:p w14:paraId="3C0943F8" w14:textId="174A4BBE" w:rsidR="00422857" w:rsidRPr="00103A61" w:rsidRDefault="00422857"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2F09F1A3" w:rsidR="00422857" w:rsidRPr="00094379" w:rsidRDefault="00422857" w:rsidP="00094379">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E0746D" w:rsidRPr="00103A61">
        <w:rPr>
          <w:rFonts w:ascii="Times New Roman" w:hAnsi="Times New Roman" w:cs="Times New Roman"/>
          <w:sz w:val="24"/>
          <w:szCs w:val="24"/>
        </w:rPr>
        <w:t xml:space="preserve">our </w:t>
      </w:r>
      <w:r w:rsidR="00D108A8" w:rsidRPr="00103A61">
        <w:rPr>
          <w:rFonts w:ascii="Times New Roman" w:hAnsi="Times New Roman" w:cs="Times New Roman"/>
          <w:sz w:val="24"/>
          <w:szCs w:val="24"/>
        </w:rPr>
        <w:t>OSF</w:t>
      </w:r>
      <w:r w:rsidR="00144C69" w:rsidRPr="00103A61">
        <w:rPr>
          <w:rFonts w:ascii="Times New Roman" w:hAnsi="Times New Roman" w:cs="Times New Roman"/>
          <w:sz w:val="24"/>
          <w:szCs w:val="24"/>
        </w:rPr>
        <w:t xml:space="preserve"> page</w:t>
      </w:r>
      <w:r w:rsidR="00D108A8"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highlight w:val="green"/>
        </w:rPr>
        <w:t>[LINK]</w:t>
      </w:r>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 </w:t>
      </w:r>
      <w:r w:rsidR="00D108A8" w:rsidRPr="00103A61">
        <w:rPr>
          <w:rFonts w:ascii="Times New Roman" w:hAnsi="Times New Roman" w:cs="Times New Roman"/>
          <w:sz w:val="24"/>
          <w:szCs w:val="24"/>
          <w:highlight w:val="green"/>
        </w:rPr>
        <w:t>[LINK]</w:t>
      </w:r>
      <w:r w:rsidR="0097313F" w:rsidRPr="00103A61">
        <w:rPr>
          <w:rFonts w:ascii="Times New Roman" w:hAnsi="Times New Roman" w:cs="Times New Roman"/>
          <w:sz w:val="24"/>
          <w:szCs w:val="24"/>
        </w:rPr>
        <w:t xml:space="preserve">. The authors thank </w:t>
      </w:r>
      <w:commentRangeStart w:id="2"/>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2"/>
      <w:r w:rsidR="002979D1" w:rsidRPr="00103A61">
        <w:rPr>
          <w:rStyle w:val="CommentReference"/>
          <w:rFonts w:ascii="Times New Roman" w:hAnsi="Times New Roman" w:cs="Times New Roman"/>
          <w:sz w:val="24"/>
          <w:szCs w:val="24"/>
        </w:rPr>
        <w:commentReference w:id="2"/>
      </w:r>
      <w:r w:rsidR="0097313F" w:rsidRPr="00103A61">
        <w:rPr>
          <w:rFonts w:ascii="Times New Roman" w:hAnsi="Times New Roman" w:cs="Times New Roman"/>
          <w:sz w:val="24"/>
          <w:szCs w:val="24"/>
        </w:rPr>
        <w:t>for their assistance with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5F059F0D" w:rsidR="006417EB" w:rsidRPr="00103A61" w:rsidRDefault="006417EB" w:rsidP="00DB6DF8">
      <w:pPr>
        <w:spacing w:after="0" w:line="480" w:lineRule="auto"/>
        <w:rPr>
          <w:rFonts w:ascii="Times New Roman" w:hAnsi="Times New Roman" w:cs="Times New Roman"/>
          <w:sz w:val="24"/>
          <w:szCs w:val="24"/>
        </w:rPr>
      </w:pPr>
      <w:commentRangeStart w:id="3"/>
      <w:r w:rsidRPr="00103A61">
        <w:rPr>
          <w:rFonts w:ascii="Times New Roman" w:hAnsi="Times New Roman" w:cs="Times New Roman"/>
          <w:sz w:val="24"/>
          <w:szCs w:val="24"/>
        </w:rPr>
        <w:t>Objects</w:t>
      </w:r>
      <w:commentRangeEnd w:id="3"/>
      <w:r w:rsidRPr="00103A61">
        <w:rPr>
          <w:rStyle w:val="CommentReference"/>
          <w:rFonts w:ascii="Times New Roman" w:hAnsi="Times New Roman" w:cs="Times New Roman"/>
          <w:sz w:val="24"/>
          <w:szCs w:val="24"/>
        </w:rPr>
        <w:commentReference w:id="3"/>
      </w:r>
      <w:r w:rsidRPr="00103A61">
        <w:rPr>
          <w:rFonts w:ascii="Times New Roman" w:hAnsi="Times New Roman" w:cs="Times New Roman"/>
          <w:sz w:val="24"/>
          <w:szCs w:val="24"/>
        </w:rPr>
        <w:t xml:space="preserve">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w:t>
      </w:r>
      <w:proofErr w:type="gramStart"/>
      <w:r w:rsidRPr="00103A61">
        <w:rPr>
          <w:rFonts w:ascii="Times New Roman" w:hAnsi="Times New Roman" w:cs="Times New Roman"/>
          <w:sz w:val="24"/>
          <w:szCs w:val="24"/>
        </w:rPr>
        <w:t>AFS;</w:t>
      </w:r>
      <w:proofErr w:type="gramEnd"/>
      <w:r w:rsidRPr="00103A61">
        <w:rPr>
          <w:rFonts w:ascii="Times New Roman" w:hAnsi="Times New Roman" w:cs="Times New Roman"/>
          <w:sz w:val="24"/>
          <w:szCs w:val="24"/>
        </w:rPr>
        <w:t xml:space="preserve"> i.e., probability of an item eliciting a particular action response) and affordance set-size (AFSS; i.e., total number of unique action responses) for each item. Because our stimuli overlapped with </w:t>
      </w:r>
      <w:proofErr w:type="spellStart"/>
      <w:r w:rsidRPr="00103A61">
        <w:rPr>
          <w:rFonts w:ascii="Times New Roman" w:hAnsi="Times New Roman" w:cs="Times New Roman"/>
          <w:sz w:val="24"/>
          <w:szCs w:val="24"/>
        </w:rPr>
        <w:t>Pexman</w:t>
      </w:r>
      <w:proofErr w:type="spellEnd"/>
      <w:r w:rsidRPr="00103A61">
        <w:rPr>
          <w:rFonts w:ascii="Times New Roman" w:hAnsi="Times New Roman" w:cs="Times New Roman"/>
          <w:sz w:val="24"/>
          <w:szCs w:val="24"/>
        </w:rPr>
        <w:t xml:space="preserve">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AFSS was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775597A2" w14:textId="37641C24" w:rsidR="00717E35" w:rsidRPr="00103A61" w:rsidRDefault="00717E35"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DB6DF8">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DB6DF8">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48E3B3F0" w:rsidR="00431BB6" w:rsidRPr="00103A61" w:rsidRDefault="006A758B" w:rsidP="002C39A9">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rPr>
        <w:t>From an empirical standpoint,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C4947" w:rsidRPr="00103A61">
        <w:rPr>
          <w:rFonts w:ascii="Times New Roman" w:hAnsi="Times New Roman" w:cs="Times New Roman"/>
          <w:sz w:val="24"/>
          <w:szCs w:val="24"/>
        </w:rPr>
        <w:t xml:space="preserve">to describe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103A61">
        <w:rPr>
          <w:rFonts w:ascii="Times New Roman" w:hAnsi="Times New Roman" w:cs="Times New Roman"/>
          <w:sz w:val="24"/>
          <w:szCs w:val="24"/>
          <w:highlight w:val="cyan"/>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highlight w:val="cyan"/>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103A61">
        <w:rPr>
          <w:rFonts w:ascii="Times New Roman" w:hAnsi="Times New Roman" w:cs="Times New Roman"/>
          <w:sz w:val="24"/>
          <w:szCs w:val="24"/>
          <w:highlight w:val="cyan"/>
        </w:rPr>
        <w:t>see Nelson</w:t>
      </w:r>
      <w:r w:rsidR="0029351D" w:rsidRPr="00103A61">
        <w:rPr>
          <w:rFonts w:ascii="Times New Roman" w:hAnsi="Times New Roman" w:cs="Times New Roman"/>
          <w:sz w:val="24"/>
          <w:szCs w:val="24"/>
          <w:highlight w:val="cyan"/>
        </w:rPr>
        <w:t>, McEvoy, &amp; Dennis</w:t>
      </w:r>
      <w:r w:rsidR="001F1A87" w:rsidRPr="00103A61">
        <w:rPr>
          <w:rFonts w:ascii="Times New Roman" w:hAnsi="Times New Roman" w:cs="Times New Roman"/>
          <w:sz w:val="24"/>
          <w:szCs w:val="24"/>
          <w:highlight w:val="cyan"/>
        </w:rPr>
        <w:t>, 2000</w:t>
      </w:r>
      <w:r w:rsidR="001F1A87" w:rsidRPr="00103A61">
        <w:rPr>
          <w:rFonts w:ascii="Times New Roman" w:hAnsi="Times New Roman" w:cs="Times New Roman"/>
          <w:sz w:val="24"/>
          <w:szCs w:val="24"/>
        </w:rPr>
        <w:t>).</w:t>
      </w:r>
      <w:r w:rsidR="00874B15"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As a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assess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4DC04A30" w:rsidR="00C77031" w:rsidRPr="00103A61" w:rsidRDefault="00F46545" w:rsidP="00C77031">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map</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these concept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103A61">
        <w:rPr>
          <w:rFonts w:ascii="Times New Roman" w:hAnsi="Times New Roman" w:cs="Times New Roman"/>
          <w:sz w:val="24"/>
          <w:szCs w:val="24"/>
          <w:highlight w:val="cyan"/>
        </w:rPr>
        <w:t>Buchanan, Valentine, &amp; Maxwell, 2019a</w:t>
      </w:r>
      <w:r w:rsidR="0029351D" w:rsidRPr="00103A61">
        <w:rPr>
          <w:rFonts w:ascii="Times New Roman" w:hAnsi="Times New Roman" w:cs="Times New Roman"/>
          <w:sz w:val="24"/>
          <w:szCs w:val="24"/>
        </w:rPr>
        <w:t xml:space="preserve">; </w:t>
      </w:r>
      <w:r w:rsidR="0029351D" w:rsidRPr="00103A61">
        <w:rPr>
          <w:rFonts w:ascii="Times New Roman" w:hAnsi="Times New Roman" w:cs="Times New Roman"/>
          <w:sz w:val="24"/>
          <w:szCs w:val="24"/>
          <w:highlight w:val="cyan"/>
        </w:rPr>
        <w:t xml:space="preserve">McRae, Seidenberg, Cree, &amp; </w:t>
      </w:r>
      <w:proofErr w:type="spellStart"/>
      <w:r w:rsidR="0029351D" w:rsidRPr="00103A61">
        <w:rPr>
          <w:rFonts w:ascii="Times New Roman" w:hAnsi="Times New Roman" w:cs="Times New Roman"/>
          <w:sz w:val="24"/>
          <w:szCs w:val="24"/>
          <w:highlight w:val="cyan"/>
        </w:rPr>
        <w:t>McNorgon</w:t>
      </w:r>
      <w:proofErr w:type="spellEnd"/>
      <w:r w:rsidR="0029351D" w:rsidRPr="00103A61">
        <w:rPr>
          <w:rFonts w:ascii="Times New Roman" w:hAnsi="Times New Roman" w:cs="Times New Roman"/>
          <w:sz w:val="24"/>
          <w:szCs w:val="24"/>
          <w:highlight w:val="cyan"/>
        </w:rPr>
        <w:t>, 2005</w:t>
      </w:r>
      <w:r w:rsidR="0029351D" w:rsidRPr="00103A61">
        <w:rPr>
          <w:rFonts w:ascii="Times New Roman" w:hAnsi="Times New Roman" w:cs="Times New Roman"/>
          <w:sz w:val="24"/>
          <w:szCs w:val="24"/>
        </w:rPr>
        <w:t xml:space="preserve">; associated concepts; </w:t>
      </w:r>
      <w:r w:rsidR="0029351D" w:rsidRPr="00103A61">
        <w:rPr>
          <w:rFonts w:ascii="Times New Roman" w:hAnsi="Times New Roman" w:cs="Times New Roman"/>
          <w:sz w:val="24"/>
          <w:szCs w:val="24"/>
          <w:highlight w:val="cyan"/>
        </w:rPr>
        <w:t xml:space="preserve">De Deyne, Navarro, </w:t>
      </w:r>
      <w:proofErr w:type="spellStart"/>
      <w:r w:rsidR="0029351D" w:rsidRPr="00103A61">
        <w:rPr>
          <w:rFonts w:ascii="Times New Roman" w:hAnsi="Times New Roman" w:cs="Times New Roman"/>
          <w:sz w:val="24"/>
          <w:szCs w:val="24"/>
          <w:highlight w:val="cyan"/>
        </w:rPr>
        <w:t>Perfors</w:t>
      </w:r>
      <w:proofErr w:type="spellEnd"/>
      <w:r w:rsidR="0029351D" w:rsidRPr="00103A61">
        <w:rPr>
          <w:rFonts w:ascii="Times New Roman" w:hAnsi="Times New Roman" w:cs="Times New Roman"/>
          <w:sz w:val="24"/>
          <w:szCs w:val="24"/>
          <w:highlight w:val="cyan"/>
        </w:rPr>
        <w:t xml:space="preserve">, </w:t>
      </w:r>
      <w:proofErr w:type="spellStart"/>
      <w:r w:rsidR="0029351D" w:rsidRPr="00103A61">
        <w:rPr>
          <w:rFonts w:ascii="Times New Roman" w:hAnsi="Times New Roman" w:cs="Times New Roman"/>
          <w:sz w:val="24"/>
          <w:szCs w:val="24"/>
          <w:highlight w:val="cyan"/>
        </w:rPr>
        <w:t>Brsybaert</w:t>
      </w:r>
      <w:proofErr w:type="spellEnd"/>
      <w:r w:rsidR="0029351D" w:rsidRPr="00103A61">
        <w:rPr>
          <w:rFonts w:ascii="Times New Roman" w:hAnsi="Times New Roman" w:cs="Times New Roman"/>
          <w:sz w:val="24"/>
          <w:szCs w:val="24"/>
          <w:highlight w:val="cyan"/>
        </w:rPr>
        <w:t>, &amp; Storms, 2019</w:t>
      </w:r>
      <w:r w:rsidR="0029351D" w:rsidRPr="00103A61">
        <w:rPr>
          <w:rFonts w:ascii="Times New Roman" w:hAnsi="Times New Roman" w:cs="Times New Roman"/>
          <w:sz w:val="24"/>
          <w:szCs w:val="24"/>
        </w:rPr>
        <w:t xml:space="preserve">; </w:t>
      </w:r>
      <w:r w:rsidR="0029351D" w:rsidRPr="00103A61">
        <w:rPr>
          <w:rFonts w:ascii="Times New Roman" w:hAnsi="Times New Roman" w:cs="Times New Roman"/>
          <w:sz w:val="24"/>
          <w:szCs w:val="24"/>
          <w:highlight w:val="cyan"/>
        </w:rPr>
        <w:t>Nelson, McEvoy, &amp; Schreiber, 2004</w:t>
      </w:r>
      <w:r w:rsidR="0029351D" w:rsidRPr="00103A61">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 </w:t>
      </w:r>
      <w:r w:rsidR="001C02C8" w:rsidRPr="00103A61">
        <w:rPr>
          <w:rFonts w:ascii="Times New Roman" w:hAnsi="Times New Roman" w:cs="Times New Roman"/>
          <w:sz w:val="24"/>
          <w:szCs w:val="24"/>
        </w:rPr>
        <w:t xml:space="preserve">an increased </w:t>
      </w:r>
      <w:r w:rsidR="00C77031" w:rsidRPr="00103A61">
        <w:rPr>
          <w:rFonts w:ascii="Times New Roman" w:hAnsi="Times New Roman" w:cs="Times New Roman"/>
          <w:sz w:val="24"/>
          <w:szCs w:val="24"/>
        </w:rPr>
        <w:t xml:space="preserve">ease in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 xml:space="preserve">data collection afforded by online methods. As a result, large sets of feature production and free association norms are available for a variety of languages, with more recent work focusing on ensuring that sufficient overlap exists between databases containing different measures (i.e., that concepts are measured on both semantic and associative variables; see </w:t>
      </w:r>
      <w:r w:rsidR="00C77031" w:rsidRPr="00103A61">
        <w:rPr>
          <w:rFonts w:ascii="Times New Roman" w:hAnsi="Times New Roman" w:cs="Times New Roman"/>
          <w:sz w:val="24"/>
          <w:szCs w:val="24"/>
          <w:highlight w:val="cyan"/>
        </w:rPr>
        <w:t>Buchanan, Valentine, &amp; Maxwell, 2019b</w:t>
      </w:r>
      <w:r w:rsidR="00C77031" w:rsidRPr="00103A61">
        <w:rPr>
          <w:rFonts w:ascii="Times New Roman" w:hAnsi="Times New Roman" w:cs="Times New Roman"/>
          <w:sz w:val="24"/>
          <w:szCs w:val="24"/>
        </w:rPr>
        <w:t xml:space="preserve">). </w:t>
      </w:r>
    </w:p>
    <w:p w14:paraId="052DC558" w14:textId="3F77CA67" w:rsidR="00AF6407" w:rsidRPr="00103A61" w:rsidRDefault="0050537B" w:rsidP="003638C4">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7D06CA" w:rsidRPr="00103A61">
        <w:rPr>
          <w:rFonts w:ascii="Times New Roman" w:hAnsi="Times New Roman" w:cs="Times New Roman"/>
          <w:sz w:val="24"/>
          <w:szCs w:val="24"/>
        </w:rPr>
        <w:t xml:space="preserve">As such,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 xml:space="preserve">measures that reflect </w:t>
      </w:r>
      <w:r w:rsidR="003638C4" w:rsidRPr="00103A61">
        <w:rPr>
          <w:rFonts w:ascii="Times New Roman" w:hAnsi="Times New Roman" w:cs="Times New Roman"/>
          <w:sz w:val="24"/>
          <w:szCs w:val="24"/>
        </w:rPr>
        <w:t>several</w:t>
      </w:r>
      <w:r w:rsidR="007D06CA" w:rsidRPr="00103A61">
        <w:rPr>
          <w:rFonts w:ascii="Times New Roman" w:hAnsi="Times New Roman" w:cs="Times New Roman"/>
          <w:sz w:val="24"/>
          <w:szCs w:val="24"/>
        </w:rPr>
        <w:t xml:space="preserve"> dimensions of meaning is paramount for understanding how individuals process concept information.</w:t>
      </w:r>
      <w:r w:rsidR="003638C4" w:rsidRPr="00103A61">
        <w:rPr>
          <w:rFonts w:ascii="Times New Roman" w:hAnsi="Times New Roman" w:cs="Times New Roman"/>
          <w:sz w:val="24"/>
          <w:szCs w:val="24"/>
        </w:rPr>
        <w:t xml:space="preserve"> Recently,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r w:rsidR="003638C4" w:rsidRPr="00103A61">
        <w:rPr>
          <w:rFonts w:ascii="Times New Roman" w:hAnsi="Times New Roman" w:cs="Times New Roman"/>
          <w:sz w:val="24"/>
          <w:szCs w:val="24"/>
          <w:highlight w:val="cyan"/>
        </w:rPr>
        <w:t>Barsalou, 1999</w:t>
      </w:r>
      <w:r w:rsidR="003638C4"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highlight w:val="cyan"/>
        </w:rPr>
        <w:t>Glenberg, 2015</w:t>
      </w:r>
      <w:r w:rsidR="00933174">
        <w:rPr>
          <w:rFonts w:ascii="Times New Roman" w:hAnsi="Times New Roman" w:cs="Times New Roman"/>
          <w:sz w:val="24"/>
          <w:szCs w:val="24"/>
        </w:rPr>
        <w:t>;</w:t>
      </w:r>
      <w:r w:rsidR="00933174" w:rsidRPr="00933174">
        <w:rPr>
          <w:rFonts w:ascii="Times New Roman" w:hAnsi="Times New Roman" w:cs="Times New Roman"/>
          <w:sz w:val="24"/>
          <w:szCs w:val="24"/>
          <w:highlight w:val="cyan"/>
        </w:rPr>
        <w:t xml:space="preserve"> </w:t>
      </w:r>
      <w:r w:rsidR="00933174" w:rsidRPr="00103A61">
        <w:rPr>
          <w:rFonts w:ascii="Times New Roman" w:hAnsi="Times New Roman" w:cs="Times New Roman"/>
          <w:sz w:val="24"/>
          <w:szCs w:val="24"/>
          <w:highlight w:val="cyan"/>
        </w:rPr>
        <w:t>Glenberg &amp; Gallese,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CB085D" w:rsidRPr="00103A61">
        <w:rPr>
          <w:rFonts w:ascii="Times New Roman" w:hAnsi="Times New Roman" w:cs="Times New Roman"/>
          <w:sz w:val="24"/>
          <w:szCs w:val="24"/>
        </w:rPr>
        <w:t xml:space="preserve"> e.g., </w:t>
      </w:r>
      <w:r w:rsidR="00CB085D" w:rsidRPr="00103A61">
        <w:rPr>
          <w:rFonts w:ascii="Times New Roman" w:hAnsi="Times New Roman" w:cs="Times New Roman"/>
          <w:sz w:val="24"/>
          <w:szCs w:val="24"/>
          <w:highlight w:val="cyan"/>
        </w:rPr>
        <w:t>Barsalou, 2008</w:t>
      </w:r>
      <w:r w:rsidR="00CB085D" w:rsidRPr="00103A61">
        <w:rPr>
          <w:rFonts w:ascii="Times New Roman" w:hAnsi="Times New Roman" w:cs="Times New Roman"/>
          <w:sz w:val="24"/>
          <w:szCs w:val="24"/>
        </w:rPr>
        <w:t>).</w:t>
      </w:r>
      <w:r w:rsidR="002D3DE2" w:rsidRPr="00103A61">
        <w:rPr>
          <w:rFonts w:ascii="Times New Roman" w:hAnsi="Times New Roman" w:cs="Times New Roman"/>
          <w:sz w:val="24"/>
          <w:szCs w:val="24"/>
        </w:rPr>
        <w:t xml:space="preserve"> </w:t>
      </w:r>
      <w:r w:rsidR="00611913" w:rsidRPr="00103A61">
        <w:rPr>
          <w:rFonts w:ascii="Times New Roman" w:hAnsi="Times New Roman" w:cs="Times New Roman"/>
          <w:sz w:val="24"/>
          <w:szCs w:val="24"/>
        </w:rPr>
        <w:t>As such</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103A61">
        <w:rPr>
          <w:rFonts w:ascii="Times New Roman" w:hAnsi="Times New Roman" w:cs="Times New Roman"/>
          <w:sz w:val="24"/>
          <w:szCs w:val="24"/>
          <w:highlight w:val="cyan"/>
        </w:rPr>
        <w:t>Gibson, 1977</w:t>
      </w:r>
      <w:r w:rsidR="00CB6609" w:rsidRPr="00103A61">
        <w:rPr>
          <w:rFonts w:ascii="Times New Roman" w:hAnsi="Times New Roman" w:cs="Times New Roman"/>
          <w:sz w:val="24"/>
          <w:szCs w:val="24"/>
        </w:rPr>
        <w:t xml:space="preserve">) is critical </w:t>
      </w:r>
      <w:r w:rsidR="00611913" w:rsidRPr="00103A61">
        <w:rPr>
          <w:rFonts w:ascii="Times New Roman" w:hAnsi="Times New Roman" w:cs="Times New Roman"/>
          <w:sz w:val="24"/>
          <w:szCs w:val="24"/>
        </w:rPr>
        <w:t xml:space="preserve">for understanding of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 xml:space="preserve">emphasize and object’s </w:t>
      </w:r>
      <w:r w:rsidR="00851E95" w:rsidRPr="00103A61">
        <w:rPr>
          <w:rFonts w:ascii="Times New Roman" w:hAnsi="Times New Roman" w:cs="Times New Roman"/>
          <w:sz w:val="24"/>
          <w:szCs w:val="24"/>
        </w:rPr>
        <w:lastRenderedPageBreak/>
        <w:t>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1EF0F239" w:rsidR="00657F45" w:rsidRPr="00103A61" w:rsidRDefault="00526469" w:rsidP="005F69BB">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and colleagues (</w:t>
      </w:r>
      <w:r w:rsidR="00A958F1" w:rsidRPr="00103A61">
        <w:rPr>
          <w:rFonts w:ascii="Times New Roman" w:hAnsi="Times New Roman" w:cs="Times New Roman"/>
          <w:sz w:val="24"/>
          <w:szCs w:val="24"/>
          <w:highlight w:val="cyan"/>
        </w:rPr>
        <w:t xml:space="preserve">Muraki, Siddiqui,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2022</w:t>
      </w:r>
      <w:r w:rsidR="00A958F1" w:rsidRPr="00103A61">
        <w:rPr>
          <w:rFonts w:ascii="Times New Roman" w:hAnsi="Times New Roman" w:cs="Times New Roman"/>
          <w:sz w:val="24"/>
          <w:szCs w:val="24"/>
        </w:rPr>
        <w:t xml:space="preserve">; </w:t>
      </w:r>
      <w:proofErr w:type="spellStart"/>
      <w:r w:rsidR="00D97657" w:rsidRPr="00103A61">
        <w:rPr>
          <w:rFonts w:ascii="Times New Roman" w:hAnsi="Times New Roman" w:cs="Times New Roman"/>
          <w:sz w:val="24"/>
          <w:szCs w:val="24"/>
          <w:highlight w:val="cyan"/>
        </w:rPr>
        <w:t>Pexman</w:t>
      </w:r>
      <w:proofErr w:type="spellEnd"/>
      <w:r w:rsidR="00D97657" w:rsidRPr="00103A61">
        <w:rPr>
          <w:rFonts w:ascii="Times New Roman" w:hAnsi="Times New Roman" w:cs="Times New Roman"/>
          <w:sz w:val="24"/>
          <w:szCs w:val="24"/>
          <w:highlight w:val="cyan"/>
        </w:rPr>
        <w:t xml:space="preserve">, Muraki, Sidhu, </w:t>
      </w:r>
      <w:proofErr w:type="spellStart"/>
      <w:r w:rsidR="00D97657" w:rsidRPr="00103A61">
        <w:rPr>
          <w:rFonts w:ascii="Times New Roman" w:hAnsi="Times New Roman" w:cs="Times New Roman"/>
          <w:sz w:val="24"/>
          <w:szCs w:val="24"/>
          <w:highlight w:val="cyan"/>
        </w:rPr>
        <w:t>Siakaluk</w:t>
      </w:r>
      <w:proofErr w:type="spellEnd"/>
      <w:r w:rsidR="00D97657" w:rsidRPr="00103A61">
        <w:rPr>
          <w:rFonts w:ascii="Times New Roman" w:hAnsi="Times New Roman" w:cs="Times New Roman"/>
          <w:sz w:val="24"/>
          <w:szCs w:val="24"/>
          <w:highlight w:val="cyan"/>
        </w:rPr>
        <w:t xml:space="preserve">, </w:t>
      </w:r>
      <w:r w:rsidR="00A958F1" w:rsidRPr="00103A61">
        <w:rPr>
          <w:rFonts w:ascii="Times New Roman" w:hAnsi="Times New Roman" w:cs="Times New Roman"/>
          <w:sz w:val="24"/>
          <w:szCs w:val="24"/>
          <w:highlight w:val="cyan"/>
        </w:rPr>
        <w:t xml:space="preserve">&amp; </w:t>
      </w:r>
      <w:r w:rsidR="00D97657" w:rsidRPr="00103A61">
        <w:rPr>
          <w:rFonts w:ascii="Times New Roman" w:hAnsi="Times New Roman" w:cs="Times New Roman"/>
          <w:sz w:val="24"/>
          <w:szCs w:val="24"/>
          <w:highlight w:val="cyan"/>
        </w:rPr>
        <w:t>Yap</w:t>
      </w:r>
      <w:r w:rsidR="00A958F1" w:rsidRPr="00103A61">
        <w:rPr>
          <w:rFonts w:ascii="Times New Roman" w:hAnsi="Times New Roman" w:cs="Times New Roman"/>
          <w:sz w:val="24"/>
          <w:szCs w:val="24"/>
          <w:highlight w:val="cyan"/>
        </w:rPr>
        <w:t xml:space="preserve">, </w:t>
      </w:r>
      <w:r w:rsidR="00D97657" w:rsidRPr="00103A61">
        <w:rPr>
          <w:rFonts w:ascii="Times New Roman" w:hAnsi="Times New Roman" w:cs="Times New Roman"/>
          <w:sz w:val="24"/>
          <w:szCs w:val="24"/>
          <w:highlight w:val="cyan"/>
        </w:rPr>
        <w:t>2019</w:t>
      </w:r>
      <w:r w:rsidR="00A958F1"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highlight w:val="cyan"/>
        </w:rPr>
        <w:t xml:space="preserve">Tillotson, </w:t>
      </w:r>
      <w:proofErr w:type="spellStart"/>
      <w:r w:rsidR="00A958F1" w:rsidRPr="00103A61">
        <w:rPr>
          <w:rFonts w:ascii="Times New Roman" w:hAnsi="Times New Roman" w:cs="Times New Roman"/>
          <w:sz w:val="24"/>
          <w:szCs w:val="24"/>
          <w:highlight w:val="cyan"/>
        </w:rPr>
        <w:t>Siakaluk</w:t>
      </w:r>
      <w:proofErr w:type="spellEnd"/>
      <w:r w:rsidR="00A958F1" w:rsidRPr="00103A61">
        <w:rPr>
          <w:rFonts w:ascii="Times New Roman" w:hAnsi="Times New Roman" w:cs="Times New Roman"/>
          <w:sz w:val="24"/>
          <w:szCs w:val="24"/>
          <w:highlight w:val="cyan"/>
        </w:rPr>
        <w:t xml:space="preserve">,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2008</w:t>
      </w:r>
      <w:r w:rsidR="00D97657" w:rsidRPr="00103A61">
        <w:rPr>
          <w:rFonts w:ascii="Times New Roman" w:hAnsi="Times New Roman" w:cs="Times New Roman"/>
          <w:sz w:val="24"/>
          <w:szCs w:val="24"/>
          <w:highlight w:val="cyan"/>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D97657" w:rsidRPr="00103A61">
        <w:rPr>
          <w:rFonts w:ascii="Times New Roman" w:hAnsi="Times New Roman" w:cs="Times New Roman"/>
          <w:sz w:val="24"/>
          <w:szCs w:val="24"/>
        </w:rPr>
        <w:t xml:space="preserve">attempted to quantify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xml:space="preserve">. Recently,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D97657" w:rsidRPr="00103A61">
        <w:rPr>
          <w:rFonts w:ascii="Times New Roman" w:hAnsi="Times New Roman" w:cs="Times New Roman"/>
          <w:sz w:val="24"/>
          <w:szCs w:val="24"/>
        </w:rPr>
        <w:t xml:space="preserve"> higher values denotate</w:t>
      </w:r>
      <w:r w:rsidR="00D16D9A" w:rsidRPr="00103A61">
        <w:rPr>
          <w:rFonts w:ascii="Times New Roman" w:hAnsi="Times New Roman" w:cs="Times New Roman"/>
          <w:sz w:val="24"/>
          <w:szCs w:val="24"/>
        </w:rPr>
        <w:t>d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proofErr w:type="spellStart"/>
      <w:r w:rsidR="00D16D9A" w:rsidRPr="00103A61">
        <w:rPr>
          <w:rFonts w:ascii="Times New Roman" w:hAnsi="Times New Roman" w:cs="Times New Roman"/>
          <w:sz w:val="24"/>
          <w:szCs w:val="24"/>
        </w:rPr>
        <w:t>emobidied</w:t>
      </w:r>
      <w:proofErr w:type="spellEnd"/>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 xml:space="preserve">been shown to be consistent with existing measures of semantic knowledge. </w:t>
      </w:r>
      <w:r w:rsidR="00EB727F" w:rsidRPr="00103A61">
        <w:rPr>
          <w:rFonts w:ascii="Times New Roman" w:hAnsi="Times New Roman" w:cs="Times New Roman"/>
          <w:sz w:val="24"/>
          <w:szCs w:val="24"/>
        </w:rPr>
        <w:t>Overall, the authors</w:t>
      </w:r>
      <w:r w:rsidR="00657F45" w:rsidRPr="00103A61">
        <w:rPr>
          <w:rFonts w:ascii="Times New Roman" w:hAnsi="Times New Roman" w:cs="Times New Roman"/>
          <w:sz w:val="24"/>
          <w:szCs w:val="24"/>
        </w:rPr>
        <w:t xml:space="preserve"> demonstrated that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proofErr w:type="spellStart"/>
      <w:r w:rsidR="008268E4" w:rsidRPr="00103A61">
        <w:rPr>
          <w:rFonts w:ascii="Times New Roman" w:hAnsi="Times New Roman" w:cs="Times New Roman"/>
          <w:sz w:val="24"/>
          <w:szCs w:val="24"/>
          <w:highlight w:val="cyan"/>
        </w:rPr>
        <w:t>Balota</w:t>
      </w:r>
      <w:proofErr w:type="spellEnd"/>
      <w:r w:rsidR="008268E4" w:rsidRPr="00103A61">
        <w:rPr>
          <w:rFonts w:ascii="Times New Roman" w:hAnsi="Times New Roman" w:cs="Times New Roman"/>
          <w:sz w:val="24"/>
          <w:szCs w:val="24"/>
          <w:highlight w:val="cyan"/>
        </w:rPr>
        <w:t xml:space="preserve"> et al., 2007</w:t>
      </w:r>
      <w:r w:rsidR="008268E4" w:rsidRPr="00103A61">
        <w:rPr>
          <w:rFonts w:ascii="Times New Roman" w:hAnsi="Times New Roman" w:cs="Times New Roman"/>
          <w:sz w:val="24"/>
          <w:szCs w:val="24"/>
        </w:rPr>
        <w:t>) and responses from the Calgary Semantic Decision Project (</w:t>
      </w:r>
      <w:proofErr w:type="spellStart"/>
      <w:r w:rsidR="008268E4" w:rsidRPr="00103A61">
        <w:rPr>
          <w:rFonts w:ascii="Times New Roman" w:hAnsi="Times New Roman" w:cs="Times New Roman"/>
          <w:sz w:val="24"/>
          <w:szCs w:val="24"/>
          <w:highlight w:val="cyan"/>
        </w:rPr>
        <w:t>Pexman</w:t>
      </w:r>
      <w:proofErr w:type="spellEnd"/>
      <w:r w:rsidRPr="00103A61">
        <w:rPr>
          <w:rFonts w:ascii="Times New Roman" w:hAnsi="Times New Roman" w:cs="Times New Roman"/>
          <w:sz w:val="24"/>
          <w:szCs w:val="24"/>
          <w:highlight w:val="cyan"/>
        </w:rPr>
        <w:t>, Heard, Lloyd, &amp; Yap</w:t>
      </w:r>
      <w:r w:rsidR="008268E4" w:rsidRPr="00103A61">
        <w:rPr>
          <w:rFonts w:ascii="Times New Roman" w:hAnsi="Times New Roman" w:cs="Times New Roman"/>
          <w:sz w:val="24"/>
          <w:szCs w:val="24"/>
          <w:highlight w:val="cyan"/>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103A61">
        <w:rPr>
          <w:rFonts w:ascii="Times New Roman" w:hAnsi="Times New Roman" w:cs="Times New Roman"/>
          <w:sz w:val="24"/>
          <w:szCs w:val="24"/>
          <w:highlight w:val="cyan"/>
        </w:rPr>
        <w:t xml:space="preserve">Heard, Madan, </w:t>
      </w:r>
      <w:proofErr w:type="spellStart"/>
      <w:r w:rsidR="00657F45" w:rsidRPr="00103A61">
        <w:rPr>
          <w:rFonts w:ascii="Times New Roman" w:hAnsi="Times New Roman" w:cs="Times New Roman"/>
          <w:sz w:val="24"/>
          <w:szCs w:val="24"/>
          <w:highlight w:val="cyan"/>
        </w:rPr>
        <w:t>Protzner</w:t>
      </w:r>
      <w:proofErr w:type="spellEnd"/>
      <w:r w:rsidR="00657F45" w:rsidRPr="00103A61">
        <w:rPr>
          <w:rFonts w:ascii="Times New Roman" w:hAnsi="Times New Roman" w:cs="Times New Roman"/>
          <w:sz w:val="24"/>
          <w:szCs w:val="24"/>
          <w:highlight w:val="cyan"/>
        </w:rPr>
        <w:t xml:space="preserve">, and </w:t>
      </w:r>
      <w:proofErr w:type="spellStart"/>
      <w:r w:rsidR="00657F45" w:rsidRPr="00103A61">
        <w:rPr>
          <w:rFonts w:ascii="Times New Roman" w:hAnsi="Times New Roman" w:cs="Times New Roman"/>
          <w:sz w:val="24"/>
          <w:szCs w:val="24"/>
          <w:highlight w:val="cyan"/>
        </w:rPr>
        <w:t>Pexman</w:t>
      </w:r>
      <w:proofErr w:type="spellEnd"/>
      <w:r w:rsidR="00657F45" w:rsidRPr="00103A61">
        <w:rPr>
          <w:rFonts w:ascii="Times New Roman" w:hAnsi="Times New Roman" w:cs="Times New Roman"/>
          <w:sz w:val="24"/>
          <w:szCs w:val="24"/>
          <w:highlight w:val="cyan"/>
        </w:rPr>
        <w:t xml:space="preserve">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w:t>
      </w:r>
      <w:proofErr w:type="spellStart"/>
      <w:r w:rsidR="00657F45" w:rsidRPr="00103A61">
        <w:rPr>
          <w:rFonts w:ascii="Times New Roman" w:hAnsi="Times New Roman" w:cs="Times New Roman"/>
          <w:sz w:val="24"/>
          <w:szCs w:val="24"/>
        </w:rPr>
        <w:t>graspability</w:t>
      </w:r>
      <w:proofErr w:type="spellEnd"/>
      <w:r w:rsidR="00657F45" w:rsidRPr="00103A61">
        <w:rPr>
          <w:rFonts w:ascii="Times New Roman" w:hAnsi="Times New Roman" w:cs="Times New Roman"/>
          <w:sz w:val="24"/>
          <w:szCs w:val="24"/>
        </w:rPr>
        <w:t xml:space="preserve">, ease of pantomime, and number of actions), </w:t>
      </w:r>
      <w:r w:rsidR="00F53A6F">
        <w:rPr>
          <w:rFonts w:ascii="Times New Roman" w:hAnsi="Times New Roman" w:cs="Times New Roman"/>
          <w:sz w:val="24"/>
          <w:szCs w:val="24"/>
        </w:rPr>
        <w:t xml:space="preserve">these ratings </w:t>
      </w:r>
      <w:r w:rsidR="005F69BB" w:rsidRPr="00103A61">
        <w:rPr>
          <w:rFonts w:ascii="Times New Roman" w:hAnsi="Times New Roman" w:cs="Times New Roman"/>
          <w:sz w:val="24"/>
          <w:szCs w:val="24"/>
        </w:rPr>
        <w:t>explain</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w:t>
      </w:r>
      <w:proofErr w:type="spellStart"/>
      <w:r w:rsidR="005F69BB" w:rsidRPr="00103A61">
        <w:rPr>
          <w:rFonts w:ascii="Times New Roman" w:hAnsi="Times New Roman" w:cs="Times New Roman"/>
          <w:sz w:val="24"/>
          <w:szCs w:val="24"/>
        </w:rPr>
        <w:t>Pexman</w:t>
      </w:r>
      <w:proofErr w:type="spellEnd"/>
      <w:r w:rsidR="005F69BB" w:rsidRPr="00103A61">
        <w:rPr>
          <w:rFonts w:ascii="Times New Roman" w:hAnsi="Times New Roman" w:cs="Times New Roman"/>
          <w:sz w:val="24"/>
          <w:szCs w:val="24"/>
        </w:rPr>
        <w:t xml:space="preserve">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is an important component of word meaning.</w:t>
      </w:r>
    </w:p>
    <w:p w14:paraId="1DE8EE87" w14:textId="6AC44366" w:rsidR="00495923" w:rsidRPr="00103A61" w:rsidRDefault="00657F45" w:rsidP="005A1EC9">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w:t>
      </w:r>
      <w:r w:rsidRPr="00103A61">
        <w:rPr>
          <w:rFonts w:ascii="Times New Roman" w:hAnsi="Times New Roman" w:cs="Times New Roman"/>
          <w:sz w:val="24"/>
          <w:szCs w:val="24"/>
        </w:rPr>
        <w:lastRenderedPageBreak/>
        <w:t xml:space="preserve">may limit their </w:t>
      </w:r>
      <w:r w:rsidR="00BE7294" w:rsidRPr="00103A61">
        <w:rPr>
          <w:rFonts w:ascii="Times New Roman" w:hAnsi="Times New Roman" w:cs="Times New Roman"/>
          <w:sz w:val="24"/>
          <w:szCs w:val="24"/>
        </w:rPr>
        <w:t>broader use</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because these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corelated with concreteness</w:t>
      </w:r>
      <w:r w:rsidR="00BE7294" w:rsidRPr="00103A61">
        <w:rPr>
          <w:rFonts w:ascii="Times New Roman" w:hAnsi="Times New Roman" w:cs="Times New Roman"/>
          <w:sz w:val="24"/>
          <w:szCs w:val="24"/>
        </w:rPr>
        <w:t xml:space="preserve">. Indeed, </w:t>
      </w:r>
      <w:proofErr w:type="spellStart"/>
      <w:r w:rsidR="00BE7294" w:rsidRPr="00103A61">
        <w:rPr>
          <w:rFonts w:ascii="Times New Roman" w:hAnsi="Times New Roman" w:cs="Times New Roman"/>
          <w:sz w:val="24"/>
          <w:szCs w:val="24"/>
        </w:rPr>
        <w:t>Pexman</w:t>
      </w:r>
      <w:proofErr w:type="spellEnd"/>
      <w:r w:rsidR="00BE7294" w:rsidRPr="00103A61">
        <w:rPr>
          <w:rFonts w:ascii="Times New Roman" w:hAnsi="Times New Roman" w:cs="Times New Roman"/>
          <w:sz w:val="24"/>
          <w:szCs w:val="24"/>
        </w:rPr>
        <w:t xml:space="preserve">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certain actions may occur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proofErr w:type="spellStart"/>
      <w:r w:rsidR="001370E0" w:rsidRPr="00103A61">
        <w:rPr>
          <w:rFonts w:ascii="Times New Roman" w:hAnsi="Times New Roman" w:cs="Times New Roman"/>
          <w:sz w:val="24"/>
          <w:szCs w:val="24"/>
          <w:highlight w:val="cyan"/>
        </w:rPr>
        <w:t>Barsaolou</w:t>
      </w:r>
      <w:proofErr w:type="spellEnd"/>
      <w:r w:rsidR="001370E0" w:rsidRPr="00103A61">
        <w:rPr>
          <w:rFonts w:ascii="Times New Roman" w:hAnsi="Times New Roman" w:cs="Times New Roman"/>
          <w:sz w:val="24"/>
          <w:szCs w:val="24"/>
          <w:highlight w:val="cyan"/>
        </w:rPr>
        <w:t>, Simmons, Barbey, &amp; Wilson, 2003</w:t>
      </w:r>
      <w:r w:rsidR="008242AD" w:rsidRPr="00103A61">
        <w:rPr>
          <w:rFonts w:ascii="Times New Roman" w:hAnsi="Times New Roman" w:cs="Times New Roman"/>
          <w:sz w:val="24"/>
          <w:szCs w:val="24"/>
          <w:highlight w:val="cyan"/>
        </w:rPr>
        <w:t>)</w:t>
      </w:r>
      <w:r w:rsidR="0087690A" w:rsidRPr="00103A61">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Thus, relying solely upon BOI as a measure of interactivity omits qualitative information which potentially influences actions.</w:t>
      </w:r>
    </w:p>
    <w:p w14:paraId="0E7DADE5" w14:textId="11BAB384" w:rsidR="00E12CB3" w:rsidRPr="00103A61" w:rsidRDefault="00E12CB3" w:rsidP="00E12CB3">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8B01E31" w:rsidR="00C86E41" w:rsidRPr="00103A61" w:rsidRDefault="00495923" w:rsidP="00E12CB3">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the present study sought to develop a database of affordances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object use was captured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w:t>
      </w:r>
      <w:r w:rsidR="00C86E41" w:rsidRPr="00103A61">
        <w:rPr>
          <w:rFonts w:ascii="Times New Roman" w:hAnsi="Times New Roman" w:cs="Times New Roman"/>
          <w:sz w:val="24"/>
          <w:szCs w:val="24"/>
        </w:rPr>
        <w:lastRenderedPageBreak/>
        <w:t>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captured for each object.</w:t>
      </w:r>
      <w:r w:rsidRPr="00103A61">
        <w:rPr>
          <w:rFonts w:ascii="Times New Roman" w:hAnsi="Times New Roman" w:cs="Times New Roman"/>
          <w:sz w:val="24"/>
          <w:szCs w:val="24"/>
        </w:rPr>
        <w:t xml:space="preserve"> </w:t>
      </w:r>
    </w:p>
    <w:p w14:paraId="30E9936D" w14:textId="2FA52F45" w:rsidR="00717E35" w:rsidRPr="00103A61" w:rsidRDefault="00F97D1C" w:rsidP="00E12CB3">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this dataset</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w:t>
      </w:r>
      <w:proofErr w:type="spellStart"/>
      <w:r w:rsidR="002A3615">
        <w:rPr>
          <w:rFonts w:ascii="Times New Roman" w:hAnsi="Times New Roman" w:cs="Times New Roman"/>
          <w:sz w:val="24"/>
          <w:szCs w:val="24"/>
        </w:rPr>
        <w:t>Pexman</w:t>
      </w:r>
      <w:proofErr w:type="spellEnd"/>
      <w:r w:rsidR="002A3615">
        <w:rPr>
          <w:rFonts w:ascii="Times New Roman" w:hAnsi="Times New Roman" w:cs="Times New Roman"/>
          <w:sz w:val="24"/>
          <w:szCs w:val="24"/>
        </w:rPr>
        <w:t xml:space="preserve">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 xml:space="preserve">which could potentially influence how participants process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5BB8A48B" w:rsidR="006134AE" w:rsidRPr="00103A61" w:rsidRDefault="006134AE" w:rsidP="00DB6DF8">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We recruited 3156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103A61">
        <w:rPr>
          <w:rFonts w:ascii="Times New Roman" w:hAnsi="Times New Roman" w:cs="Times New Roman"/>
          <w:sz w:val="24"/>
          <w:szCs w:val="24"/>
        </w:rPr>
        <w:t>2399</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university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 required to have completed at least a high-school level degree or equivalent and to be native English speaker</w:t>
      </w:r>
      <w:r w:rsidR="00497F28" w:rsidRPr="00103A61">
        <w:rPr>
          <w:rFonts w:ascii="Times New Roman" w:hAnsi="Times New Roman" w:cs="Times New Roman"/>
          <w:sz w:val="24"/>
          <w:szCs w:val="24"/>
        </w:rPr>
        <w:t>s.</w:t>
      </w:r>
      <w:r w:rsidR="00EB06DC" w:rsidRPr="00103A61">
        <w:rPr>
          <w:rFonts w:ascii="Times New Roman" w:hAnsi="Times New Roman" w:cs="Times New Roman"/>
          <w:sz w:val="24"/>
          <w:szCs w:val="24"/>
        </w:rPr>
        <w:t xml:space="preserve"> For completeness, demographic information is reported in the Appendix (Table A</w:t>
      </w:r>
      <w:r w:rsidR="00EB06DC" w:rsidRPr="00103A61">
        <w:rPr>
          <w:rFonts w:ascii="Times New Roman" w:hAnsi="Times New Roman" w:cs="Times New Roman"/>
          <w:sz w:val="24"/>
          <w:szCs w:val="24"/>
          <w:highlight w:val="yellow"/>
        </w:rPr>
        <w:t>x</w:t>
      </w:r>
      <w:r w:rsidR="00EB06DC" w:rsidRPr="00103A61">
        <w:rPr>
          <w:rFonts w:ascii="Times New Roman" w:hAnsi="Times New Roman" w:cs="Times New Roman"/>
          <w:sz w:val="24"/>
          <w:szCs w:val="24"/>
        </w:rPr>
        <w:t>).</w:t>
      </w:r>
    </w:p>
    <w:p w14:paraId="0D51C0A6" w14:textId="47A9A285" w:rsidR="00EC082E" w:rsidRPr="00103A61" w:rsidRDefault="00EC082E"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Materials</w:t>
      </w:r>
    </w:p>
    <w:p w14:paraId="53A5C1DA" w14:textId="7DDC0075" w:rsidR="0004657B" w:rsidRPr="00103A61" w:rsidRDefault="00497F28" w:rsidP="00DB6DF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103A61">
        <w:rPr>
          <w:rFonts w:ascii="Times New Roman" w:hAnsi="Times New Roman" w:cs="Times New Roman"/>
          <w:sz w:val="24"/>
          <w:szCs w:val="24"/>
          <w:highlight w:val="cyan"/>
        </w:rPr>
        <w:t>Coltheart, 1981</w:t>
      </w:r>
      <w:r w:rsidRPr="00103A61">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Words were initially selected based on concreteness, such that only 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 list</w:t>
      </w:r>
      <w:r w:rsidR="00EC0767" w:rsidRPr="00103A61">
        <w:rPr>
          <w:rFonts w:ascii="Times New Roman" w:hAnsi="Times New Roman" w:cs="Times New Roman"/>
          <w:sz w:val="24"/>
          <w:szCs w:val="24"/>
        </w:rPr>
        <w:t>s which each</w:t>
      </w:r>
      <w:r w:rsidR="000B32EA" w:rsidRPr="00103A61">
        <w:rPr>
          <w:rFonts w:ascii="Times New Roman" w:hAnsi="Times New Roman" w:cs="Times New Roman"/>
          <w:sz w:val="24"/>
          <w:szCs w:val="24"/>
        </w:rPr>
        <w:t xml:space="preserve"> contain</w:t>
      </w:r>
      <w:r w:rsidR="00EC0767" w:rsidRPr="00103A61">
        <w:rPr>
          <w:rFonts w:ascii="Times New Roman" w:hAnsi="Times New Roman" w:cs="Times New Roman"/>
          <w:sz w:val="24"/>
          <w:szCs w:val="24"/>
        </w:rPr>
        <w:t>ed</w:t>
      </w:r>
      <w:r w:rsidR="000B32EA" w:rsidRPr="00103A61">
        <w:rPr>
          <w:rFonts w:ascii="Times New Roman" w:hAnsi="Times New Roman" w:cs="Times New Roman"/>
          <w:sz w:val="24"/>
          <w:szCs w:val="24"/>
        </w:rPr>
        <w:t xml:space="preserve"> 30 item</w:t>
      </w:r>
      <w:r w:rsidR="00EC0767" w:rsidRPr="00103A61">
        <w:rPr>
          <w:rFonts w:ascii="Times New Roman" w:hAnsi="Times New Roman" w:cs="Times New Roman"/>
          <w:sz w:val="24"/>
          <w:szCs w:val="24"/>
        </w:rPr>
        <w:t>s</w:t>
      </w:r>
      <w:r w:rsidR="000B32EA" w:rsidRPr="00103A61">
        <w:rPr>
          <w:rFonts w:ascii="Times New Roman" w:hAnsi="Times New Roman" w:cs="Times New Roman"/>
          <w:sz w:val="24"/>
          <w:szCs w:val="24"/>
        </w:rPr>
        <w:t>. 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0.33)</w:t>
      </w:r>
      <w:r w:rsidR="00EC0767" w:rsidRPr="00103A61">
        <w:rPr>
          <w:rFonts w:ascii="Times New Roman" w:hAnsi="Times New Roman" w:cs="Times New Roman"/>
          <w:sz w:val="24"/>
          <w:szCs w:val="24"/>
        </w:rPr>
        <w:t xml:space="preserve"> </w:t>
      </w:r>
      <w:r w:rsidR="0041424F">
        <w:rPr>
          <w:rFonts w:ascii="Times New Roman" w:hAnsi="Times New Roman" w:cs="Times New Roman"/>
          <w:sz w:val="24"/>
          <w:szCs w:val="24"/>
        </w:rPr>
        <w:t xml:space="preserve">based on </w:t>
      </w:r>
      <w:r w:rsidR="00F9350C" w:rsidRPr="00103A61">
        <w:rPr>
          <w:rFonts w:ascii="Times New Roman" w:hAnsi="Times New Roman" w:cs="Times New Roman"/>
          <w:sz w:val="24"/>
          <w:szCs w:val="24"/>
          <w:highlight w:val="cyan"/>
        </w:rPr>
        <w:t xml:space="preserve">Brysbaert, Warriner, </w:t>
      </w:r>
      <w:r w:rsidR="0041424F">
        <w:rPr>
          <w:rFonts w:ascii="Times New Roman" w:hAnsi="Times New Roman" w:cs="Times New Roman"/>
          <w:sz w:val="24"/>
          <w:szCs w:val="24"/>
          <w:highlight w:val="cyan"/>
        </w:rPr>
        <w:t>and</w:t>
      </w:r>
      <w:r w:rsidR="00F9350C" w:rsidRPr="00103A61">
        <w:rPr>
          <w:rFonts w:ascii="Times New Roman" w:hAnsi="Times New Roman" w:cs="Times New Roman"/>
          <w:sz w:val="24"/>
          <w:szCs w:val="24"/>
          <w:highlight w:val="cyan"/>
        </w:rPr>
        <w:t xml:space="preserve"> Kuperman</w:t>
      </w:r>
      <w:r w:rsidR="0041424F">
        <w:rPr>
          <w:rFonts w:ascii="Times New Roman" w:hAnsi="Times New Roman" w:cs="Times New Roman"/>
          <w:sz w:val="24"/>
          <w:szCs w:val="24"/>
        </w:rPr>
        <w:t>’s (20</w:t>
      </w:r>
      <w:r w:rsidR="00CE39FB">
        <w:rPr>
          <w:rFonts w:ascii="Times New Roman" w:hAnsi="Times New Roman" w:cs="Times New Roman"/>
          <w:sz w:val="24"/>
          <w:szCs w:val="24"/>
        </w:rPr>
        <w:t>14</w:t>
      </w:r>
      <w:r w:rsidR="00EC0767" w:rsidRPr="00103A61">
        <w:rPr>
          <w:rFonts w:ascii="Times New Roman" w:hAnsi="Times New Roman" w:cs="Times New Roman"/>
          <w:sz w:val="24"/>
          <w:szCs w:val="24"/>
        </w:rPr>
        <w:t>)</w:t>
      </w:r>
      <w:r w:rsidR="0041424F">
        <w:rPr>
          <w:rFonts w:ascii="Times New Roman" w:hAnsi="Times New Roman" w:cs="Times New Roman"/>
          <w:sz w:val="24"/>
          <w:szCs w:val="24"/>
        </w:rPr>
        <w:t xml:space="preserve"> norms</w:t>
      </w:r>
      <w:r w:rsidR="00C22A2E" w:rsidRPr="00103A61">
        <w:rPr>
          <w:rFonts w:ascii="Times New Roman" w:hAnsi="Times New Roman" w:cs="Times New Roman"/>
          <w:sz w:val="24"/>
          <w:szCs w:val="24"/>
        </w:rPr>
        <w:t xml:space="preserve">, 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.87; </w:t>
      </w:r>
      <w:r w:rsidR="00C22A2E" w:rsidRPr="00103A61">
        <w:rPr>
          <w:rFonts w:ascii="Times New Roman" w:hAnsi="Times New Roman" w:cs="Times New Roman"/>
          <w:sz w:val="24"/>
          <w:szCs w:val="24"/>
          <w:highlight w:val="cyan"/>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0.60; </w:t>
      </w:r>
      <w:proofErr w:type="spellStart"/>
      <w:r w:rsidR="00C22A2E" w:rsidRPr="00103A61">
        <w:rPr>
          <w:rFonts w:ascii="Times New Roman" w:hAnsi="Times New Roman" w:cs="Times New Roman"/>
          <w:sz w:val="24"/>
          <w:szCs w:val="24"/>
          <w:highlight w:val="cyan"/>
        </w:rPr>
        <w:t>Pexman</w:t>
      </w:r>
      <w:proofErr w:type="spellEnd"/>
      <w:r w:rsidR="00C22A2E" w:rsidRPr="00103A61">
        <w:rPr>
          <w:rFonts w:ascii="Times New Roman" w:hAnsi="Times New Roman" w:cs="Times New Roman"/>
          <w:sz w:val="24"/>
          <w:szCs w:val="24"/>
          <w:highlight w:val="cyan"/>
        </w:rPr>
        <w:t xml:space="preserve"> et al., 2019</w:t>
      </w:r>
      <w:r w:rsidR="00C22A2E" w:rsidRPr="00103A61">
        <w:rPr>
          <w:rFonts w:ascii="Times New Roman" w:hAnsi="Times New Roman" w:cs="Times New Roman"/>
          <w:sz w:val="24"/>
          <w:szCs w:val="24"/>
        </w:rPr>
        <w:t xml:space="preserve">). </w:t>
      </w:r>
    </w:p>
    <w:p w14:paraId="1B4C5F87" w14:textId="6D5EA302" w:rsidR="00EC082E" w:rsidRPr="00103A61" w:rsidRDefault="00EC082E"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45C9CF73" w:rsidR="00C91A5C" w:rsidRPr="00103A61" w:rsidRDefault="00B35620" w:rsidP="00DB6DF8">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4"/>
      <w:r w:rsidR="002979D1" w:rsidRPr="00103A61">
        <w:rPr>
          <w:rFonts w:ascii="Times New Roman" w:hAnsi="Times New Roman" w:cs="Times New Roman"/>
          <w:sz w:val="24"/>
          <w:szCs w:val="24"/>
        </w:rPr>
        <w:t xml:space="preserve">web-based psychological </w:t>
      </w:r>
      <w:commentRangeEnd w:id="4"/>
      <w:r w:rsidR="002979D1" w:rsidRPr="00103A61">
        <w:rPr>
          <w:rStyle w:val="CommentReference"/>
          <w:rFonts w:ascii="Times New Roman" w:hAnsi="Times New Roman" w:cs="Times New Roman"/>
          <w:sz w:val="24"/>
          <w:szCs w:val="24"/>
        </w:rPr>
        <w:commentReference w:id="4"/>
      </w:r>
      <w:r w:rsidR="002979D1" w:rsidRPr="00103A61">
        <w:rPr>
          <w:rFonts w:ascii="Times New Roman" w:hAnsi="Times New Roman" w:cs="Times New Roman"/>
          <w:sz w:val="24"/>
          <w:szCs w:val="24"/>
        </w:rPr>
        <w:t>experiments (</w:t>
      </w:r>
      <w:r w:rsidR="002979D1" w:rsidRPr="00103A61">
        <w:rPr>
          <w:rFonts w:ascii="Times New Roman" w:hAnsi="Times New Roman" w:cs="Times New Roman"/>
          <w:sz w:val="24"/>
          <w:szCs w:val="24"/>
          <w:highlight w:val="cyan"/>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required 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w:t>
      </w:r>
      <w:proofErr w:type="gramStart"/>
      <w:r w:rsidR="00C91A5C" w:rsidRPr="00103A61">
        <w:rPr>
          <w:rFonts w:ascii="Times New Roman" w:hAnsi="Times New Roman" w:cs="Times New Roman"/>
          <w:sz w:val="24"/>
          <w:szCs w:val="24"/>
        </w:rPr>
        <w:t>object</w:t>
      </w:r>
      <w:proofErr w:type="gramEnd"/>
      <w:r w:rsidR="00C91A5C" w:rsidRPr="00103A61">
        <w:rPr>
          <w:rFonts w:ascii="Times New Roman" w:hAnsi="Times New Roman" w:cs="Times New Roman"/>
          <w:sz w:val="24"/>
          <w:szCs w:val="24"/>
        </w:rPr>
        <w:t xml:space="preserve">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C91A5C" w:rsidRPr="00103A61">
        <w:rPr>
          <w:rFonts w:ascii="Times New Roman" w:hAnsi="Times New Roman" w:cs="Times New Roman"/>
          <w:sz w:val="24"/>
          <w:szCs w:val="24"/>
        </w:rPr>
        <w:t xml:space="preserve">complete </w:t>
      </w:r>
      <w:r w:rsidR="004C4215" w:rsidRPr="00103A61">
        <w:rPr>
          <w:rFonts w:ascii="Times New Roman" w:hAnsi="Times New Roman" w:cs="Times New Roman"/>
          <w:sz w:val="24"/>
          <w:szCs w:val="24"/>
        </w:rPr>
        <w:t xml:space="preserve">set of instructions </w:t>
      </w:r>
      <w:r w:rsidR="00EC0767" w:rsidRPr="00103A61">
        <w:rPr>
          <w:rFonts w:ascii="Times New Roman" w:hAnsi="Times New Roman" w:cs="Times New Roman"/>
          <w:sz w:val="24"/>
          <w:szCs w:val="24"/>
        </w:rPr>
        <w:t>is available</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 [</w:t>
      </w:r>
      <w:r w:rsidR="004C4215" w:rsidRPr="00103A61">
        <w:rPr>
          <w:rFonts w:ascii="Times New Roman" w:hAnsi="Times New Roman" w:cs="Times New Roman"/>
          <w:sz w:val="24"/>
          <w:szCs w:val="24"/>
          <w:highlight w:val="green"/>
        </w:rPr>
        <w:t>OSF link</w:t>
      </w:r>
      <w:r w:rsidR="004C4215" w:rsidRPr="00103A61">
        <w:rPr>
          <w:rFonts w:ascii="Times New Roman" w:hAnsi="Times New Roman" w:cs="Times New Roman"/>
          <w:sz w:val="24"/>
          <w:szCs w:val="24"/>
        </w:rPr>
        <w:t xml:space="preserve">]. </w:t>
      </w:r>
    </w:p>
    <w:p w14:paraId="0EB76767" w14:textId="702FFDF1" w:rsidR="000B32EA" w:rsidRPr="00103A61" w:rsidRDefault="00EC0767" w:rsidP="00DB6DF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box 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the word. To maximize potential affordances, participants were not given specific instructions on how to format their responses (i.e., tense, 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lastRenderedPageBreak/>
        <w:t>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instructed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t xml:space="preserve">Additionally, a prompt was located directly above the cue, which reminded participants to list as many uses for each object as they could generate. </w:t>
      </w:r>
      <w:r w:rsidR="00C91A5C" w:rsidRPr="00103A61">
        <w:rPr>
          <w:rFonts w:ascii="Times New Roman" w:hAnsi="Times New Roman" w:cs="Times New Roman"/>
          <w:sz w:val="24"/>
          <w:szCs w:val="24"/>
        </w:rPr>
        <w:t xml:space="preserve">After completing the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randomly selected one of the 100 lists of 30 items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These items were presented in a randomized order, and participant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Following completion of this task, participants were debriefed. The total study took approximately 20 minutes to complete.</w:t>
      </w:r>
    </w:p>
    <w:p w14:paraId="3FAAF678" w14:textId="6199C38B" w:rsidR="00EC082E" w:rsidRPr="00103A61" w:rsidRDefault="00EC082E"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1DF517E6" w:rsidR="00320648" w:rsidRPr="00103A61" w:rsidRDefault="00B60DDD" w:rsidP="0032064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initially screened to ensure that </w:t>
      </w:r>
      <w:r w:rsidRPr="00103A61">
        <w:rPr>
          <w:rFonts w:ascii="Times New Roman" w:hAnsi="Times New Roman" w:cs="Times New Roman"/>
          <w:sz w:val="24"/>
          <w:szCs w:val="24"/>
        </w:rPr>
        <w:t xml:space="preserve">participants adhered to the norming task’s instructions. Data from </w:t>
      </w:r>
      <w:r w:rsidR="004421EB" w:rsidRPr="00103A61">
        <w:rPr>
          <w:rFonts w:ascii="Times New Roman" w:hAnsi="Times New Roman" w:cs="Times New Roman"/>
          <w:sz w:val="24"/>
          <w:szCs w:val="24"/>
        </w:rPr>
        <w:t>35</w:t>
      </w:r>
      <w:r w:rsidRPr="00103A61">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103A61">
        <w:rPr>
          <w:rFonts w:ascii="Times New Roman" w:hAnsi="Times New Roman" w:cs="Times New Roman"/>
          <w:sz w:val="24"/>
          <w:szCs w:val="24"/>
        </w:rPr>
        <w:t>, leading to 3</w:t>
      </w:r>
      <w:r w:rsidR="004421EB" w:rsidRPr="00103A61">
        <w:rPr>
          <w:rFonts w:ascii="Times New Roman" w:hAnsi="Times New Roman" w:cs="Times New Roman"/>
          <w:sz w:val="24"/>
          <w:szCs w:val="24"/>
        </w:rPr>
        <w:t>12</w:t>
      </w:r>
      <w:r w:rsidR="00194A21" w:rsidRPr="00103A61">
        <w:rPr>
          <w:rFonts w:ascii="Times New Roman" w:hAnsi="Times New Roman" w:cs="Times New Roman"/>
          <w:sz w:val="24"/>
          <w:szCs w:val="24"/>
        </w:rPr>
        <w:t>1 participants included in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CC5241" w:rsidRPr="00103A61">
        <w:rPr>
          <w:rFonts w:ascii="Times New Roman" w:hAnsi="Times New Roman" w:cs="Times New Roman"/>
          <w:sz w:val="24"/>
          <w:szCs w:val="24"/>
        </w:rPr>
        <w:t xml:space="preserve">using a procedure </w:t>
      </w:r>
      <w:r w:rsidR="00446A56" w:rsidRPr="00103A61">
        <w:rPr>
          <w:rFonts w:ascii="Times New Roman" w:hAnsi="Times New Roman" w:cs="Times New Roman"/>
          <w:sz w:val="24"/>
          <w:szCs w:val="24"/>
        </w:rPr>
        <w:t xml:space="preserve">that was </w:t>
      </w:r>
      <w:r w:rsidR="00F82CE8" w:rsidRPr="00103A61">
        <w:rPr>
          <w:rFonts w:ascii="Times New Roman" w:hAnsi="Times New Roman" w:cs="Times New Roman"/>
          <w:sz w:val="24"/>
          <w:szCs w:val="24"/>
        </w:rPr>
        <w:t>adapted from</w:t>
      </w:r>
      <w:r w:rsidR="00320648" w:rsidRPr="00103A61">
        <w:rPr>
          <w:rFonts w:ascii="Times New Roman" w:hAnsi="Times New Roman" w:cs="Times New Roman"/>
          <w:sz w:val="24"/>
          <w:szCs w:val="24"/>
        </w:rPr>
        <w:t xml:space="preserve"> </w:t>
      </w:r>
      <w:r w:rsidR="00320648" w:rsidRPr="00103A61">
        <w:rPr>
          <w:rFonts w:ascii="Times New Roman" w:hAnsi="Times New Roman" w:cs="Times New Roman"/>
          <w:sz w:val="24"/>
          <w:szCs w:val="24"/>
          <w:highlight w:val="cyan"/>
        </w:rPr>
        <w:t xml:space="preserve">Buchanan, De Deyne, &amp; </w:t>
      </w:r>
      <w:proofErr w:type="spellStart"/>
      <w:r w:rsidR="00320648" w:rsidRPr="00103A61">
        <w:rPr>
          <w:rFonts w:ascii="Times New Roman" w:hAnsi="Times New Roman" w:cs="Times New Roman"/>
          <w:sz w:val="24"/>
          <w:szCs w:val="24"/>
          <w:highlight w:val="cyan"/>
        </w:rPr>
        <w:t>Montefinese’s</w:t>
      </w:r>
      <w:proofErr w:type="spellEnd"/>
      <w:r w:rsidR="00320648" w:rsidRPr="00103A61">
        <w:rPr>
          <w:rFonts w:ascii="Times New Roman" w:hAnsi="Times New Roman" w:cs="Times New Roman"/>
          <w:sz w:val="24"/>
          <w:szCs w:val="24"/>
          <w:highlight w:val="cyan"/>
        </w:rPr>
        <w:t xml:space="preserve">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two affordance measures: Affordance Strength (AFS) and Affordance Set Size (AFFS). Given both the predicted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the data processing steps listed below were conducted 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Pr="00103A61">
        <w:rPr>
          <w:rFonts w:ascii="Times New Roman" w:hAnsi="Times New Roman" w:cs="Times New Roman"/>
          <w:sz w:val="24"/>
          <w:szCs w:val="24"/>
        </w:rPr>
        <w:t>ranging</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is available at </w:t>
      </w:r>
      <w:r w:rsidR="00DA2A7A" w:rsidRPr="00103A61">
        <w:rPr>
          <w:rFonts w:ascii="Times New Roman" w:hAnsi="Times New Roman" w:cs="Times New Roman"/>
          <w:sz w:val="24"/>
          <w:szCs w:val="24"/>
          <w:highlight w:val="green"/>
        </w:rPr>
        <w:t>[OSF LINK]</w:t>
      </w:r>
      <w:r w:rsidR="00DA2A7A" w:rsidRPr="00103A61">
        <w:rPr>
          <w:rFonts w:ascii="Times New Roman" w:hAnsi="Times New Roman" w:cs="Times New Roman"/>
          <w:sz w:val="24"/>
          <w:szCs w:val="24"/>
        </w:rPr>
        <w:t>.</w:t>
      </w:r>
    </w:p>
    <w:p w14:paraId="2AA0E60B" w14:textId="644A00B1" w:rsidR="00557C38" w:rsidRPr="00103A61" w:rsidRDefault="003E2BE9" w:rsidP="003E2BE9">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 xml:space="preserve">Figure </w:t>
      </w:r>
      <w:r w:rsidR="00D176E6" w:rsidRPr="00103A61">
        <w:rPr>
          <w:rFonts w:ascii="Times New Roman" w:hAnsi="Times New Roman" w:cs="Times New Roman"/>
          <w:sz w:val="24"/>
          <w:szCs w:val="24"/>
          <w:highlight w:val="green"/>
        </w:rPr>
        <w:t>x</w:t>
      </w:r>
      <w:r w:rsidR="00D176E6" w:rsidRPr="00103A61">
        <w:rPr>
          <w:rFonts w:ascii="Times New Roman" w:hAnsi="Times New Roman" w:cs="Times New Roman"/>
          <w:sz w:val="24"/>
          <w:szCs w:val="24"/>
        </w:rPr>
        <w:t xml:space="preserve"> illustrates the</w:t>
      </w:r>
      <w:r w:rsidR="00553FFF">
        <w:rPr>
          <w:rFonts w:ascii="Times New Roman" w:hAnsi="Times New Roman" w:cs="Times New Roman"/>
          <w:sz w:val="24"/>
          <w:szCs w:val="24"/>
        </w:rPr>
        <w:t xml:space="preserve"> general</w:t>
      </w:r>
      <w:r w:rsidR="00D176E6" w:rsidRPr="00103A61">
        <w:rPr>
          <w:rFonts w:ascii="Times New Roman" w:hAnsi="Times New Roman" w:cs="Times New Roman"/>
          <w:sz w:val="24"/>
          <w:szCs w:val="24"/>
        </w:rPr>
        <w:t xml:space="preserve"> data cleaning procedure. 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t>
      </w:r>
      <w:r w:rsidR="009C6FFB" w:rsidRPr="00103A61">
        <w:rPr>
          <w:rFonts w:ascii="Times New Roman" w:hAnsi="Times New Roman" w:cs="Times New Roman"/>
          <w:sz w:val="24"/>
          <w:szCs w:val="24"/>
        </w:rPr>
        <w:lastRenderedPageBreak/>
        <w:t xml:space="preserve">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affordances. </w:t>
      </w:r>
      <w:r w:rsidR="00457748" w:rsidRPr="00103A61">
        <w:rPr>
          <w:rFonts w:ascii="Times New Roman" w:hAnsi="Times New Roman" w:cs="Times New Roman"/>
          <w:sz w:val="24"/>
          <w:szCs w:val="24"/>
        </w:rPr>
        <w:t xml:space="preserve">The </w:t>
      </w:r>
      <w:proofErr w:type="spellStart"/>
      <w:r w:rsidR="00457748"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package was used to identify and separate individual affordance responses to each cue</w:t>
      </w:r>
      <w:r w:rsidR="00994D01" w:rsidRPr="00103A61">
        <w:rPr>
          <w:rFonts w:ascii="Times New Roman" w:hAnsi="Times New Roman" w:cs="Times New Roman"/>
          <w:sz w:val="24"/>
          <w:szCs w:val="24"/>
        </w:rPr>
        <w:t xml:space="preserve"> (</w:t>
      </w:r>
      <w:r w:rsidR="00994D01" w:rsidRPr="00103A61">
        <w:rPr>
          <w:rFonts w:ascii="Times New Roman" w:hAnsi="Times New Roman" w:cs="Times New Roman"/>
          <w:sz w:val="24"/>
          <w:szCs w:val="24"/>
          <w:highlight w:val="cyan"/>
        </w:rPr>
        <w:t>De Queiroz et al., 2019</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(e.g., 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“to drink from, throw it, pencil holder” become “to drink from”, “throw it”, and “pencil holder”)</w:t>
      </w:r>
      <w:r w:rsidR="00DB6DF8" w:rsidRPr="00103A61">
        <w:rPr>
          <w:rFonts w:ascii="Times New Roman" w:hAnsi="Times New Roman" w:cs="Times New Roman"/>
          <w:sz w:val="24"/>
          <w:szCs w:val="24"/>
        </w:rPr>
        <w:t>.</w:t>
      </w:r>
    </w:p>
    <w:p w14:paraId="0FD9C15F" w14:textId="66A670CE" w:rsidR="00375F24" w:rsidRPr="00103A61" w:rsidRDefault="00557C38" w:rsidP="00F30264">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package </w:t>
      </w:r>
      <w:r w:rsidR="00D835C5"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Ooms, 2022</w:t>
      </w:r>
      <w:r w:rsidR="00D835C5" w:rsidRPr="00103A61">
        <w:rPr>
          <w:rFonts w:ascii="Times New Roman" w:hAnsi="Times New Roman" w:cs="Times New Roman"/>
          <w:sz w:val="24"/>
          <w:szCs w:val="24"/>
          <w:highlight w:val="cyan"/>
        </w:rPr>
        <w:t>)</w:t>
      </w:r>
      <w:r w:rsidR="00D835C5" w:rsidRPr="00103A61">
        <w:rPr>
          <w:rFonts w:ascii="Times New Roman" w:hAnsi="Times New Roman" w:cs="Times New Roman"/>
          <w:sz w:val="24"/>
          <w:szCs w:val="24"/>
        </w:rPr>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proofErr w:type="spellStart"/>
      <w:r w:rsidR="00D835C5" w:rsidRPr="00103A61">
        <w:rPr>
          <w:rFonts w:ascii="Times New Roman" w:hAnsi="Times New Roman" w:cs="Times New Roman"/>
          <w:i/>
          <w:iCs/>
          <w:sz w:val="24"/>
          <w:szCs w:val="24"/>
        </w:rPr>
        <w:t>colour</w:t>
      </w:r>
      <w:proofErr w:type="spellEnd"/>
      <w:r w:rsidR="00D835C5" w:rsidRPr="00103A61">
        <w:rPr>
          <w:rFonts w:ascii="Times New Roman" w:hAnsi="Times New Roman" w:cs="Times New Roman"/>
          <w:i/>
          <w:iCs/>
          <w:sz w:val="24"/>
          <w:szCs w:val="24"/>
        </w:rPr>
        <w:t xml:space="preserve"> </w:t>
      </w:r>
      <w:r w:rsidR="00D835C5" w:rsidRPr="00103A61">
        <w:rPr>
          <w:rFonts w:ascii="Times New Roman" w:hAnsi="Times New Roman" w:cs="Times New Roman"/>
          <w:sz w:val="24"/>
          <w:szCs w:val="24"/>
        </w:rPr>
        <w:t xml:space="preserve">and </w:t>
      </w:r>
      <w:proofErr w:type="spellStart"/>
      <w:r w:rsidR="00D835C5" w:rsidRPr="00103A61">
        <w:rPr>
          <w:rFonts w:ascii="Times New Roman" w:hAnsi="Times New Roman" w:cs="Times New Roman"/>
          <w:i/>
          <w:iCs/>
          <w:sz w:val="24"/>
          <w:szCs w:val="24"/>
        </w:rPr>
        <w:t>socialise</w:t>
      </w:r>
      <w:proofErr w:type="spellEnd"/>
      <w:r w:rsidR="00D835C5" w:rsidRPr="00103A61">
        <w:rPr>
          <w:rFonts w:ascii="Times New Roman" w:hAnsi="Times New Roman" w:cs="Times New Roman"/>
          <w:sz w:val="24"/>
          <w:szCs w:val="24"/>
        </w:rPr>
        <w:t xml:space="preserve"> become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generated correction.</w:t>
      </w:r>
    </w:p>
    <w:p w14:paraId="10E476EE" w14:textId="705B8B56" w:rsidR="003E2BE9" w:rsidRPr="00103A61" w:rsidRDefault="00D835C5" w:rsidP="003E2BE9">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proofErr w:type="spellStart"/>
      <w:r w:rsidR="002710A5"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 xml:space="preserve">as noted in the </w:t>
      </w:r>
      <w:r w:rsidR="002710A5" w:rsidRPr="00103A61">
        <w:rPr>
          <w:rFonts w:ascii="Times New Roman" w:hAnsi="Times New Roman" w:cs="Times New Roman"/>
          <w:i/>
          <w:iCs/>
          <w:sz w:val="24"/>
          <w:szCs w:val="24"/>
        </w:rPr>
        <w:t>Procedure</w:t>
      </w:r>
      <w:r w:rsidR="002710A5" w:rsidRPr="00103A61">
        <w:rPr>
          <w:rFonts w:ascii="Times New Roman" w:hAnsi="Times New Roman" w:cs="Times New Roman"/>
          <w:sz w:val="24"/>
          <w:szCs w:val="24"/>
        </w:rPr>
        <w:t xml:space="preserve">, participants entered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 </w:t>
      </w:r>
      <w:r w:rsidR="002710A5" w:rsidRPr="00103A61">
        <w:rPr>
          <w:rFonts w:ascii="Times New Roman" w:hAnsi="Times New Roman" w:cs="Times New Roman"/>
          <w:sz w:val="24"/>
          <w:szCs w:val="24"/>
        </w:rPr>
        <w:lastRenderedPageBreak/>
        <w:t>participants often included extra spacing and tabs in addition to using a comma to separate affordance entries. Thus, the tokenization 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commentRangeStart w:id="5"/>
      <w:r w:rsidR="003E2BE9" w:rsidRPr="00103A61">
        <w:rPr>
          <w:rFonts w:ascii="Times New Roman" w:hAnsi="Times New Roman" w:cs="Times New Roman"/>
          <w:sz w:val="24"/>
          <w:szCs w:val="24"/>
        </w:rPr>
        <w:t xml:space="preserve">base affordances </w:t>
      </w:r>
      <w:commentRangeEnd w:id="5"/>
      <w:r w:rsidR="003E2BE9" w:rsidRPr="00103A61">
        <w:rPr>
          <w:rStyle w:val="CommentReference"/>
          <w:rFonts w:ascii="Times New Roman" w:hAnsi="Times New Roman" w:cs="Times New Roman"/>
          <w:sz w:val="24"/>
          <w:szCs w:val="24"/>
        </w:rPr>
        <w:commentReference w:id="5"/>
      </w:r>
      <w:r w:rsidR="003E2BE9" w:rsidRPr="00103A61">
        <w:rPr>
          <w:rFonts w:ascii="Times New Roman" w:hAnsi="Times New Roman" w:cs="Times New Roman"/>
          <w:sz w:val="24"/>
          <w:szCs w:val="24"/>
        </w:rPr>
        <w:t xml:space="preserve">(often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xml:space="preserve">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proofErr w:type="gramStart"/>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w:t>
      </w:r>
      <w:proofErr w:type="gramEnd"/>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proofErr w:type="spellStart"/>
      <w:r w:rsidR="008C160E" w:rsidRPr="00103A61">
        <w:rPr>
          <w:rFonts w:ascii="Times New Roman" w:hAnsi="Times New Roman" w:cs="Times New Roman"/>
          <w:i/>
          <w:iCs/>
          <w:sz w:val="24"/>
          <w:szCs w:val="24"/>
        </w:rPr>
        <w:t>stopwords</w:t>
      </w:r>
      <w:proofErr w:type="spellEnd"/>
      <w:r w:rsidR="008C160E" w:rsidRPr="00103A61">
        <w:rPr>
          <w:rFonts w:ascii="Times New Roman" w:hAnsi="Times New Roman" w:cs="Times New Roman"/>
          <w:sz w:val="24"/>
          <w:szCs w:val="24"/>
        </w:rPr>
        <w:t xml:space="preserve"> package </w:t>
      </w:r>
      <w:r w:rsidR="008C160E"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Benoit, Muhr, &amp; Watanabe, 2021</w:t>
      </w:r>
      <w:r w:rsidR="008C160E" w:rsidRPr="00103A61">
        <w:rPr>
          <w:rFonts w:ascii="Times New Roman" w:hAnsi="Times New Roman" w:cs="Times New Roman"/>
          <w:sz w:val="24"/>
          <w:szCs w:val="24"/>
          <w:highlight w:val="cyan"/>
        </w:rPr>
        <w:t>)</w:t>
      </w:r>
      <w:r w:rsidR="008C160E" w:rsidRPr="00103A61">
        <w:rPr>
          <w:rFonts w:ascii="Times New Roman" w:hAnsi="Times New Roman" w:cs="Times New Roman"/>
          <w:sz w:val="24"/>
          <w:szCs w:val="24"/>
        </w:rPr>
        <w:t>.</w:t>
      </w:r>
    </w:p>
    <w:p w14:paraId="3034AA4C" w14:textId="03A9B33C" w:rsidR="00095721" w:rsidRDefault="008A43EF" w:rsidP="00095721">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xml:space="preserve">, the remaining responses were </w:t>
      </w:r>
      <w:proofErr w:type="gramStart"/>
      <w:r w:rsidR="008C160E" w:rsidRPr="00103A61">
        <w:rPr>
          <w:rFonts w:ascii="Times New Roman" w:hAnsi="Times New Roman" w:cs="Times New Roman"/>
          <w:sz w:val="24"/>
          <w:szCs w:val="24"/>
        </w:rPr>
        <w:t>lemmatized</w:t>
      </w:r>
      <w:proofErr w:type="gramEnd"/>
      <w:r w:rsidR="008C160E" w:rsidRPr="00103A61">
        <w:rPr>
          <w:rFonts w:ascii="Times New Roman" w:hAnsi="Times New Roman" w:cs="Times New Roman"/>
          <w:sz w:val="24"/>
          <w:szCs w:val="24"/>
        </w:rPr>
        <w:t xml:space="preserve">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proofErr w:type="spellStart"/>
      <w:r w:rsidR="005A2E0A" w:rsidRPr="00103A61">
        <w:rPr>
          <w:rFonts w:ascii="Times New Roman" w:hAnsi="Times New Roman" w:cs="Times New Roman"/>
          <w:i/>
          <w:iCs/>
          <w:sz w:val="24"/>
          <w:szCs w:val="24"/>
        </w:rPr>
        <w:t>udpipe</w:t>
      </w:r>
      <w:proofErr w:type="spellEnd"/>
      <w:r w:rsidR="005A2E0A" w:rsidRPr="00103A61">
        <w:rPr>
          <w:rFonts w:ascii="Times New Roman" w:hAnsi="Times New Roman" w:cs="Times New Roman"/>
          <w:sz w:val="24"/>
          <w:szCs w:val="24"/>
        </w:rPr>
        <w:t xml:space="preserve"> package </w:t>
      </w:r>
      <w:r w:rsidR="005A2E0A" w:rsidRPr="00103A61">
        <w:rPr>
          <w:rFonts w:ascii="Times New Roman" w:hAnsi="Times New Roman" w:cs="Times New Roman"/>
          <w:sz w:val="24"/>
          <w:szCs w:val="24"/>
          <w:highlight w:val="cyan"/>
        </w:rPr>
        <w:t>(</w:t>
      </w:r>
      <w:proofErr w:type="spellStart"/>
      <w:r w:rsidR="002B3921" w:rsidRPr="00103A61">
        <w:rPr>
          <w:rFonts w:ascii="Times New Roman" w:hAnsi="Times New Roman" w:cs="Times New Roman"/>
          <w:sz w:val="24"/>
          <w:szCs w:val="24"/>
          <w:highlight w:val="cyan"/>
        </w:rPr>
        <w:t>W</w:t>
      </w:r>
      <w:r w:rsidR="00402B71" w:rsidRPr="00103A61">
        <w:rPr>
          <w:rFonts w:ascii="Times New Roman" w:hAnsi="Times New Roman" w:cs="Times New Roman"/>
          <w:sz w:val="24"/>
          <w:szCs w:val="24"/>
          <w:highlight w:val="cyan"/>
        </w:rPr>
        <w:t>ijffels</w:t>
      </w:r>
      <w:proofErr w:type="spellEnd"/>
      <w:r w:rsidR="00402B71" w:rsidRPr="00103A61">
        <w:rPr>
          <w:rFonts w:ascii="Times New Roman" w:hAnsi="Times New Roman" w:cs="Times New Roman"/>
          <w:sz w:val="24"/>
          <w:szCs w:val="24"/>
          <w:highlight w:val="cyan"/>
        </w:rPr>
        <w:t>, Straka, &amp; Straková, 2023</w:t>
      </w:r>
      <w:r w:rsidR="005A2E0A" w:rsidRPr="00103A61">
        <w:rPr>
          <w:rFonts w:ascii="Times New Roman" w:hAnsi="Times New Roman" w:cs="Times New Roman"/>
          <w:sz w:val="24"/>
          <w:szCs w:val="24"/>
          <w:highlight w:val="cyan"/>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0B2F6D">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lastRenderedPageBreak/>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w:t>
      </w:r>
      <w:proofErr w:type="gramStart"/>
      <w:r w:rsidRPr="000B2F6D">
        <w:rPr>
          <w:rFonts w:ascii="Times New Roman" w:hAnsi="Times New Roman" w:cs="Times New Roman"/>
          <w:sz w:val="24"/>
          <w:szCs w:val="24"/>
        </w:rPr>
        <w:t>a sufficient number of</w:t>
      </w:r>
      <w:proofErr w:type="gramEnd"/>
      <w:r w:rsidRPr="000B2F6D">
        <w:rPr>
          <w:rFonts w:ascii="Times New Roman" w:hAnsi="Times New Roman" w:cs="Times New Roman"/>
          <w:sz w:val="24"/>
          <w:szCs w:val="24"/>
        </w:rPr>
        <w:t xml:space="preserve">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s &lt; 20). Eighty-five 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w:t>
      </w:r>
      <w:commentRangeStart w:id="6"/>
      <w:r w:rsidRPr="00103A61">
        <w:rPr>
          <w:rFonts w:ascii="Times New Roman" w:hAnsi="Times New Roman" w:cs="Times New Roman"/>
          <w:sz w:val="24"/>
          <w:szCs w:val="24"/>
        </w:rPr>
        <w:t>plurality</w:t>
      </w:r>
      <w:commentRangeEnd w:id="6"/>
      <w:r w:rsidRPr="00103A61">
        <w:rPr>
          <w:rStyle w:val="CommentReference"/>
          <w:rFonts w:ascii="Times New Roman" w:hAnsi="Times New Roman" w:cs="Times New Roman"/>
          <w:sz w:val="24"/>
          <w:szCs w:val="24"/>
        </w:rPr>
        <w:commentReference w:id="6"/>
      </w:r>
      <w:r w:rsidRPr="00103A61">
        <w:rPr>
          <w:rFonts w:ascii="Times New Roman" w:hAnsi="Times New Roman" w:cs="Times New Roman"/>
          <w:sz w:val="24"/>
          <w:szCs w:val="24"/>
        </w:rPr>
        <w:t xml:space="preserve"> did not substantially alter its use. After dropping low frequency cues and correcting for plurals and alternate spellings, the final affordance dataset contained 2825 cues. </w:t>
      </w:r>
    </w:p>
    <w:p w14:paraId="0C1E8F57" w14:textId="5CC2181F" w:rsidR="00AD5757" w:rsidRPr="000B2F6D" w:rsidRDefault="00095721" w:rsidP="00AD57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491E43">
        <w:rPr>
          <w:rFonts w:ascii="Times New Roman" w:hAnsi="Times New Roman" w:cs="Times New Roman"/>
          <w:sz w:val="24"/>
          <w:szCs w:val="24"/>
          <w:highlight w:val="yellow"/>
        </w:rPr>
        <w:t>3389</w:t>
      </w:r>
      <w:r w:rsidR="00386890">
        <w:rPr>
          <w:rFonts w:ascii="Times New Roman" w:hAnsi="Times New Roman" w:cs="Times New Roman"/>
          <w:sz w:val="24"/>
          <w:szCs w:val="24"/>
          <w:highlight w:val="yellow"/>
        </w:rPr>
        <w:t>4</w:t>
      </w:r>
      <w:r w:rsidR="00AD5757" w:rsidRPr="00491E43">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tokenized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 </w:t>
      </w:r>
      <w:r w:rsidR="00AD5757" w:rsidRPr="00103A61">
        <w:rPr>
          <w:rFonts w:ascii="Times New Roman" w:hAnsi="Times New Roman" w:cs="Times New Roman"/>
          <w:sz w:val="24"/>
          <w:szCs w:val="24"/>
        </w:rPr>
        <w:t xml:space="preserve">which accounted for </w:t>
      </w:r>
      <w:r w:rsidR="00AD5757" w:rsidRPr="00386890">
        <w:rPr>
          <w:rFonts w:ascii="Times New Roman" w:hAnsi="Times New Roman" w:cs="Times New Roman"/>
          <w:sz w:val="24"/>
          <w:szCs w:val="24"/>
          <w:highlight w:val="yellow"/>
        </w:rPr>
        <w:t>5</w:t>
      </w:r>
      <w:r w:rsidR="00386890" w:rsidRPr="00386890">
        <w:rPr>
          <w:rFonts w:ascii="Times New Roman" w:hAnsi="Times New Roman" w:cs="Times New Roman"/>
          <w:sz w:val="24"/>
          <w:szCs w:val="24"/>
          <w:highlight w:val="yellow"/>
        </w:rPr>
        <w:t>.31</w:t>
      </w:r>
      <w:r w:rsidR="00AD5757" w:rsidRPr="00386890">
        <w:rPr>
          <w:rFonts w:ascii="Times New Roman" w:hAnsi="Times New Roman" w:cs="Times New Roman"/>
          <w:sz w:val="24"/>
          <w:szCs w:val="24"/>
          <w:highlight w:val="yellow"/>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one of two categories: Those which reflected specific object uses (e.g., responding to the cue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AD5757" w:rsidRPr="00103A61">
        <w:rPr>
          <w:rFonts w:ascii="Times New Roman" w:hAnsi="Times New Roman" w:cs="Times New Roman"/>
          <w:i/>
          <w:iCs/>
          <w:sz w:val="24"/>
          <w:szCs w:val="24"/>
        </w:rPr>
        <w:t>meat</w:t>
      </w:r>
      <w:r w:rsidR="00AD5757" w:rsidRPr="00103A61">
        <w:rPr>
          <w:rFonts w:ascii="Times New Roman" w:hAnsi="Times New Roman" w:cs="Times New Roman"/>
          <w:sz w:val="24"/>
          <w:szCs w:val="24"/>
        </w:rPr>
        <w:t xml:space="preserve">, participants might respond </w:t>
      </w:r>
      <w:r w:rsidR="00AD5757" w:rsidRPr="00103A61">
        <w:rPr>
          <w:rFonts w:ascii="Times New Roman" w:hAnsi="Times New Roman" w:cs="Times New Roman"/>
          <w:i/>
          <w:iCs/>
          <w:sz w:val="24"/>
          <w:szCs w:val="24"/>
        </w:rPr>
        <w:t>cut with knife</w:t>
      </w:r>
      <w:r w:rsidR="00AD5757" w:rsidRPr="00103A61">
        <w:rPr>
          <w:rFonts w:ascii="Times New Roman" w:hAnsi="Times New Roman" w:cs="Times New Roman"/>
          <w:sz w:val="24"/>
          <w:szCs w:val="24"/>
        </w:rPr>
        <w:t xml:space="preserve">. In this case, only the verb </w:t>
      </w:r>
      <w:r w:rsidR="00AD5757" w:rsidRPr="00103A61">
        <w:rPr>
          <w:rFonts w:ascii="Times New Roman" w:hAnsi="Times New Roman" w:cs="Times New Roman"/>
          <w:i/>
          <w:iCs/>
          <w:sz w:val="24"/>
          <w:szCs w:val="24"/>
        </w:rPr>
        <w:t xml:space="preserve">cut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removed </w:t>
      </w:r>
      <w:r w:rsidR="00AD5757" w:rsidRPr="006110A9">
        <w:rPr>
          <w:rFonts w:ascii="Times New Roman" w:hAnsi="Times New Roman" w:cs="Times New Roman"/>
          <w:sz w:val="24"/>
          <w:szCs w:val="24"/>
          <w:highlight w:val="yellow"/>
        </w:rPr>
        <w:t>97</w:t>
      </w:r>
      <w:r w:rsidR="00386890">
        <w:rPr>
          <w:rFonts w:ascii="Times New Roman" w:hAnsi="Times New Roman" w:cs="Times New Roman"/>
          <w:sz w:val="24"/>
          <w:szCs w:val="24"/>
          <w:highlight w:val="yellow"/>
        </w:rPr>
        <w:t>5</w:t>
      </w:r>
      <w:r w:rsidR="00AD5757" w:rsidRPr="006110A9">
        <w:rPr>
          <w:rFonts w:ascii="Times New Roman" w:hAnsi="Times New Roman" w:cs="Times New Roman"/>
          <w:sz w:val="24"/>
          <w:szCs w:val="24"/>
          <w:highlight w:val="yellow"/>
        </w:rPr>
        <w:t>8</w:t>
      </w:r>
      <w:r w:rsidR="00386890" w:rsidRPr="00386890">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tokens. Finally, an additional </w:t>
      </w:r>
      <w:r w:rsidR="00AD5757" w:rsidRPr="006110A9">
        <w:rPr>
          <w:rFonts w:ascii="Times New Roman" w:hAnsi="Times New Roman" w:cs="Times New Roman"/>
          <w:sz w:val="24"/>
          <w:szCs w:val="24"/>
          <w:highlight w:val="yellow"/>
        </w:rPr>
        <w:t>16</w:t>
      </w:r>
      <w:r w:rsidR="00386890" w:rsidRPr="00386890">
        <w:rPr>
          <w:rFonts w:ascii="Times New Roman" w:hAnsi="Times New Roman" w:cs="Times New Roman"/>
          <w:sz w:val="24"/>
          <w:szCs w:val="24"/>
          <w:highlight w:val="yellow"/>
        </w:rPr>
        <w:t>788</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Commonly, these verbs appeared as part of an action </w:t>
      </w:r>
      <w:r w:rsidR="00AD5757">
        <w:rPr>
          <w:rFonts w:ascii="Times New Roman" w:hAnsi="Times New Roman" w:cs="Times New Roman"/>
          <w:sz w:val="24"/>
          <w:szCs w:val="24"/>
        </w:rPr>
        <w:lastRenderedPageBreak/>
        <w:t xml:space="preserve">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the response </w:t>
      </w:r>
      <w:r w:rsidR="000B2F6D">
        <w:rPr>
          <w:rFonts w:ascii="Times New Roman" w:hAnsi="Times New Roman" w:cs="Times New Roman"/>
          <w:i/>
          <w:iCs/>
          <w:sz w:val="24"/>
          <w:szCs w:val="24"/>
        </w:rPr>
        <w:t>close to keep you safe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non-affordance noun. Thus, only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would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 xml:space="preserve">As such, the final affordance dataset contained </w:t>
      </w:r>
      <w:r w:rsidR="000B2F6D" w:rsidRPr="006110A9">
        <w:rPr>
          <w:rFonts w:ascii="Times New Roman" w:hAnsi="Times New Roman" w:cs="Times New Roman"/>
          <w:sz w:val="24"/>
          <w:szCs w:val="24"/>
          <w:highlight w:val="yellow"/>
        </w:rPr>
        <w:t>202998</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77777777" w:rsidR="000B2F6D" w:rsidRDefault="000B2F6D" w:rsidP="000B2F6D">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Calculating 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computed two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4F07AE3A" w14:textId="797B17B9" w:rsidR="004E68CF" w:rsidRPr="00103A61" w:rsidRDefault="000B2F6D" w:rsidP="000B2F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w:t>
      </w:r>
      <w:r w:rsidR="004E68CF" w:rsidRPr="00103A61">
        <w:rPr>
          <w:rFonts w:ascii="Times New Roman" w:hAnsi="Times New Roman" w:cs="Times New Roman"/>
          <w:sz w:val="24"/>
          <w:szCs w:val="24"/>
        </w:rPr>
        <w:t xml:space="preserve">, we calculated </w:t>
      </w:r>
      <w:r>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4E68CF">
      <w:pPr>
        <w:spacing w:after="0" w:line="480" w:lineRule="auto"/>
        <w:rPr>
          <w:rFonts w:ascii="Times New Roman" w:hAnsi="Times New Roman" w:cs="Times New Roman"/>
          <w:sz w:val="24"/>
          <w:szCs w:val="24"/>
        </w:rPr>
      </w:pPr>
      <w:commentRangeStart w:id="7"/>
      <w:r w:rsidRPr="00103A61">
        <w:rPr>
          <w:rFonts w:ascii="Times New Roman" w:hAnsi="Times New Roman" w:cs="Times New Roman"/>
          <w:b/>
          <w:bCs/>
          <w:sz w:val="24"/>
          <w:szCs w:val="24"/>
        </w:rPr>
        <w:t>Shiny Application</w:t>
      </w:r>
      <w:commentRangeEnd w:id="7"/>
      <w:r w:rsidR="006B53EC" w:rsidRPr="00103A61">
        <w:rPr>
          <w:rStyle w:val="CommentReference"/>
          <w:rFonts w:ascii="Times New Roman" w:hAnsi="Times New Roman" w:cs="Times New Roman"/>
          <w:sz w:val="24"/>
          <w:szCs w:val="24"/>
        </w:rPr>
        <w:commentReference w:id="7"/>
      </w:r>
    </w:p>
    <w:p w14:paraId="06144086" w14:textId="19BC88FC" w:rsidR="00AB55E8" w:rsidRPr="00103A61" w:rsidRDefault="00AB55E8" w:rsidP="00AB55E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 xml:space="preserve">While the final dataset </w:t>
      </w:r>
      <w:r w:rsidR="007E31C8">
        <w:rPr>
          <w:rFonts w:ascii="Times New Roman" w:hAnsi="Times New Roman" w:cs="Times New Roman"/>
          <w:sz w:val="24"/>
          <w:szCs w:val="24"/>
        </w:rPr>
        <w:t>is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t>BOI Rating (</w:t>
      </w:r>
      <w:proofErr w:type="spellStart"/>
      <w:r w:rsidR="00EC3AA2" w:rsidRPr="00103A61">
        <w:rPr>
          <w:rFonts w:ascii="Times New Roman" w:hAnsi="Times New Roman" w:cs="Times New Roman"/>
          <w:sz w:val="24"/>
          <w:szCs w:val="24"/>
        </w:rPr>
        <w:t>Pexman</w:t>
      </w:r>
      <w:proofErr w:type="spellEnd"/>
      <w:r w:rsidR="00EC3AA2" w:rsidRPr="00103A61">
        <w:rPr>
          <w:rFonts w:ascii="Times New Roman" w:hAnsi="Times New Roman" w:cs="Times New Roman"/>
          <w:sz w:val="24"/>
          <w:szCs w:val="24"/>
        </w:rPr>
        <w:t xml:space="preserve"> et al., 2019), Concreteness (</w:t>
      </w:r>
      <w:r w:rsidR="00EC3AA2" w:rsidRPr="00103A61">
        <w:rPr>
          <w:rFonts w:ascii="Times New Roman" w:hAnsi="Times New Roman" w:cs="Times New Roman"/>
          <w:sz w:val="24"/>
          <w:szCs w:val="24"/>
          <w:highlight w:val="cyan"/>
        </w:rPr>
        <w:t>Brysbaert</w:t>
      </w:r>
      <w:r w:rsidR="00F9350C" w:rsidRPr="00103A61">
        <w:rPr>
          <w:rFonts w:ascii="Times New Roman" w:hAnsi="Times New Roman" w:cs="Times New Roman"/>
          <w:sz w:val="24"/>
          <w:szCs w:val="24"/>
          <w:highlight w:val="cyan"/>
        </w:rPr>
        <w:t xml:space="preserve"> et al.</w:t>
      </w:r>
      <w:r w:rsidR="00EC3AA2" w:rsidRPr="00103A61">
        <w:rPr>
          <w:rFonts w:ascii="Times New Roman" w:hAnsi="Times New Roman" w:cs="Times New Roman"/>
          <w:sz w:val="24"/>
          <w:szCs w:val="24"/>
          <w:highlight w:val="cyan"/>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acquisition </w:t>
      </w:r>
      <w:r w:rsidRPr="00103A61">
        <w:rPr>
          <w:rFonts w:ascii="Times New Roman" w:hAnsi="Times New Roman" w:cs="Times New Roman"/>
          <w:sz w:val="24"/>
          <w:szCs w:val="24"/>
          <w:highlight w:val="cyan"/>
        </w:rPr>
        <w:t>(</w:t>
      </w:r>
      <w:proofErr w:type="spellStart"/>
      <w:r w:rsidR="00F9350C" w:rsidRPr="00103A61">
        <w:rPr>
          <w:rFonts w:ascii="Times New Roman" w:hAnsi="Times New Roman" w:cs="Times New Roman"/>
          <w:sz w:val="24"/>
          <w:szCs w:val="24"/>
          <w:highlight w:val="cyan"/>
        </w:rPr>
        <w:t>AoA</w:t>
      </w:r>
      <w:proofErr w:type="spellEnd"/>
      <w:r w:rsidR="00F9350C" w:rsidRPr="00103A61">
        <w:rPr>
          <w:rFonts w:ascii="Times New Roman" w:hAnsi="Times New Roman" w:cs="Times New Roman"/>
          <w:sz w:val="24"/>
          <w:szCs w:val="24"/>
          <w:highlight w:val="cyan"/>
        </w:rPr>
        <w:t xml:space="preserve">; </w:t>
      </w:r>
      <w:r w:rsidR="00EC3AA2" w:rsidRPr="00103A61">
        <w:rPr>
          <w:rFonts w:ascii="Times New Roman" w:hAnsi="Times New Roman" w:cs="Times New Roman"/>
          <w:sz w:val="24"/>
          <w:szCs w:val="24"/>
          <w:highlight w:val="cyan"/>
        </w:rPr>
        <w:t xml:space="preserve">Kuperman, </w:t>
      </w:r>
      <w:proofErr w:type="spellStart"/>
      <w:r w:rsidR="00EC3AA2" w:rsidRPr="00103A61">
        <w:rPr>
          <w:rFonts w:ascii="Times New Roman" w:hAnsi="Times New Roman" w:cs="Times New Roman"/>
          <w:sz w:val="24"/>
          <w:szCs w:val="24"/>
          <w:highlight w:val="cyan"/>
        </w:rPr>
        <w:t>Stadthagen</w:t>
      </w:r>
      <w:proofErr w:type="spellEnd"/>
      <w:r w:rsidR="00EC3AA2" w:rsidRPr="00103A61">
        <w:rPr>
          <w:rFonts w:ascii="Times New Roman" w:hAnsi="Times New Roman" w:cs="Times New Roman"/>
          <w:sz w:val="24"/>
          <w:szCs w:val="24"/>
          <w:highlight w:val="cyan"/>
        </w:rPr>
        <w:t>-Gonzalez, &amp; Brysbaert, 2012</w:t>
      </w:r>
      <w:r w:rsidRPr="00103A61">
        <w:rPr>
          <w:rFonts w:ascii="Times New Roman" w:hAnsi="Times New Roman" w:cs="Times New Roman"/>
          <w:sz w:val="24"/>
          <w:szCs w:val="24"/>
          <w:highlight w:val="cyan"/>
        </w:rPr>
        <w:t>)</w:t>
      </w:r>
      <w:r w:rsidRPr="00103A61">
        <w:rPr>
          <w:rFonts w:ascii="Times New Roman" w:hAnsi="Times New Roman" w:cs="Times New Roman"/>
          <w:sz w:val="24"/>
          <w:szCs w:val="24"/>
        </w:rPr>
        <w:t>,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provide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For both tables, users can search and filter the dataset based on the values in each common, and 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5DC6769E" w:rsidR="00B14FAA" w:rsidRDefault="00C33567" w:rsidP="00C335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the cleaned affordance dataset. First, we provide descriptive statistics for the new AFS and AFSS measures and detail the degree of overlap between the affordance norm set and existing measures of meaning. We then conducted a series of analyses to assess the validity of this dataset. </w:t>
      </w:r>
      <w:r w:rsidR="00641D68">
        <w:rPr>
          <w:rFonts w:ascii="Times New Roman" w:hAnsi="Times New Roman" w:cs="Times New Roman"/>
          <w:sz w:val="24"/>
          <w:szCs w:val="24"/>
        </w:rPr>
        <w:t>B</w:t>
      </w:r>
      <w:r>
        <w:rPr>
          <w:rFonts w:ascii="Times New Roman" w:hAnsi="Times New Roman" w:cs="Times New Roman"/>
          <w:sz w:val="24"/>
          <w:szCs w:val="24"/>
        </w:rPr>
        <w:t xml:space="preserve">ecause our stimuli overlapped with </w:t>
      </w: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et al.’s BOI ratings, we assessed the relationship between BOI and AFSS.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AFSS and concreteness, age-of-acquisition, and </w:t>
      </w:r>
      <w:r w:rsidR="00B14FAA">
        <w:rPr>
          <w:rFonts w:ascii="Times New Roman" w:hAnsi="Times New Roman" w:cs="Times New Roman"/>
          <w:sz w:val="24"/>
          <w:szCs w:val="24"/>
        </w:rPr>
        <w:lastRenderedPageBreak/>
        <w:t>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common or are acquired later in life would have less uses, given that these words often have referents that are highly specific</w:t>
      </w:r>
      <w:r w:rsidR="00994FA9">
        <w:rPr>
          <w:rFonts w:ascii="Times New Roman" w:hAnsi="Times New Roman" w:cs="Times New Roman"/>
          <w:sz w:val="24"/>
          <w:szCs w:val="24"/>
        </w:rPr>
        <w:t>, which would potentially result in fewer perceived uses</w:t>
      </w:r>
      <w:r w:rsidR="00B14FAA">
        <w:rPr>
          <w:rFonts w:ascii="Times New Roman" w:hAnsi="Times New Roman" w:cs="Times New Roman"/>
          <w:sz w:val="24"/>
          <w:szCs w:val="24"/>
        </w:rPr>
        <w:t xml:space="preserve"> (e.g., </w:t>
      </w:r>
      <w:r w:rsidR="00B14FAA" w:rsidRPr="00B14FAA">
        <w:rPr>
          <w:rFonts w:ascii="Times New Roman" w:hAnsi="Times New Roman" w:cs="Times New Roman"/>
          <w:sz w:val="24"/>
          <w:szCs w:val="24"/>
          <w:highlight w:val="yellow"/>
        </w:rPr>
        <w:t>EXAMPLE</w:t>
      </w:r>
      <w:r w:rsidR="00B14FAA">
        <w:rPr>
          <w:rFonts w:ascii="Times New Roman" w:hAnsi="Times New Roman" w:cs="Times New Roman"/>
          <w:sz w:val="24"/>
          <w:szCs w:val="24"/>
        </w:rPr>
        <w:t xml:space="preserve">). </w:t>
      </w:r>
    </w:p>
    <w:p w14:paraId="54B01E9F" w14:textId="6B6569A3" w:rsidR="007C6516" w:rsidRPr="00103A61" w:rsidRDefault="00B14FAA" w:rsidP="00C335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given concerns that affordance responses might simply mimic free association norms (i.e., participants were simply responding with the first word that came to mind, regardless of whether it constituted a use), we assessed the relationship between AFS and FAS values taken from Nelson et al. (2004) and COS similarity taken from Buchanan et al. (2019a). </w:t>
      </w:r>
      <w:r w:rsidR="00B6586E">
        <w:rPr>
          <w:rFonts w:ascii="Times New Roman" w:hAnsi="Times New Roman" w:cs="Times New Roman"/>
          <w:sz w:val="24"/>
          <w:szCs w:val="24"/>
        </w:rPr>
        <w:t xml:space="preserve">These analyses were conducted separately, using small subsets of cue-affordance pairs which overlapped with these existing databases. Because affordances reflect a distinct type of meaning compared to cue-target associations and feature similarity, we anticipated that there would be a weak relationship between AFS and these measures of meaning. However, some overlap was anticipated, given that the measures used to represent various types of meaning may overlap, even though they have been demonstrated to assess different constructs (see </w:t>
      </w:r>
      <w:r w:rsidR="00B6586E" w:rsidRPr="00B6586E">
        <w:rPr>
          <w:rFonts w:ascii="Times New Roman" w:hAnsi="Times New Roman" w:cs="Times New Roman"/>
          <w:sz w:val="24"/>
          <w:szCs w:val="24"/>
          <w:highlight w:val="cyan"/>
        </w:rPr>
        <w:t>Maki &amp; Buchanan, 2008</w:t>
      </w:r>
      <w:r w:rsidR="00B6586E">
        <w:rPr>
          <w:rFonts w:ascii="Times New Roman" w:hAnsi="Times New Roman" w:cs="Times New Roman"/>
          <w:sz w:val="24"/>
          <w:szCs w:val="24"/>
        </w:rPr>
        <w:t>).</w:t>
      </w:r>
    </w:p>
    <w:p w14:paraId="4BE69CE0" w14:textId="3960765A" w:rsidR="00F52251" w:rsidRPr="00103A61" w:rsidRDefault="00F52251"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7AA274BE" w:rsidR="00620C79" w:rsidRPr="00103A61" w:rsidRDefault="00620C79"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7D14A4B5" w14:textId="1EC087F5" w:rsidR="00F52251" w:rsidRPr="00103A61" w:rsidRDefault="00F52251"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Validity</w:t>
      </w:r>
    </w:p>
    <w:p w14:paraId="7222B94B" w14:textId="055CE13D" w:rsidR="00620C79" w:rsidRPr="00103A61" w:rsidRDefault="00620C79"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572A58BF" w14:textId="113D00FB" w:rsidR="00F52251"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37C23EBA" w:rsidR="00620C79" w:rsidRPr="00103A61" w:rsidRDefault="00620C79"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lastRenderedPageBreak/>
        <w:t>[WORDS HERE]</w:t>
      </w:r>
    </w:p>
    <w:p w14:paraId="5C84CCBF" w14:textId="020E4BE9" w:rsidR="00F52251"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2E63A92D" w14:textId="385B993F" w:rsidR="00F52251" w:rsidRPr="00103A61" w:rsidRDefault="00F52251"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8C088AA" w14:textId="77777777" w:rsidR="00496962" w:rsidRPr="00103A61" w:rsidRDefault="00496962">
      <w:pPr>
        <w:rPr>
          <w:rFonts w:ascii="Times New Roman" w:hAnsi="Times New Roman" w:cs="Times New Roman"/>
          <w:sz w:val="24"/>
          <w:szCs w:val="24"/>
        </w:rPr>
      </w:pPr>
      <w:r w:rsidRPr="00103A61">
        <w:rPr>
          <w:rFonts w:ascii="Times New Roman" w:hAnsi="Times New Roman" w:cs="Times New Roman"/>
          <w:sz w:val="24"/>
          <w:szCs w:val="24"/>
        </w:rPr>
        <w:br w:type="page"/>
      </w:r>
    </w:p>
    <w:p w14:paraId="229DABD5" w14:textId="77777777" w:rsidR="00496962" w:rsidRPr="00103A61" w:rsidRDefault="00496962" w:rsidP="0049696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49696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496962">
      <w:pPr>
        <w:spacing w:after="0" w:line="480" w:lineRule="auto"/>
        <w:rPr>
          <w:rFonts w:ascii="Times New Roman" w:hAnsi="Times New Roman" w:cs="Times New Roman"/>
          <w:b/>
          <w:bCs/>
          <w:sz w:val="24"/>
          <w:szCs w:val="24"/>
        </w:rPr>
      </w:pPr>
      <w:commentRangeStart w:id="8"/>
      <w:r w:rsidRPr="00103A61">
        <w:rPr>
          <w:rFonts w:ascii="Times New Roman" w:hAnsi="Times New Roman" w:cs="Times New Roman"/>
          <w:b/>
          <w:bCs/>
          <w:sz w:val="24"/>
          <w:szCs w:val="24"/>
        </w:rPr>
        <w:t>Funding Declarations</w:t>
      </w:r>
      <w:commentRangeEnd w:id="8"/>
      <w:r w:rsidR="00FB6977" w:rsidRPr="00103A61">
        <w:rPr>
          <w:rStyle w:val="CommentReference"/>
          <w:rFonts w:ascii="Times New Roman" w:hAnsi="Times New Roman" w:cs="Times New Roman"/>
          <w:sz w:val="24"/>
          <w:szCs w:val="24"/>
        </w:rPr>
        <w:commentReference w:id="8"/>
      </w:r>
    </w:p>
    <w:p w14:paraId="44BC7B2B" w14:textId="2ABC70C6" w:rsidR="00F52251" w:rsidRPr="00103A61" w:rsidRDefault="00496962" w:rsidP="0049696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6E3866B8" w14:textId="30F0D1A8" w:rsidR="00F52251" w:rsidRPr="00103A61" w:rsidRDefault="00F52251"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t>[FIRST ONE HERE]</w:t>
      </w:r>
    </w:p>
    <w:p w14:paraId="54FFD228" w14:textId="752E23CA" w:rsidR="00123ADF" w:rsidRPr="00103A61" w:rsidRDefault="00123ADF">
      <w:pPr>
        <w:rPr>
          <w:rFonts w:ascii="Times New Roman" w:hAnsi="Times New Roman" w:cs="Times New Roman"/>
          <w:sz w:val="24"/>
          <w:szCs w:val="24"/>
        </w:rPr>
      </w:pPr>
      <w:r w:rsidRPr="00103A61">
        <w:rPr>
          <w:rFonts w:ascii="Times New Roman" w:hAnsi="Times New Roman" w:cs="Times New Roman"/>
          <w:sz w:val="24"/>
          <w:szCs w:val="24"/>
        </w:rPr>
        <w:br w:type="page"/>
      </w:r>
    </w:p>
    <w:p w14:paraId="062005BB" w14:textId="5F34FA27" w:rsidR="00123ADF" w:rsidRPr="00103A61" w:rsidRDefault="0073262C" w:rsidP="00DB6DF8">
      <w:pPr>
        <w:spacing w:after="0" w:line="480" w:lineRule="auto"/>
        <w:jc w:val="both"/>
        <w:rPr>
          <w:rFonts w:ascii="Times New Roman" w:hAnsi="Times New Roman" w:cs="Times New Roman"/>
          <w:sz w:val="24"/>
          <w:szCs w:val="24"/>
        </w:rPr>
      </w:pPr>
      <w:bookmarkStart w:id="9" w:name="_Hlk144299090"/>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060"/>
      </w:tblGrid>
      <w:tr w:rsidR="0073262C" w:rsidRPr="00103A61" w14:paraId="13E6E26E" w14:textId="77777777" w:rsidTr="003C4BEE">
        <w:trPr>
          <w:trHeight w:val="440"/>
        </w:trPr>
        <w:tc>
          <w:tcPr>
            <w:tcW w:w="3780" w:type="dxa"/>
            <w:tcBorders>
              <w:top w:val="single" w:sz="4" w:space="0" w:color="auto"/>
              <w:bottom w:val="single" w:sz="4" w:space="0" w:color="auto"/>
            </w:tcBorders>
          </w:tcPr>
          <w:p w14:paraId="55D8FA1B" w14:textId="2F344F95" w:rsidR="0073262C" w:rsidRPr="00103A61" w:rsidRDefault="0073262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3060" w:type="dxa"/>
            <w:tcBorders>
              <w:top w:val="single" w:sz="4" w:space="0" w:color="auto"/>
              <w:bottom w:val="single" w:sz="4" w:space="0" w:color="auto"/>
            </w:tcBorders>
          </w:tcPr>
          <w:p w14:paraId="7FFFD04C" w14:textId="37E6A9E8" w:rsidR="0073262C" w:rsidRPr="00103A61" w:rsidRDefault="0073262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3C4BEE">
        <w:tc>
          <w:tcPr>
            <w:tcW w:w="3780" w:type="dxa"/>
            <w:tcBorders>
              <w:top w:val="single" w:sz="4" w:space="0" w:color="auto"/>
            </w:tcBorders>
          </w:tcPr>
          <w:p w14:paraId="1B896251" w14:textId="092EEE83" w:rsidR="0073262C" w:rsidRPr="00103A61" w:rsidRDefault="0073262C" w:rsidP="003C4BEE">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3060" w:type="dxa"/>
            <w:tcBorders>
              <w:top w:val="single" w:sz="4" w:space="0" w:color="auto"/>
            </w:tcBorders>
          </w:tcPr>
          <w:p w14:paraId="008D746D" w14:textId="53B90218" w:rsidR="0073262C" w:rsidRPr="00103A61" w:rsidRDefault="00F9350C" w:rsidP="003C4BEE">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1128</w:t>
            </w:r>
          </w:p>
        </w:tc>
      </w:tr>
      <w:tr w:rsidR="0073262C" w:rsidRPr="00103A61" w14:paraId="6DD9C2D7" w14:textId="77777777" w:rsidTr="003C4BEE">
        <w:tc>
          <w:tcPr>
            <w:tcW w:w="3780" w:type="dxa"/>
          </w:tcPr>
          <w:p w14:paraId="2F832E1C" w14:textId="0EFD3BB5" w:rsidR="0073262C" w:rsidRPr="00103A61" w:rsidRDefault="0073262C" w:rsidP="003C4BEE">
            <w:pPr>
              <w:spacing w:line="360" w:lineRule="auto"/>
              <w:rPr>
                <w:rFonts w:ascii="Times New Roman" w:hAnsi="Times New Roman" w:cs="Times New Roman"/>
                <w:sz w:val="24"/>
                <w:szCs w:val="24"/>
              </w:rPr>
            </w:pPr>
            <w:r w:rsidRPr="00103A61">
              <w:rPr>
                <w:rFonts w:ascii="Times New Roman" w:hAnsi="Times New Roman" w:cs="Times New Roman"/>
                <w:sz w:val="24"/>
                <w:szCs w:val="24"/>
              </w:rPr>
              <w:t>Prolific</w:t>
            </w:r>
          </w:p>
        </w:tc>
        <w:tc>
          <w:tcPr>
            <w:tcW w:w="3060" w:type="dxa"/>
          </w:tcPr>
          <w:p w14:paraId="568CAD1B" w14:textId="0AD35089" w:rsidR="0073262C" w:rsidRPr="00103A61" w:rsidRDefault="00F9350C" w:rsidP="003C4BEE">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3C4BEE">
        <w:tc>
          <w:tcPr>
            <w:tcW w:w="3780" w:type="dxa"/>
          </w:tcPr>
          <w:p w14:paraId="74B880FF" w14:textId="4A05D838" w:rsidR="0073262C" w:rsidRPr="00103A61" w:rsidRDefault="00F9350C" w:rsidP="003C4BEE">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3060" w:type="dxa"/>
          </w:tcPr>
          <w:p w14:paraId="6539AAD0" w14:textId="2DC5F49C" w:rsidR="0073262C" w:rsidRPr="00103A61" w:rsidRDefault="00F9350C" w:rsidP="003C4BEE">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3C4BEE">
        <w:tc>
          <w:tcPr>
            <w:tcW w:w="3780" w:type="dxa"/>
          </w:tcPr>
          <w:p w14:paraId="615AE977" w14:textId="23AD34D9" w:rsidR="0073262C" w:rsidRPr="00103A61" w:rsidRDefault="00F9350C" w:rsidP="003C4BEE">
            <w:pPr>
              <w:spacing w:line="360" w:lineRule="auto"/>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3060" w:type="dxa"/>
          </w:tcPr>
          <w:p w14:paraId="77BB67EC" w14:textId="62289C37" w:rsidR="0073262C" w:rsidRPr="00103A61" w:rsidRDefault="00F9350C" w:rsidP="003C4BEE">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3C4BEE">
        <w:tc>
          <w:tcPr>
            <w:tcW w:w="3780" w:type="dxa"/>
          </w:tcPr>
          <w:p w14:paraId="2E0C1152" w14:textId="6F159D7C" w:rsidR="0073262C" w:rsidRPr="00103A61" w:rsidRDefault="00F9350C" w:rsidP="003C4BEE">
            <w:pPr>
              <w:spacing w:line="360" w:lineRule="auto"/>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3060" w:type="dxa"/>
          </w:tcPr>
          <w:p w14:paraId="2001405F" w14:textId="0567DE04" w:rsidR="0073262C" w:rsidRPr="00103A61" w:rsidRDefault="00F9350C" w:rsidP="003C4BEE">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3C4BEE">
        <w:tc>
          <w:tcPr>
            <w:tcW w:w="3780" w:type="dxa"/>
          </w:tcPr>
          <w:p w14:paraId="37003A47" w14:textId="5F5D18F4" w:rsidR="00D03206" w:rsidRPr="00103A61" w:rsidRDefault="00F9350C" w:rsidP="003C4BEE">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3060" w:type="dxa"/>
          </w:tcPr>
          <w:p w14:paraId="1EC88B83" w14:textId="06D87250" w:rsidR="00D03206" w:rsidRPr="00103A61" w:rsidRDefault="00F9350C" w:rsidP="003C4BEE">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3C4BEE">
        <w:tc>
          <w:tcPr>
            <w:tcW w:w="3780" w:type="dxa"/>
          </w:tcPr>
          <w:p w14:paraId="595FA1D3" w14:textId="364EA11D" w:rsidR="00D03206" w:rsidRPr="00103A61" w:rsidRDefault="00F9350C" w:rsidP="003C4BEE">
            <w:pPr>
              <w:spacing w:line="360" w:lineRule="auto"/>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3060" w:type="dxa"/>
          </w:tcPr>
          <w:p w14:paraId="44CFFE1C" w14:textId="010E96C8" w:rsidR="00D03206" w:rsidRPr="00103A61" w:rsidRDefault="00F9350C" w:rsidP="003C4BEE">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3C4BEE">
        <w:tc>
          <w:tcPr>
            <w:tcW w:w="3780" w:type="dxa"/>
          </w:tcPr>
          <w:p w14:paraId="134C6251" w14:textId="68F03DD4" w:rsidR="00D03206" w:rsidRPr="00103A61" w:rsidRDefault="00496962" w:rsidP="003C4BEE">
            <w:pPr>
              <w:spacing w:line="360" w:lineRule="auto"/>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3060" w:type="dxa"/>
          </w:tcPr>
          <w:p w14:paraId="74648BDF" w14:textId="55AA30FC" w:rsidR="00D03206" w:rsidRPr="00103A61" w:rsidRDefault="00496962" w:rsidP="003C4BEE">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3C4BEE">
        <w:tc>
          <w:tcPr>
            <w:tcW w:w="3780" w:type="dxa"/>
          </w:tcPr>
          <w:p w14:paraId="3532C4AB" w14:textId="0FCD81C3" w:rsidR="00D03206" w:rsidRPr="00103A61" w:rsidRDefault="00496962" w:rsidP="003C4BEE">
            <w:pPr>
              <w:spacing w:line="360" w:lineRule="auto"/>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3060" w:type="dxa"/>
          </w:tcPr>
          <w:p w14:paraId="77AF93E2" w14:textId="56F83DF4" w:rsidR="00D03206" w:rsidRPr="00103A61" w:rsidRDefault="00496962" w:rsidP="003C4BEE">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3C4BEE">
        <w:tc>
          <w:tcPr>
            <w:tcW w:w="3780" w:type="dxa"/>
            <w:tcBorders>
              <w:bottom w:val="single" w:sz="4" w:space="0" w:color="auto"/>
            </w:tcBorders>
          </w:tcPr>
          <w:p w14:paraId="5D8F0DDE" w14:textId="47B63326" w:rsidR="00D03206" w:rsidRPr="00103A61" w:rsidRDefault="00F9350C" w:rsidP="003C4BEE">
            <w:pPr>
              <w:spacing w:line="360" w:lineRule="auto"/>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3060" w:type="dxa"/>
            <w:tcBorders>
              <w:bottom w:val="single" w:sz="4" w:space="0" w:color="auto"/>
            </w:tcBorders>
          </w:tcPr>
          <w:p w14:paraId="5413F77B" w14:textId="4C38FCFF" w:rsidR="00D03206" w:rsidRPr="00103A61" w:rsidRDefault="00F9350C" w:rsidP="003C4BEE">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3C4BEE">
      <w:pPr>
        <w:spacing w:after="0" w:line="480" w:lineRule="auto"/>
        <w:rPr>
          <w:rFonts w:ascii="Times New Roman" w:hAnsi="Times New Roman" w:cs="Times New Roman"/>
          <w:sz w:val="24"/>
          <w:szCs w:val="24"/>
        </w:rPr>
      </w:pPr>
    </w:p>
    <w:p w14:paraId="11E84238" w14:textId="16410D07" w:rsidR="00F9350C" w:rsidRPr="00103A61" w:rsidRDefault="00F9350C">
      <w:pPr>
        <w:rPr>
          <w:rFonts w:ascii="Times New Roman" w:hAnsi="Times New Roman" w:cs="Times New Roman"/>
          <w:sz w:val="24"/>
          <w:szCs w:val="24"/>
        </w:rPr>
      </w:pPr>
      <w:r w:rsidRPr="00103A61">
        <w:rPr>
          <w:rFonts w:ascii="Times New Roman" w:hAnsi="Times New Roman" w:cs="Times New Roman"/>
          <w:sz w:val="24"/>
          <w:szCs w:val="24"/>
        </w:rPr>
        <w:br w:type="page"/>
      </w:r>
    </w:p>
    <w:bookmarkEnd w:id="9"/>
    <w:p w14:paraId="589D7F3D" w14:textId="2024C1E1" w:rsidR="00F9350C" w:rsidRPr="00103A61" w:rsidRDefault="00F9350C"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[TABLE 2]</w:t>
      </w:r>
    </w:p>
    <w:p w14:paraId="3D2EA729" w14:textId="41CFA23E" w:rsidR="007C119E" w:rsidRPr="00103A61" w:rsidRDefault="007C119E">
      <w:pPr>
        <w:rPr>
          <w:rFonts w:ascii="Times New Roman" w:hAnsi="Times New Roman" w:cs="Times New Roman"/>
          <w:sz w:val="24"/>
          <w:szCs w:val="24"/>
        </w:rPr>
      </w:pPr>
      <w:r w:rsidRPr="00103A61">
        <w:rPr>
          <w:rFonts w:ascii="Times New Roman" w:hAnsi="Times New Roman" w:cs="Times New Roman"/>
          <w:sz w:val="24"/>
          <w:szCs w:val="24"/>
        </w:rPr>
        <w:br w:type="page"/>
      </w:r>
    </w:p>
    <w:p w14:paraId="558FEFE6" w14:textId="2C6937C7" w:rsidR="007C119E" w:rsidRPr="00103A61" w:rsidRDefault="007C119E"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[FIGURE 1 – DATA PROCESSING PROCEDURE]</w:t>
      </w:r>
    </w:p>
    <w:p w14:paraId="5B8DAA34" w14:textId="2AC2E794" w:rsidR="007C119E" w:rsidRPr="00103A61" w:rsidRDefault="007C119E" w:rsidP="00DB6DF8">
      <w:pPr>
        <w:spacing w:after="0" w:line="480" w:lineRule="auto"/>
        <w:jc w:val="both"/>
        <w:rPr>
          <w:rFonts w:ascii="Times New Roman" w:hAnsi="Times New Roman" w:cs="Times New Roman"/>
          <w:sz w:val="24"/>
          <w:szCs w:val="24"/>
        </w:rPr>
      </w:pPr>
    </w:p>
    <w:p w14:paraId="123AED96" w14:textId="77777777" w:rsidR="007C119E" w:rsidRPr="00103A61" w:rsidRDefault="007C119E">
      <w:pPr>
        <w:rPr>
          <w:rFonts w:ascii="Times New Roman" w:hAnsi="Times New Roman" w:cs="Times New Roman"/>
          <w:sz w:val="24"/>
          <w:szCs w:val="24"/>
        </w:rPr>
      </w:pPr>
      <w:r w:rsidRPr="00103A61">
        <w:rPr>
          <w:rFonts w:ascii="Times New Roman" w:hAnsi="Times New Roman" w:cs="Times New Roman"/>
          <w:sz w:val="24"/>
          <w:szCs w:val="24"/>
        </w:rPr>
        <w:br w:type="page"/>
      </w:r>
    </w:p>
    <w:p w14:paraId="5215D616" w14:textId="275D57F7" w:rsidR="007C119E" w:rsidRPr="00103A61" w:rsidRDefault="007C119E" w:rsidP="007C119E">
      <w:pPr>
        <w:spacing w:after="0" w:line="480" w:lineRule="auto"/>
        <w:jc w:val="center"/>
        <w:rPr>
          <w:rFonts w:ascii="Times New Roman" w:hAnsi="Times New Roman" w:cs="Times New Roman"/>
          <w:b/>
          <w:sz w:val="24"/>
          <w:szCs w:val="24"/>
        </w:rPr>
      </w:pPr>
      <w:r w:rsidRPr="00103A61">
        <w:rPr>
          <w:rFonts w:ascii="Times New Roman" w:hAnsi="Times New Roman" w:cs="Times New Roman"/>
          <w:b/>
          <w:sz w:val="24"/>
          <w:szCs w:val="24"/>
        </w:rPr>
        <w:lastRenderedPageBreak/>
        <w:t>Appendix</w:t>
      </w:r>
    </w:p>
    <w:p w14:paraId="4304604B" w14:textId="4A44C21E" w:rsidR="007C119E" w:rsidRPr="00103A61" w:rsidRDefault="007C119E" w:rsidP="007C119E">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Table A1</w:t>
      </w:r>
    </w:p>
    <w:p w14:paraId="4AD7C759" w14:textId="2EF5DBE3" w:rsidR="007C119E" w:rsidRPr="00103A61" w:rsidRDefault="007C119E" w:rsidP="007C119E">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[DEMOGRAPHIC INFORMATION]</w:t>
      </w:r>
    </w:p>
    <w:sectPr w:rsidR="007C119E" w:rsidRPr="00103A61" w:rsidSect="00422857">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4-04T16:38:00Z" w:initials="NM">
    <w:p w14:paraId="12F60CD4" w14:textId="77777777" w:rsidR="002979D1" w:rsidRDefault="005F6BD4">
      <w:pPr>
        <w:pStyle w:val="CommentText"/>
      </w:pPr>
      <w:r>
        <w:rPr>
          <w:rStyle w:val="CommentReference"/>
        </w:rPr>
        <w:annotationRef/>
      </w:r>
      <w:r w:rsidR="002979D1">
        <w:t>We have a ton of authors, so anyone I'm missing? I'm also happy to add Jacob and Tyler Surber to this as long as they're willing to take a few passes through the manuscript.</w:t>
      </w:r>
    </w:p>
    <w:p w14:paraId="0456CEE0" w14:textId="77777777" w:rsidR="002979D1" w:rsidRDefault="002979D1">
      <w:pPr>
        <w:pStyle w:val="CommentText"/>
      </w:pPr>
    </w:p>
    <w:p w14:paraId="114B2126" w14:textId="77777777" w:rsidR="002979D1" w:rsidRDefault="002979D1">
      <w:pPr>
        <w:pStyle w:val="CommentText"/>
      </w:pPr>
      <w:r>
        <w:t>Author order: Me, followed by the main group at USM (went alphabetical), followed by our collaborators (again, alphabetical).</w:t>
      </w:r>
    </w:p>
    <w:p w14:paraId="0A436402" w14:textId="77777777" w:rsidR="002979D1" w:rsidRDefault="002979D1">
      <w:pPr>
        <w:pStyle w:val="CommentText"/>
      </w:pPr>
    </w:p>
    <w:p w14:paraId="47CCC9FC" w14:textId="77777777" w:rsidR="002979D1" w:rsidRDefault="002979D1" w:rsidP="00750A53">
      <w:pPr>
        <w:pStyle w:val="CommentText"/>
      </w:pPr>
      <w:r>
        <w:t>Y'all okay with this?</w:t>
      </w:r>
    </w:p>
  </w:comment>
  <w:comment w:id="1" w:author="Nick Maxwell" w:date="2023-06-17T12:03:00Z" w:initials="NM">
    <w:p w14:paraId="49909277" w14:textId="77777777" w:rsidR="002979D1" w:rsidRDefault="0097313F" w:rsidP="00096A86">
      <w:pPr>
        <w:pStyle w:val="CommentText"/>
      </w:pPr>
      <w:r>
        <w:rPr>
          <w:rStyle w:val="CommentReference"/>
        </w:rPr>
        <w:annotationRef/>
      </w:r>
      <w:r w:rsidR="002979D1">
        <w:t>I'll let our collaborators update their ,names and affiliations as needed, but for now going off the excel sheet we have</w:t>
      </w:r>
    </w:p>
  </w:comment>
  <w:comment w:id="2" w:author="Nick Maxwell" w:date="2023-07-26T11:20:00Z" w:initials="NM">
    <w:p w14:paraId="2356EE0E" w14:textId="77777777" w:rsidR="002979D1" w:rsidRDefault="002979D1" w:rsidP="005D1B47">
      <w:pPr>
        <w:pStyle w:val="CommentText"/>
      </w:pPr>
      <w:r>
        <w:rPr>
          <w:rStyle w:val="CommentReference"/>
        </w:rPr>
        <w:annotationRef/>
      </w:r>
      <w:r>
        <w:t>Figured I'd shout out my wonderful RAs who helped me comb through the mess of output</w:t>
      </w:r>
    </w:p>
  </w:comment>
  <w:comment w:id="3"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4" w:author="Nick Maxwell" w:date="2023-07-26T11:25:00Z" w:initials="NM">
    <w:p w14:paraId="3C53AD57" w14:textId="2B58F882" w:rsidR="002979D1" w:rsidRDefault="002979D1" w:rsidP="00132542">
      <w:pPr>
        <w:pStyle w:val="CommentText"/>
      </w:pPr>
      <w:r>
        <w:rPr>
          <w:rStyle w:val="CommentReference"/>
        </w:rPr>
        <w:annotationRef/>
      </w:r>
      <w:r>
        <w:t>Did any of our collaborators run the collector in a lab-based setting?</w:t>
      </w:r>
    </w:p>
  </w:comment>
  <w:comment w:id="5" w:author="Nick Maxwell" w:date="2023-07-28T10:25:00Z" w:initials="NM">
    <w:p w14:paraId="47EF861A" w14:textId="77777777"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r>
        <w:t>So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Thirsty isn't an affordance, but its still important to include for context</w:t>
      </w:r>
    </w:p>
  </w:comment>
  <w:comment w:id="6" w:author="Nick Maxwell" w:date="2023-07-29T16:42:00Z" w:initials="NM">
    <w:p w14:paraId="578F6050" w14:textId="77777777" w:rsidR="000B2F6D" w:rsidRDefault="000B2F6D" w:rsidP="000B2F6D">
      <w:pPr>
        <w:pStyle w:val="CommentText"/>
      </w:pPr>
      <w:r>
        <w:rPr>
          <w:rStyle w:val="CommentReference"/>
        </w:rPr>
        <w:annotationRef/>
      </w:r>
      <w:r>
        <w:t xml:space="preserve">Is this the right word here? I want to say </w:t>
      </w:r>
      <w:r>
        <w:rPr>
          <w:i/>
          <w:iCs/>
        </w:rPr>
        <w:t>tense</w:t>
      </w:r>
      <w:r>
        <w:t xml:space="preserve"> but I think that's only used for temporal changes, not quantity. (I was 3 hours away from being a linguistics minor in undergrad, maybe I should have finished that)</w:t>
      </w:r>
    </w:p>
  </w:comment>
  <w:comment w:id="7" w:author="Nick Maxwell" w:date="2023-08-01T15:23:00Z" w:initials="NM">
    <w:p w14:paraId="3B3FE613" w14:textId="77777777" w:rsidR="00553FFF" w:rsidRDefault="006B53EC">
      <w:pPr>
        <w:pStyle w:val="CommentText"/>
      </w:pPr>
      <w:r>
        <w:rPr>
          <w:rStyle w:val="CommentReference"/>
        </w:rPr>
        <w:annotationRef/>
      </w:r>
      <w:r w:rsidR="00553FFF">
        <w:t>I modeled this after Erin and I's paper which had a whopping two paragraphs describing the website/shiny for interfacing with the data. I can expand here if needed.</w:t>
      </w:r>
    </w:p>
    <w:p w14:paraId="1D6A4D7B" w14:textId="77777777" w:rsidR="00553FFF" w:rsidRDefault="00553FFF">
      <w:pPr>
        <w:pStyle w:val="CommentText"/>
      </w:pPr>
    </w:p>
    <w:p w14:paraId="34EB407C" w14:textId="77777777" w:rsidR="00553FFF" w:rsidRDefault="00553FFF" w:rsidP="00254AB5">
      <w:pPr>
        <w:pStyle w:val="CommentText"/>
      </w:pPr>
      <w:r>
        <w:t>lrd was more of a step-by-step guide but it was also more complicated to use.</w:t>
      </w:r>
    </w:p>
  </w:comment>
  <w:comment w:id="8"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CC9FC" w15:done="0"/>
  <w15:commentEx w15:paraId="49909277" w15:paraIdParent="47CCC9FC" w15:done="0"/>
  <w15:commentEx w15:paraId="2356EE0E" w15:done="0"/>
  <w15:commentEx w15:paraId="71E5988C" w15:done="0"/>
  <w15:commentEx w15:paraId="3C53AD57" w15:done="0"/>
  <w15:commentEx w15:paraId="296445B3" w15:done="0"/>
  <w15:commentEx w15:paraId="578F6050"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D6D102" w16cex:dateUtc="2023-04-04T21:38:00Z"/>
  <w16cex:commentExtensible w16cex:durableId="28381FA0" w16cex:dateUtc="2023-06-17T17:03:00Z"/>
  <w16cex:commentExtensible w16cex:durableId="286B7FEA" w16cex:dateUtc="2023-07-26T16:20:00Z"/>
  <w16cex:commentExtensible w16cex:durableId="2870CB24" w16cex:dateUtc="2023-07-30T16:42: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CC9FC" w16cid:durableId="27D6D102"/>
  <w16cid:commentId w16cid:paraId="49909277" w16cid:durableId="28381FA0"/>
  <w16cid:commentId w16cid:paraId="2356EE0E" w16cid:durableId="286B7FEA"/>
  <w16cid:commentId w16cid:paraId="71E5988C" w16cid:durableId="2870CB24"/>
  <w16cid:commentId w16cid:paraId="3C53AD57" w16cid:durableId="286B811C"/>
  <w16cid:commentId w16cid:paraId="296445B3" w16cid:durableId="286E1602"/>
  <w16cid:commentId w16cid:paraId="578F6050"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EBA26" w14:textId="77777777" w:rsidR="00D8489C" w:rsidRDefault="00D8489C" w:rsidP="00422857">
      <w:pPr>
        <w:spacing w:after="0" w:line="240" w:lineRule="auto"/>
      </w:pPr>
      <w:r>
        <w:separator/>
      </w:r>
    </w:p>
  </w:endnote>
  <w:endnote w:type="continuationSeparator" w:id="0">
    <w:p w14:paraId="59028EC1" w14:textId="77777777" w:rsidR="00D8489C" w:rsidRDefault="00D8489C"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E6703" w14:textId="77777777" w:rsidR="00D8489C" w:rsidRDefault="00D8489C" w:rsidP="00422857">
      <w:pPr>
        <w:spacing w:after="0" w:line="240" w:lineRule="auto"/>
      </w:pPr>
      <w:r>
        <w:separator/>
      </w:r>
    </w:p>
  </w:footnote>
  <w:footnote w:type="continuationSeparator" w:id="0">
    <w:p w14:paraId="77D87CD2" w14:textId="77777777" w:rsidR="00D8489C" w:rsidRDefault="00D8489C"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64165"/>
    <w:rsid w:val="000739FE"/>
    <w:rsid w:val="00073D51"/>
    <w:rsid w:val="00077EF8"/>
    <w:rsid w:val="00085562"/>
    <w:rsid w:val="00094379"/>
    <w:rsid w:val="00095721"/>
    <w:rsid w:val="000A22AF"/>
    <w:rsid w:val="000B2ACE"/>
    <w:rsid w:val="000B2F6D"/>
    <w:rsid w:val="000B32EA"/>
    <w:rsid w:val="000B73B9"/>
    <w:rsid w:val="000C7E43"/>
    <w:rsid w:val="000D04B7"/>
    <w:rsid w:val="000D7FED"/>
    <w:rsid w:val="000E0A91"/>
    <w:rsid w:val="00103A61"/>
    <w:rsid w:val="001078C3"/>
    <w:rsid w:val="00114A9B"/>
    <w:rsid w:val="00121607"/>
    <w:rsid w:val="00123ADF"/>
    <w:rsid w:val="00131396"/>
    <w:rsid w:val="001370E0"/>
    <w:rsid w:val="00143FDC"/>
    <w:rsid w:val="00144C69"/>
    <w:rsid w:val="001723EC"/>
    <w:rsid w:val="00182817"/>
    <w:rsid w:val="00194A21"/>
    <w:rsid w:val="001A308E"/>
    <w:rsid w:val="001B4103"/>
    <w:rsid w:val="001C02C8"/>
    <w:rsid w:val="001C42B2"/>
    <w:rsid w:val="001C4947"/>
    <w:rsid w:val="001E1590"/>
    <w:rsid w:val="001E3D2F"/>
    <w:rsid w:val="001E4C57"/>
    <w:rsid w:val="001F1A87"/>
    <w:rsid w:val="001F361E"/>
    <w:rsid w:val="00212AC3"/>
    <w:rsid w:val="0022478A"/>
    <w:rsid w:val="00236134"/>
    <w:rsid w:val="00237E22"/>
    <w:rsid w:val="002575B5"/>
    <w:rsid w:val="002611DA"/>
    <w:rsid w:val="002710A5"/>
    <w:rsid w:val="0027234E"/>
    <w:rsid w:val="00280A2E"/>
    <w:rsid w:val="00286CD9"/>
    <w:rsid w:val="0029351D"/>
    <w:rsid w:val="00297694"/>
    <w:rsid w:val="002979D1"/>
    <w:rsid w:val="002A0EE3"/>
    <w:rsid w:val="002A30B1"/>
    <w:rsid w:val="002A3615"/>
    <w:rsid w:val="002B11C8"/>
    <w:rsid w:val="002B231B"/>
    <w:rsid w:val="002B3921"/>
    <w:rsid w:val="002C39A9"/>
    <w:rsid w:val="002C602B"/>
    <w:rsid w:val="002C680E"/>
    <w:rsid w:val="002D1BB6"/>
    <w:rsid w:val="002D26BE"/>
    <w:rsid w:val="002D3DE2"/>
    <w:rsid w:val="002E335E"/>
    <w:rsid w:val="002F6965"/>
    <w:rsid w:val="00302115"/>
    <w:rsid w:val="00303B9B"/>
    <w:rsid w:val="00314580"/>
    <w:rsid w:val="00320648"/>
    <w:rsid w:val="00331B13"/>
    <w:rsid w:val="00335D07"/>
    <w:rsid w:val="003414F8"/>
    <w:rsid w:val="00345183"/>
    <w:rsid w:val="00351D0E"/>
    <w:rsid w:val="003638C4"/>
    <w:rsid w:val="00371968"/>
    <w:rsid w:val="00375F24"/>
    <w:rsid w:val="003817F3"/>
    <w:rsid w:val="00384B8A"/>
    <w:rsid w:val="00386890"/>
    <w:rsid w:val="00391239"/>
    <w:rsid w:val="00392BA6"/>
    <w:rsid w:val="00397947"/>
    <w:rsid w:val="003A26C0"/>
    <w:rsid w:val="003A6FD0"/>
    <w:rsid w:val="003B563F"/>
    <w:rsid w:val="003B5D03"/>
    <w:rsid w:val="003C1B36"/>
    <w:rsid w:val="003C4BEE"/>
    <w:rsid w:val="003E00D5"/>
    <w:rsid w:val="003E2BE9"/>
    <w:rsid w:val="003F4430"/>
    <w:rsid w:val="00402B71"/>
    <w:rsid w:val="00402CE8"/>
    <w:rsid w:val="0040412D"/>
    <w:rsid w:val="00405378"/>
    <w:rsid w:val="00410B0A"/>
    <w:rsid w:val="0041424F"/>
    <w:rsid w:val="00422857"/>
    <w:rsid w:val="00423329"/>
    <w:rsid w:val="00431BB6"/>
    <w:rsid w:val="00434E6C"/>
    <w:rsid w:val="00436878"/>
    <w:rsid w:val="004421EB"/>
    <w:rsid w:val="00446A56"/>
    <w:rsid w:val="00457748"/>
    <w:rsid w:val="00465AE2"/>
    <w:rsid w:val="004756E3"/>
    <w:rsid w:val="00483DA8"/>
    <w:rsid w:val="00491E43"/>
    <w:rsid w:val="00495923"/>
    <w:rsid w:val="00496962"/>
    <w:rsid w:val="004975FE"/>
    <w:rsid w:val="00497F28"/>
    <w:rsid w:val="004A5129"/>
    <w:rsid w:val="004C4215"/>
    <w:rsid w:val="004D176D"/>
    <w:rsid w:val="004D220C"/>
    <w:rsid w:val="004D52F9"/>
    <w:rsid w:val="004E2F35"/>
    <w:rsid w:val="004E68CF"/>
    <w:rsid w:val="004E697D"/>
    <w:rsid w:val="004F470C"/>
    <w:rsid w:val="00500AEC"/>
    <w:rsid w:val="0050537B"/>
    <w:rsid w:val="0051188B"/>
    <w:rsid w:val="00511BFB"/>
    <w:rsid w:val="00526469"/>
    <w:rsid w:val="00527577"/>
    <w:rsid w:val="005323D1"/>
    <w:rsid w:val="00533E18"/>
    <w:rsid w:val="00543AD7"/>
    <w:rsid w:val="00553FFF"/>
    <w:rsid w:val="00554505"/>
    <w:rsid w:val="00555EFA"/>
    <w:rsid w:val="00557C38"/>
    <w:rsid w:val="00560183"/>
    <w:rsid w:val="00580F3A"/>
    <w:rsid w:val="00582A4B"/>
    <w:rsid w:val="005850FE"/>
    <w:rsid w:val="005916E2"/>
    <w:rsid w:val="005A1EC9"/>
    <w:rsid w:val="005A2E0A"/>
    <w:rsid w:val="005A7991"/>
    <w:rsid w:val="005B4C89"/>
    <w:rsid w:val="005C005C"/>
    <w:rsid w:val="005C04F1"/>
    <w:rsid w:val="005C3436"/>
    <w:rsid w:val="005D4E78"/>
    <w:rsid w:val="005E4CA7"/>
    <w:rsid w:val="005F5812"/>
    <w:rsid w:val="005F69BB"/>
    <w:rsid w:val="005F6BD4"/>
    <w:rsid w:val="006110A9"/>
    <w:rsid w:val="00611913"/>
    <w:rsid w:val="006134AE"/>
    <w:rsid w:val="0061449B"/>
    <w:rsid w:val="00620C79"/>
    <w:rsid w:val="00621630"/>
    <w:rsid w:val="00635407"/>
    <w:rsid w:val="006417EB"/>
    <w:rsid w:val="00641D68"/>
    <w:rsid w:val="00657CA1"/>
    <w:rsid w:val="00657F45"/>
    <w:rsid w:val="006624C5"/>
    <w:rsid w:val="00671115"/>
    <w:rsid w:val="00672BC8"/>
    <w:rsid w:val="0068502B"/>
    <w:rsid w:val="006854CB"/>
    <w:rsid w:val="006961BA"/>
    <w:rsid w:val="006A1721"/>
    <w:rsid w:val="006A6A0D"/>
    <w:rsid w:val="006A758B"/>
    <w:rsid w:val="006B01B0"/>
    <w:rsid w:val="006B313F"/>
    <w:rsid w:val="006B53EC"/>
    <w:rsid w:val="006D1DBB"/>
    <w:rsid w:val="006D1F31"/>
    <w:rsid w:val="006D35F0"/>
    <w:rsid w:val="006D44D0"/>
    <w:rsid w:val="006E32FA"/>
    <w:rsid w:val="006E4EB5"/>
    <w:rsid w:val="006F5927"/>
    <w:rsid w:val="006F7E04"/>
    <w:rsid w:val="0070215C"/>
    <w:rsid w:val="00707AD6"/>
    <w:rsid w:val="00717E35"/>
    <w:rsid w:val="0072259F"/>
    <w:rsid w:val="00730139"/>
    <w:rsid w:val="0073262C"/>
    <w:rsid w:val="007510B9"/>
    <w:rsid w:val="00784518"/>
    <w:rsid w:val="00787F4C"/>
    <w:rsid w:val="00797654"/>
    <w:rsid w:val="007C119E"/>
    <w:rsid w:val="007C6516"/>
    <w:rsid w:val="007D06CA"/>
    <w:rsid w:val="007D615A"/>
    <w:rsid w:val="007E31C8"/>
    <w:rsid w:val="007F4CD0"/>
    <w:rsid w:val="00801104"/>
    <w:rsid w:val="00803126"/>
    <w:rsid w:val="00803EEB"/>
    <w:rsid w:val="00812861"/>
    <w:rsid w:val="0082075D"/>
    <w:rsid w:val="008242AD"/>
    <w:rsid w:val="008268E4"/>
    <w:rsid w:val="00833B5D"/>
    <w:rsid w:val="00850DD3"/>
    <w:rsid w:val="00851E95"/>
    <w:rsid w:val="008532BC"/>
    <w:rsid w:val="00874B15"/>
    <w:rsid w:val="0087690A"/>
    <w:rsid w:val="00881CA6"/>
    <w:rsid w:val="00883F2B"/>
    <w:rsid w:val="008923F5"/>
    <w:rsid w:val="00894F82"/>
    <w:rsid w:val="00895B25"/>
    <w:rsid w:val="008A43EF"/>
    <w:rsid w:val="008B5F96"/>
    <w:rsid w:val="008B6B4C"/>
    <w:rsid w:val="008C08B1"/>
    <w:rsid w:val="008C160E"/>
    <w:rsid w:val="008C2727"/>
    <w:rsid w:val="008D2FDA"/>
    <w:rsid w:val="008E5794"/>
    <w:rsid w:val="00933174"/>
    <w:rsid w:val="00952D4E"/>
    <w:rsid w:val="00953FF9"/>
    <w:rsid w:val="00956101"/>
    <w:rsid w:val="0097313F"/>
    <w:rsid w:val="009827BF"/>
    <w:rsid w:val="00994D01"/>
    <w:rsid w:val="00994FA9"/>
    <w:rsid w:val="009B36D1"/>
    <w:rsid w:val="009B6F49"/>
    <w:rsid w:val="009C188E"/>
    <w:rsid w:val="009C591D"/>
    <w:rsid w:val="009C6FFB"/>
    <w:rsid w:val="009F30C6"/>
    <w:rsid w:val="009F355E"/>
    <w:rsid w:val="009F763E"/>
    <w:rsid w:val="00A066A8"/>
    <w:rsid w:val="00A06BB9"/>
    <w:rsid w:val="00A12CD5"/>
    <w:rsid w:val="00A423CC"/>
    <w:rsid w:val="00A51C75"/>
    <w:rsid w:val="00A54A5B"/>
    <w:rsid w:val="00A5703A"/>
    <w:rsid w:val="00A60A8A"/>
    <w:rsid w:val="00A65DFB"/>
    <w:rsid w:val="00A71D58"/>
    <w:rsid w:val="00A73B46"/>
    <w:rsid w:val="00A81D81"/>
    <w:rsid w:val="00A86ABC"/>
    <w:rsid w:val="00A958F1"/>
    <w:rsid w:val="00AB4405"/>
    <w:rsid w:val="00AB47E2"/>
    <w:rsid w:val="00AB55E8"/>
    <w:rsid w:val="00AB582A"/>
    <w:rsid w:val="00AC0546"/>
    <w:rsid w:val="00AC4700"/>
    <w:rsid w:val="00AD19AF"/>
    <w:rsid w:val="00AD24BF"/>
    <w:rsid w:val="00AD5757"/>
    <w:rsid w:val="00AD7219"/>
    <w:rsid w:val="00AE43D9"/>
    <w:rsid w:val="00AF1A53"/>
    <w:rsid w:val="00AF6407"/>
    <w:rsid w:val="00B12271"/>
    <w:rsid w:val="00B13D76"/>
    <w:rsid w:val="00B14FAA"/>
    <w:rsid w:val="00B23A76"/>
    <w:rsid w:val="00B35620"/>
    <w:rsid w:val="00B37F95"/>
    <w:rsid w:val="00B54F2A"/>
    <w:rsid w:val="00B55881"/>
    <w:rsid w:val="00B57654"/>
    <w:rsid w:val="00B601F2"/>
    <w:rsid w:val="00B60DDD"/>
    <w:rsid w:val="00B6586E"/>
    <w:rsid w:val="00B66204"/>
    <w:rsid w:val="00B8294C"/>
    <w:rsid w:val="00BA1816"/>
    <w:rsid w:val="00BA226B"/>
    <w:rsid w:val="00BC4AC4"/>
    <w:rsid w:val="00BD6ADF"/>
    <w:rsid w:val="00BE1BE8"/>
    <w:rsid w:val="00BE7294"/>
    <w:rsid w:val="00BF3202"/>
    <w:rsid w:val="00C1597C"/>
    <w:rsid w:val="00C1634C"/>
    <w:rsid w:val="00C21EC6"/>
    <w:rsid w:val="00C22A2E"/>
    <w:rsid w:val="00C23766"/>
    <w:rsid w:val="00C33567"/>
    <w:rsid w:val="00C4113D"/>
    <w:rsid w:val="00C56862"/>
    <w:rsid w:val="00C617FE"/>
    <w:rsid w:val="00C77031"/>
    <w:rsid w:val="00C84B4E"/>
    <w:rsid w:val="00C86E41"/>
    <w:rsid w:val="00C9028E"/>
    <w:rsid w:val="00C91A5C"/>
    <w:rsid w:val="00C92D7A"/>
    <w:rsid w:val="00C94ECF"/>
    <w:rsid w:val="00CA1BAC"/>
    <w:rsid w:val="00CB085D"/>
    <w:rsid w:val="00CB3A7C"/>
    <w:rsid w:val="00CB6609"/>
    <w:rsid w:val="00CB665E"/>
    <w:rsid w:val="00CC5241"/>
    <w:rsid w:val="00CE39FB"/>
    <w:rsid w:val="00CE76EA"/>
    <w:rsid w:val="00D03206"/>
    <w:rsid w:val="00D067F1"/>
    <w:rsid w:val="00D07E89"/>
    <w:rsid w:val="00D108A8"/>
    <w:rsid w:val="00D16D9A"/>
    <w:rsid w:val="00D176E6"/>
    <w:rsid w:val="00D266A4"/>
    <w:rsid w:val="00D402D3"/>
    <w:rsid w:val="00D4163C"/>
    <w:rsid w:val="00D50F7C"/>
    <w:rsid w:val="00D54A2D"/>
    <w:rsid w:val="00D65D0B"/>
    <w:rsid w:val="00D72AC9"/>
    <w:rsid w:val="00D75323"/>
    <w:rsid w:val="00D835C5"/>
    <w:rsid w:val="00D8489C"/>
    <w:rsid w:val="00D93C45"/>
    <w:rsid w:val="00D97657"/>
    <w:rsid w:val="00D97C3A"/>
    <w:rsid w:val="00DA11FA"/>
    <w:rsid w:val="00DA2A7A"/>
    <w:rsid w:val="00DA632F"/>
    <w:rsid w:val="00DB1283"/>
    <w:rsid w:val="00DB27B7"/>
    <w:rsid w:val="00DB6DF8"/>
    <w:rsid w:val="00DC4EEB"/>
    <w:rsid w:val="00DE2F0B"/>
    <w:rsid w:val="00DE3225"/>
    <w:rsid w:val="00DF6856"/>
    <w:rsid w:val="00E00828"/>
    <w:rsid w:val="00E0746D"/>
    <w:rsid w:val="00E12CB3"/>
    <w:rsid w:val="00E4237F"/>
    <w:rsid w:val="00E4584D"/>
    <w:rsid w:val="00E50039"/>
    <w:rsid w:val="00E55A60"/>
    <w:rsid w:val="00E65E2D"/>
    <w:rsid w:val="00E73F60"/>
    <w:rsid w:val="00E8283F"/>
    <w:rsid w:val="00E83351"/>
    <w:rsid w:val="00EA144F"/>
    <w:rsid w:val="00EB0697"/>
    <w:rsid w:val="00EB06DC"/>
    <w:rsid w:val="00EB2820"/>
    <w:rsid w:val="00EB727F"/>
    <w:rsid w:val="00EC0767"/>
    <w:rsid w:val="00EC082E"/>
    <w:rsid w:val="00EC3AA2"/>
    <w:rsid w:val="00EC6A68"/>
    <w:rsid w:val="00EE13E9"/>
    <w:rsid w:val="00EE4C6E"/>
    <w:rsid w:val="00F05D08"/>
    <w:rsid w:val="00F12730"/>
    <w:rsid w:val="00F21A0A"/>
    <w:rsid w:val="00F30264"/>
    <w:rsid w:val="00F4229B"/>
    <w:rsid w:val="00F46545"/>
    <w:rsid w:val="00F52251"/>
    <w:rsid w:val="00F53A6F"/>
    <w:rsid w:val="00F759C0"/>
    <w:rsid w:val="00F82CE8"/>
    <w:rsid w:val="00F9350C"/>
    <w:rsid w:val="00F97294"/>
    <w:rsid w:val="00F97D1C"/>
    <w:rsid w:val="00FB5157"/>
    <w:rsid w:val="00FB6977"/>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8707</TotalTime>
  <Pages>22</Pages>
  <Words>4240</Words>
  <Characters>24168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255</cp:revision>
  <dcterms:created xsi:type="dcterms:W3CDTF">2022-10-30T21:29:00Z</dcterms:created>
  <dcterms:modified xsi:type="dcterms:W3CDTF">2023-08-30T19:54:00Z</dcterms:modified>
</cp:coreProperties>
</file>