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7DBC4EBC"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77777777" w:rsidR="0097313F" w:rsidRPr="00103A61" w:rsidRDefault="0097313F" w:rsidP="00287EA2">
      <w:pPr>
        <w:spacing w:after="0" w:line="480" w:lineRule="auto"/>
        <w:rPr>
          <w:rFonts w:ascii="Times New Roman" w:hAnsi="Times New Roman" w:cs="Times New Roman"/>
          <w:sz w:val="24"/>
          <w:szCs w:val="24"/>
        </w:rPr>
      </w:pP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72386336"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495E62">
        <w:rPr>
          <w:rFonts w:ascii="Times New Roman" w:hAnsi="Times New Roman" w:cs="Times New Roman"/>
          <w:sz w:val="24"/>
          <w:szCs w:val="24"/>
        </w:rPr>
        <w:t>the Open Science Framework:</w:t>
      </w:r>
      <w:r w:rsidR="00D108A8" w:rsidRPr="00103A61">
        <w:rPr>
          <w:rFonts w:ascii="Times New Roman" w:hAnsi="Times New Roman" w:cs="Times New Roman"/>
          <w:sz w:val="24"/>
          <w:szCs w:val="24"/>
        </w:rPr>
        <w:t xml:space="preserve"> </w:t>
      </w:r>
      <w:hyperlink r:id="rId10" w:history="1">
        <w:r w:rsidR="00495E62" w:rsidRPr="00495E62">
          <w:rPr>
            <w:rStyle w:val="Hyperlink"/>
            <w:rFonts w:ascii="Times New Roman" w:hAnsi="Times New Roman" w:cs="Times New Roman"/>
            <w:sz w:val="24"/>
            <w:szCs w:val="24"/>
          </w:rPr>
          <w:t>https://osf.io/68bkt/</w:t>
        </w:r>
      </w:hyperlink>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11"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with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Default="006417EB" w:rsidP="00287EA2">
      <w:pPr>
        <w:spacing w:after="0" w:line="480" w:lineRule="auto"/>
        <w:rPr>
          <w:rFonts w:ascii="Times New Roman" w:hAnsi="Times New Roman" w:cs="Times New Roman"/>
          <w:sz w:val="24"/>
          <w:szCs w:val="24"/>
        </w:rPr>
      </w:pPr>
      <w:commentRangeStart w:id="2"/>
      <w:r w:rsidRPr="00103A61">
        <w:rPr>
          <w:rFonts w:ascii="Times New Roman" w:hAnsi="Times New Roman" w:cs="Times New Roman"/>
          <w:sz w:val="24"/>
          <w:szCs w:val="24"/>
        </w:rPr>
        <w:t>Objects</w:t>
      </w:r>
      <w:commentRangeEnd w:id="2"/>
      <w:r w:rsidRPr="00103A61">
        <w:rPr>
          <w:rStyle w:val="CommentReference"/>
          <w:rFonts w:ascii="Times New Roman" w:hAnsi="Times New Roman" w:cs="Times New Roman"/>
          <w:sz w:val="24"/>
          <w:szCs w:val="24"/>
        </w:rPr>
        <w:commentReference w:id="2"/>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103A61">
        <w:rPr>
          <w:rFonts w:ascii="Times New Roman" w:hAnsi="Times New Roman" w:cs="Times New Roman"/>
          <w:sz w:val="24"/>
          <w:szCs w:val="24"/>
        </w:rPr>
        <w:t>Pexman</w:t>
      </w:r>
      <w:proofErr w:type="spellEnd"/>
      <w:r w:rsidRPr="00103A61">
        <w:rPr>
          <w:rFonts w:ascii="Times New Roman" w:hAnsi="Times New Roman" w:cs="Times New Roman"/>
          <w:sz w:val="24"/>
          <w:szCs w:val="24"/>
        </w:rPr>
        <w:t xml:space="preserve">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48E3B3F0"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rPr>
        <w:t>From an empirical standpoint,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C4947" w:rsidRPr="00103A61">
        <w:rPr>
          <w:rFonts w:ascii="Times New Roman" w:hAnsi="Times New Roman" w:cs="Times New Roman"/>
          <w:sz w:val="24"/>
          <w:szCs w:val="24"/>
        </w:rPr>
        <w:t xml:space="preserve">to describe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4DC04A30"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map</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these concept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 xml:space="preserve">Buchanan, Valentine, &amp; Maxwell, 2019a; McRae, Seidenberg, Cree, &amp; </w:t>
      </w:r>
      <w:proofErr w:type="spellStart"/>
      <w:r w:rsidR="0029351D" w:rsidRPr="00287EA2">
        <w:rPr>
          <w:rFonts w:ascii="Times New Roman" w:hAnsi="Times New Roman" w:cs="Times New Roman"/>
          <w:sz w:val="24"/>
          <w:szCs w:val="24"/>
        </w:rPr>
        <w:t>McNorgon</w:t>
      </w:r>
      <w:proofErr w:type="spellEnd"/>
      <w:r w:rsidR="0029351D" w:rsidRPr="00287EA2">
        <w:rPr>
          <w:rFonts w:ascii="Times New Roman" w:hAnsi="Times New Roman" w:cs="Times New Roman"/>
          <w:sz w:val="24"/>
          <w:szCs w:val="24"/>
        </w:rPr>
        <w:t>,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xml:space="preserve">; De Deyne, Navarro, </w:t>
      </w:r>
      <w:proofErr w:type="spellStart"/>
      <w:r w:rsidR="0029351D" w:rsidRPr="007D65AB">
        <w:rPr>
          <w:rFonts w:ascii="Times New Roman" w:hAnsi="Times New Roman" w:cs="Times New Roman"/>
          <w:sz w:val="24"/>
          <w:szCs w:val="24"/>
        </w:rPr>
        <w:t>Perfors</w:t>
      </w:r>
      <w:proofErr w:type="spellEnd"/>
      <w:r w:rsidR="0029351D" w:rsidRPr="007D65AB">
        <w:rPr>
          <w:rFonts w:ascii="Times New Roman" w:hAnsi="Times New Roman" w:cs="Times New Roman"/>
          <w:sz w:val="24"/>
          <w:szCs w:val="24"/>
        </w:rPr>
        <w:t xml:space="preserve">, </w:t>
      </w:r>
      <w:proofErr w:type="spellStart"/>
      <w:r w:rsidR="0029351D" w:rsidRPr="007D65AB">
        <w:rPr>
          <w:rFonts w:ascii="Times New Roman" w:hAnsi="Times New Roman" w:cs="Times New Roman"/>
          <w:sz w:val="24"/>
          <w:szCs w:val="24"/>
        </w:rPr>
        <w:t>Brsybaert</w:t>
      </w:r>
      <w:proofErr w:type="spellEnd"/>
      <w:r w:rsidR="0029351D" w:rsidRPr="007D65AB">
        <w:rPr>
          <w:rFonts w:ascii="Times New Roman" w:hAnsi="Times New Roman" w:cs="Times New Roman"/>
          <w:sz w:val="24"/>
          <w:szCs w:val="24"/>
        </w:rPr>
        <w: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 </w:t>
      </w:r>
      <w:r w:rsidR="001C02C8" w:rsidRPr="00103A61">
        <w:rPr>
          <w:rFonts w:ascii="Times New Roman" w:hAnsi="Times New Roman" w:cs="Times New Roman"/>
          <w:sz w:val="24"/>
          <w:szCs w:val="24"/>
        </w:rPr>
        <w:t xml:space="preserve">an increased </w:t>
      </w:r>
      <w:r w:rsidR="00C77031" w:rsidRPr="00103A61">
        <w:rPr>
          <w:rFonts w:ascii="Times New Roman" w:hAnsi="Times New Roman" w:cs="Times New Roman"/>
          <w:sz w:val="24"/>
          <w:szCs w:val="24"/>
        </w:rPr>
        <w:t xml:space="preserve">ease in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 xml:space="preserve">data collection afforded by online methods. As a result, large sets of feature production and free association norms are available for a variety of languages, with more recent work focusing on ensuring that sufficient overlap exists between databases containing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3F77CA67"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7D06CA" w:rsidRPr="00103A61">
        <w:rPr>
          <w:rFonts w:ascii="Times New Roman" w:hAnsi="Times New Roman" w:cs="Times New Roman"/>
          <w:sz w:val="24"/>
          <w:szCs w:val="24"/>
        </w:rPr>
        <w:t xml:space="preserve">As such,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 xml:space="preserve">measures that reflect </w:t>
      </w:r>
      <w:r w:rsidR="003638C4" w:rsidRPr="00103A61">
        <w:rPr>
          <w:rFonts w:ascii="Times New Roman" w:hAnsi="Times New Roman" w:cs="Times New Roman"/>
          <w:sz w:val="24"/>
          <w:szCs w:val="24"/>
        </w:rPr>
        <w:t>several</w:t>
      </w:r>
      <w:r w:rsidR="007D06CA" w:rsidRPr="00103A61">
        <w:rPr>
          <w:rFonts w:ascii="Times New Roman" w:hAnsi="Times New Roman" w:cs="Times New Roman"/>
          <w:sz w:val="24"/>
          <w:szCs w:val="24"/>
        </w:rPr>
        <w:t xml:space="preserve"> dimensions of meaning is paramount for understanding how individuals process concept information.</w:t>
      </w:r>
      <w:r w:rsidR="003638C4" w:rsidRPr="00103A61">
        <w:rPr>
          <w:rFonts w:ascii="Times New Roman" w:hAnsi="Times New Roman" w:cs="Times New Roman"/>
          <w:sz w:val="24"/>
          <w:szCs w:val="24"/>
        </w:rPr>
        <w:t xml:space="preserve"> Recently,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CB085D" w:rsidRPr="00103A61">
        <w:rPr>
          <w:rFonts w:ascii="Times New Roman" w:hAnsi="Times New Roman" w:cs="Times New Roman"/>
          <w:sz w:val="24"/>
          <w:szCs w:val="24"/>
        </w:rPr>
        <w:t xml:space="preserve"> e.g</w:t>
      </w:r>
      <w:r w:rsidR="00CB085D" w:rsidRPr="003D43CF">
        <w:rPr>
          <w:rFonts w:ascii="Times New Roman" w:hAnsi="Times New Roman" w:cs="Times New Roman"/>
          <w:sz w:val="24"/>
          <w:szCs w:val="24"/>
        </w:rPr>
        <w:t>., Barsalou, 2008).</w:t>
      </w:r>
      <w:r w:rsidR="002D3DE2" w:rsidRPr="00103A61">
        <w:rPr>
          <w:rFonts w:ascii="Times New Roman" w:hAnsi="Times New Roman" w:cs="Times New Roman"/>
          <w:sz w:val="24"/>
          <w:szCs w:val="24"/>
        </w:rPr>
        <w:t xml:space="preserve"> </w:t>
      </w:r>
      <w:r w:rsidR="00611913" w:rsidRPr="00103A61">
        <w:rPr>
          <w:rFonts w:ascii="Times New Roman" w:hAnsi="Times New Roman" w:cs="Times New Roman"/>
          <w:sz w:val="24"/>
          <w:szCs w:val="24"/>
        </w:rPr>
        <w:t>As such</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of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7EC053EF"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and colleagues (</w:t>
      </w:r>
      <w:r w:rsidR="00A958F1" w:rsidRPr="00103A61">
        <w:rPr>
          <w:rFonts w:ascii="Times New Roman" w:hAnsi="Times New Roman" w:cs="Times New Roman"/>
          <w:sz w:val="24"/>
          <w:szCs w:val="24"/>
          <w:highlight w:val="cyan"/>
        </w:rPr>
        <w:t xml:space="preserve">Muraki, Siddiqui,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2022</w:t>
      </w:r>
      <w:r w:rsidR="00A958F1" w:rsidRPr="00103A61">
        <w:rPr>
          <w:rFonts w:ascii="Times New Roman" w:hAnsi="Times New Roman" w:cs="Times New Roman"/>
          <w:sz w:val="24"/>
          <w:szCs w:val="24"/>
        </w:rPr>
        <w:t xml:space="preserve">; </w:t>
      </w:r>
      <w:proofErr w:type="spellStart"/>
      <w:r w:rsidR="00D97657" w:rsidRPr="00103A61">
        <w:rPr>
          <w:rFonts w:ascii="Times New Roman" w:hAnsi="Times New Roman" w:cs="Times New Roman"/>
          <w:sz w:val="24"/>
          <w:szCs w:val="24"/>
          <w:highlight w:val="cyan"/>
        </w:rPr>
        <w:t>Pexman</w:t>
      </w:r>
      <w:proofErr w:type="spellEnd"/>
      <w:r w:rsidR="00D97657" w:rsidRPr="00103A61">
        <w:rPr>
          <w:rFonts w:ascii="Times New Roman" w:hAnsi="Times New Roman" w:cs="Times New Roman"/>
          <w:sz w:val="24"/>
          <w:szCs w:val="24"/>
          <w:highlight w:val="cyan"/>
        </w:rPr>
        <w:t xml:space="preserve">, Muraki, Sidhu, </w:t>
      </w:r>
      <w:proofErr w:type="spellStart"/>
      <w:r w:rsidR="00D97657" w:rsidRPr="00103A61">
        <w:rPr>
          <w:rFonts w:ascii="Times New Roman" w:hAnsi="Times New Roman" w:cs="Times New Roman"/>
          <w:sz w:val="24"/>
          <w:szCs w:val="24"/>
          <w:highlight w:val="cyan"/>
        </w:rPr>
        <w:t>Siakaluk</w:t>
      </w:r>
      <w:proofErr w:type="spellEnd"/>
      <w:r w:rsidR="00D97657" w:rsidRPr="00103A61">
        <w:rPr>
          <w:rFonts w:ascii="Times New Roman" w:hAnsi="Times New Roman" w:cs="Times New Roman"/>
          <w:sz w:val="24"/>
          <w:szCs w:val="24"/>
          <w:highlight w:val="cyan"/>
        </w:rPr>
        <w:t xml:space="preserve">,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 xml:space="preserve">Tillotson, </w:t>
      </w:r>
      <w:proofErr w:type="spellStart"/>
      <w:r w:rsidR="00A958F1" w:rsidRPr="00103A61">
        <w:rPr>
          <w:rFonts w:ascii="Times New Roman" w:hAnsi="Times New Roman" w:cs="Times New Roman"/>
          <w:sz w:val="24"/>
          <w:szCs w:val="24"/>
          <w:highlight w:val="cyan"/>
        </w:rPr>
        <w:t>Siakaluk</w:t>
      </w:r>
      <w:proofErr w:type="spellEnd"/>
      <w:r w:rsidR="00A958F1" w:rsidRPr="00103A61">
        <w:rPr>
          <w:rFonts w:ascii="Times New Roman" w:hAnsi="Times New Roman" w:cs="Times New Roman"/>
          <w:sz w:val="24"/>
          <w:szCs w:val="24"/>
          <w:highlight w:val="cyan"/>
        </w:rPr>
        <w:t xml:space="preserve">,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D97657" w:rsidRPr="00103A61">
        <w:rPr>
          <w:rFonts w:ascii="Times New Roman" w:hAnsi="Times New Roman" w:cs="Times New Roman"/>
          <w:sz w:val="24"/>
          <w:szCs w:val="24"/>
        </w:rPr>
        <w:t xml:space="preserve">attempted to quantify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xml:space="preserve">. Recently,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D97657" w:rsidRPr="00103A61">
        <w:rPr>
          <w:rFonts w:ascii="Times New Roman" w:hAnsi="Times New Roman" w:cs="Times New Roman"/>
          <w:sz w:val="24"/>
          <w:szCs w:val="24"/>
        </w:rPr>
        <w:t xml:space="preserve"> higher values denotate</w:t>
      </w:r>
      <w:r w:rsidR="00D16D9A" w:rsidRPr="00103A61">
        <w:rPr>
          <w:rFonts w:ascii="Times New Roman" w:hAnsi="Times New Roman" w:cs="Times New Roman"/>
          <w:sz w:val="24"/>
          <w:szCs w:val="24"/>
        </w:rPr>
        <w:t>d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 xml:space="preserve">been shown to be consistent with existing measures of semantic knowledge. </w:t>
      </w:r>
      <w:r w:rsidR="00EB727F" w:rsidRPr="00103A61">
        <w:rPr>
          <w:rFonts w:ascii="Times New Roman" w:hAnsi="Times New Roman" w:cs="Times New Roman"/>
          <w:sz w:val="24"/>
          <w:szCs w:val="24"/>
        </w:rPr>
        <w:t>Overall, the authors</w:t>
      </w:r>
      <w:r w:rsidR="00657F45" w:rsidRPr="00103A61">
        <w:rPr>
          <w:rFonts w:ascii="Times New Roman" w:hAnsi="Times New Roman" w:cs="Times New Roman"/>
          <w:sz w:val="24"/>
          <w:szCs w:val="24"/>
        </w:rPr>
        <w:t xml:space="preserve"> demonstrated that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proofErr w:type="spellStart"/>
      <w:r w:rsidR="008268E4" w:rsidRPr="00103A61">
        <w:rPr>
          <w:rFonts w:ascii="Times New Roman" w:hAnsi="Times New Roman" w:cs="Times New Roman"/>
          <w:sz w:val="24"/>
          <w:szCs w:val="24"/>
          <w:highlight w:val="cyan"/>
        </w:rPr>
        <w:t>Balota</w:t>
      </w:r>
      <w:proofErr w:type="spellEnd"/>
      <w:r w:rsidR="008268E4" w:rsidRPr="00103A61">
        <w:rPr>
          <w:rFonts w:ascii="Times New Roman" w:hAnsi="Times New Roman" w:cs="Times New Roman"/>
          <w:sz w:val="24"/>
          <w:szCs w:val="24"/>
          <w:highlight w:val="cyan"/>
        </w:rPr>
        <w:t xml:space="preserve"> et al., 2007</w:t>
      </w:r>
      <w:r w:rsidR="008268E4" w:rsidRPr="00103A61">
        <w:rPr>
          <w:rFonts w:ascii="Times New Roman" w:hAnsi="Times New Roman" w:cs="Times New Roman"/>
          <w:sz w:val="24"/>
          <w:szCs w:val="24"/>
        </w:rPr>
        <w:t>) and responses from the Calgary Semantic Decision Project (</w:t>
      </w:r>
      <w:proofErr w:type="spellStart"/>
      <w:r w:rsidR="008268E4" w:rsidRPr="00103A61">
        <w:rPr>
          <w:rFonts w:ascii="Times New Roman" w:hAnsi="Times New Roman" w:cs="Times New Roman"/>
          <w:sz w:val="24"/>
          <w:szCs w:val="24"/>
          <w:highlight w:val="cyan"/>
        </w:rPr>
        <w:t>Pexman</w:t>
      </w:r>
      <w:proofErr w:type="spellEnd"/>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 xml:space="preserve">Heard, Madan, </w:t>
      </w:r>
      <w:proofErr w:type="spellStart"/>
      <w:r w:rsidR="00657F45" w:rsidRPr="00103A61">
        <w:rPr>
          <w:rFonts w:ascii="Times New Roman" w:hAnsi="Times New Roman" w:cs="Times New Roman"/>
          <w:sz w:val="24"/>
          <w:szCs w:val="24"/>
          <w:highlight w:val="cyan"/>
        </w:rPr>
        <w:t>Protzner</w:t>
      </w:r>
      <w:proofErr w:type="spellEnd"/>
      <w:r w:rsidR="00657F45" w:rsidRPr="00103A61">
        <w:rPr>
          <w:rFonts w:ascii="Times New Roman" w:hAnsi="Times New Roman" w:cs="Times New Roman"/>
          <w:sz w:val="24"/>
          <w:szCs w:val="24"/>
          <w:highlight w:val="cyan"/>
        </w:rPr>
        <w:t xml:space="preserve">, and </w:t>
      </w:r>
      <w:proofErr w:type="spellStart"/>
      <w:r w:rsidR="00657F45" w:rsidRPr="00103A61">
        <w:rPr>
          <w:rFonts w:ascii="Times New Roman" w:hAnsi="Times New Roman" w:cs="Times New Roman"/>
          <w:sz w:val="24"/>
          <w:szCs w:val="24"/>
          <w:highlight w:val="cyan"/>
        </w:rPr>
        <w:t>Pexman</w:t>
      </w:r>
      <w:proofErr w:type="spellEnd"/>
      <w:r w:rsidR="00657F45" w:rsidRPr="00103A61">
        <w:rPr>
          <w:rFonts w:ascii="Times New Roman" w:hAnsi="Times New Roman" w:cs="Times New Roman"/>
          <w:sz w:val="24"/>
          <w:szCs w:val="24"/>
          <w:highlight w:val="cyan"/>
        </w:rPr>
        <w:t xml:space="preserve">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w:t>
      </w:r>
      <w:proofErr w:type="spellStart"/>
      <w:r w:rsidR="00657F45" w:rsidRPr="00103A61">
        <w:rPr>
          <w:rFonts w:ascii="Times New Roman" w:hAnsi="Times New Roman" w:cs="Times New Roman"/>
          <w:sz w:val="24"/>
          <w:szCs w:val="24"/>
        </w:rPr>
        <w:t>graspability</w:t>
      </w:r>
      <w:proofErr w:type="spellEnd"/>
      <w:r w:rsidR="00657F45" w:rsidRPr="00103A61">
        <w:rPr>
          <w:rFonts w:ascii="Times New Roman" w:hAnsi="Times New Roman" w:cs="Times New Roman"/>
          <w:sz w:val="24"/>
          <w:szCs w:val="24"/>
        </w:rPr>
        <w:t xml:space="preserve">, ease of pantomime, and number of actions), </w:t>
      </w:r>
      <w:r w:rsidR="00F53A6F">
        <w:rPr>
          <w:rFonts w:ascii="Times New Roman" w:hAnsi="Times New Roman" w:cs="Times New Roman"/>
          <w:sz w:val="24"/>
          <w:szCs w:val="24"/>
        </w:rPr>
        <w:t xml:space="preserve">these ratings </w:t>
      </w:r>
      <w:r w:rsidR="005F69BB" w:rsidRPr="00103A61">
        <w:rPr>
          <w:rFonts w:ascii="Times New Roman" w:hAnsi="Times New Roman" w:cs="Times New Roman"/>
          <w:sz w:val="24"/>
          <w:szCs w:val="24"/>
        </w:rPr>
        <w:t>explain</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w:t>
      </w:r>
      <w:proofErr w:type="spellStart"/>
      <w:r w:rsidR="005F69BB" w:rsidRPr="00103A61">
        <w:rPr>
          <w:rFonts w:ascii="Times New Roman" w:hAnsi="Times New Roman" w:cs="Times New Roman"/>
          <w:sz w:val="24"/>
          <w:szCs w:val="24"/>
        </w:rPr>
        <w:t>Pexman</w:t>
      </w:r>
      <w:proofErr w:type="spellEnd"/>
      <w:r w:rsidR="005F69BB" w:rsidRPr="00103A61">
        <w:rPr>
          <w:rFonts w:ascii="Times New Roman" w:hAnsi="Times New Roman" w:cs="Times New Roman"/>
          <w:sz w:val="24"/>
          <w:szCs w:val="24"/>
        </w:rPr>
        <w:t xml:space="preserve">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is an important component of word meaning.</w:t>
      </w:r>
    </w:p>
    <w:p w14:paraId="1DE8EE87" w14:textId="6AC44366"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w:t>
      </w:r>
      <w:r w:rsidRPr="00103A61">
        <w:rPr>
          <w:rFonts w:ascii="Times New Roman" w:hAnsi="Times New Roman" w:cs="Times New Roman"/>
          <w:sz w:val="24"/>
          <w:szCs w:val="24"/>
        </w:rPr>
        <w:lastRenderedPageBreak/>
        <w:t xml:space="preserve">may limit their </w:t>
      </w:r>
      <w:r w:rsidR="00BE7294" w:rsidRPr="00103A61">
        <w:rPr>
          <w:rFonts w:ascii="Times New Roman" w:hAnsi="Times New Roman" w:cs="Times New Roman"/>
          <w:sz w:val="24"/>
          <w:szCs w:val="24"/>
        </w:rPr>
        <w:t>broader use</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because these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corelated with concreteness</w:t>
      </w:r>
      <w:r w:rsidR="00BE7294" w:rsidRPr="00103A61">
        <w:rPr>
          <w:rFonts w:ascii="Times New Roman" w:hAnsi="Times New Roman" w:cs="Times New Roman"/>
          <w:sz w:val="24"/>
          <w:szCs w:val="24"/>
        </w:rPr>
        <w:t xml:space="preserve">. Indeed, </w:t>
      </w:r>
      <w:proofErr w:type="spellStart"/>
      <w:r w:rsidR="00BE7294" w:rsidRPr="00103A61">
        <w:rPr>
          <w:rFonts w:ascii="Times New Roman" w:hAnsi="Times New Roman" w:cs="Times New Roman"/>
          <w:sz w:val="24"/>
          <w:szCs w:val="24"/>
        </w:rPr>
        <w:t>Pexman</w:t>
      </w:r>
      <w:proofErr w:type="spellEnd"/>
      <w:r w:rsidR="00BE7294" w:rsidRPr="00103A61">
        <w:rPr>
          <w:rFonts w:ascii="Times New Roman" w:hAnsi="Times New Roman" w:cs="Times New Roman"/>
          <w:sz w:val="24"/>
          <w:szCs w:val="24"/>
        </w:rPr>
        <w:t xml:space="preserve">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certain actions may occur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proofErr w:type="spellStart"/>
      <w:r w:rsidR="001370E0" w:rsidRPr="00103A61">
        <w:rPr>
          <w:rFonts w:ascii="Times New Roman" w:hAnsi="Times New Roman" w:cs="Times New Roman"/>
          <w:sz w:val="24"/>
          <w:szCs w:val="24"/>
          <w:highlight w:val="cyan"/>
        </w:rPr>
        <w:t>Barsaolou</w:t>
      </w:r>
      <w:proofErr w:type="spellEnd"/>
      <w:r w:rsidR="001370E0" w:rsidRPr="00103A61">
        <w:rPr>
          <w:rFonts w:ascii="Times New Roman" w:hAnsi="Times New Roman" w:cs="Times New Roman"/>
          <w:sz w:val="24"/>
          <w:szCs w:val="24"/>
          <w:highlight w:val="cyan"/>
        </w:rPr>
        <w:t>,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Thus, relying solely upon BOI as a measure of interactivity omits qualitative information which potentially influences actions.</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8B01E31"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the present study sought to develop a database of affordances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object use was captured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w:t>
      </w:r>
      <w:r w:rsidR="00C86E41" w:rsidRPr="00103A61">
        <w:rPr>
          <w:rFonts w:ascii="Times New Roman" w:hAnsi="Times New Roman" w:cs="Times New Roman"/>
          <w:sz w:val="24"/>
          <w:szCs w:val="24"/>
        </w:rPr>
        <w:lastRenderedPageBreak/>
        <w:t>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captured for each object.</w:t>
      </w:r>
      <w:r w:rsidRPr="00103A61">
        <w:rPr>
          <w:rFonts w:ascii="Times New Roman" w:hAnsi="Times New Roman" w:cs="Times New Roman"/>
          <w:sz w:val="24"/>
          <w:szCs w:val="24"/>
        </w:rPr>
        <w:t xml:space="preserve"> </w:t>
      </w:r>
    </w:p>
    <w:p w14:paraId="30E9936D" w14:textId="2FA52F45"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this dataset</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w:t>
      </w:r>
      <w:proofErr w:type="spellStart"/>
      <w:r w:rsidR="002A3615">
        <w:rPr>
          <w:rFonts w:ascii="Times New Roman" w:hAnsi="Times New Roman" w:cs="Times New Roman"/>
          <w:sz w:val="24"/>
          <w:szCs w:val="24"/>
        </w:rPr>
        <w:t>Pexman</w:t>
      </w:r>
      <w:proofErr w:type="spellEnd"/>
      <w:r w:rsidR="002A3615">
        <w:rPr>
          <w:rFonts w:ascii="Times New Roman" w:hAnsi="Times New Roman" w:cs="Times New Roman"/>
          <w:sz w:val="24"/>
          <w:szCs w:val="24"/>
        </w:rPr>
        <w:t xml:space="preserve">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 xml:space="preserve">which could potentially influence how participants process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0CE5B4CD"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recruited </w:t>
      </w:r>
      <w:r w:rsidR="004421EB" w:rsidRPr="00D7407B">
        <w:rPr>
          <w:rFonts w:ascii="Times New Roman" w:hAnsi="Times New Roman" w:cs="Times New Roman"/>
          <w:sz w:val="24"/>
          <w:szCs w:val="24"/>
          <w:highlight w:val="yellow"/>
        </w:rPr>
        <w:t>3156</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D7407B">
        <w:rPr>
          <w:rFonts w:ascii="Times New Roman" w:hAnsi="Times New Roman" w:cs="Times New Roman"/>
          <w:sz w:val="24"/>
          <w:szCs w:val="24"/>
          <w:highlight w:val="yellow"/>
        </w:rPr>
        <w:t>2399</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university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Participants were required to be native English speakers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Materials</w:t>
      </w:r>
    </w:p>
    <w:p w14:paraId="53A5C1DA" w14:textId="48F9503C"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Words were initially selected based on concreteness, such that only </w:t>
      </w:r>
      <w:r w:rsidR="0004657B" w:rsidRPr="00103A61">
        <w:rPr>
          <w:rFonts w:ascii="Times New Roman" w:hAnsi="Times New Roman" w:cs="Times New Roman"/>
          <w:sz w:val="24"/>
          <w:szCs w:val="24"/>
        </w:rPr>
        <w:lastRenderedPageBreak/>
        <w:t>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 list</w:t>
      </w:r>
      <w:r w:rsidR="00EC0767" w:rsidRPr="00103A61">
        <w:rPr>
          <w:rFonts w:ascii="Times New Roman" w:hAnsi="Times New Roman" w:cs="Times New Roman"/>
          <w:sz w:val="24"/>
          <w:szCs w:val="24"/>
        </w:rPr>
        <w:t>s which each</w:t>
      </w:r>
      <w:r w:rsidR="000B32EA" w:rsidRPr="00103A61">
        <w:rPr>
          <w:rFonts w:ascii="Times New Roman" w:hAnsi="Times New Roman" w:cs="Times New Roman"/>
          <w:sz w:val="24"/>
          <w:szCs w:val="24"/>
        </w:rPr>
        <w:t xml:space="preserve"> contain</w:t>
      </w:r>
      <w:r w:rsidR="00EC0767" w:rsidRPr="00103A61">
        <w:rPr>
          <w:rFonts w:ascii="Times New Roman" w:hAnsi="Times New Roman" w:cs="Times New Roman"/>
          <w:sz w:val="24"/>
          <w:szCs w:val="24"/>
        </w:rPr>
        <w:t>ed</w:t>
      </w:r>
      <w:r w:rsidR="000B32EA" w:rsidRPr="00103A61">
        <w:rPr>
          <w:rFonts w:ascii="Times New Roman" w:hAnsi="Times New Roman" w:cs="Times New Roman"/>
          <w:sz w:val="24"/>
          <w:szCs w:val="24"/>
        </w:rPr>
        <w:t xml:space="preserve"> 30 item</w:t>
      </w:r>
      <w:r w:rsidR="00EC0767" w:rsidRPr="00103A61">
        <w:rPr>
          <w:rFonts w:ascii="Times New Roman" w:hAnsi="Times New Roman" w:cs="Times New Roman"/>
          <w:sz w:val="24"/>
          <w:szCs w:val="24"/>
        </w:rPr>
        <w:t>s</w:t>
      </w:r>
      <w:r w:rsidR="000B32EA" w:rsidRPr="00103A61">
        <w:rPr>
          <w:rFonts w:ascii="Times New Roman" w:hAnsi="Times New Roman" w:cs="Times New Roman"/>
          <w:sz w:val="24"/>
          <w:szCs w:val="24"/>
        </w:rPr>
        <w:t>. 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0.33)</w:t>
      </w:r>
      <w:r w:rsidR="00EC0767" w:rsidRPr="00103A61">
        <w:rPr>
          <w:rFonts w:ascii="Times New Roman" w:hAnsi="Times New Roman" w:cs="Times New Roman"/>
          <w:sz w:val="24"/>
          <w:szCs w:val="24"/>
        </w:rPr>
        <w:t xml:space="preserve"> </w:t>
      </w:r>
      <w:r w:rsidR="0041424F">
        <w:rPr>
          <w:rFonts w:ascii="Times New Roman" w:hAnsi="Times New Roman" w:cs="Times New Roman"/>
          <w:sz w:val="24"/>
          <w:szCs w:val="24"/>
        </w:rPr>
        <w:t xml:space="preserve">based on </w:t>
      </w:r>
      <w:r w:rsidR="00F9350C" w:rsidRPr="00103A61">
        <w:rPr>
          <w:rFonts w:ascii="Times New Roman" w:hAnsi="Times New Roman" w:cs="Times New Roman"/>
          <w:sz w:val="24"/>
          <w:szCs w:val="24"/>
          <w:highlight w:val="cyan"/>
        </w:rPr>
        <w:t xml:space="preserve">Brysbaert, Warriner, </w:t>
      </w:r>
      <w:r w:rsidR="0041424F">
        <w:rPr>
          <w:rFonts w:ascii="Times New Roman" w:hAnsi="Times New Roman" w:cs="Times New Roman"/>
          <w:sz w:val="24"/>
          <w:szCs w:val="24"/>
          <w:highlight w:val="cyan"/>
        </w:rPr>
        <w:t>and</w:t>
      </w:r>
      <w:r w:rsidR="00F9350C" w:rsidRPr="00103A61">
        <w:rPr>
          <w:rFonts w:ascii="Times New Roman" w:hAnsi="Times New Roman" w:cs="Times New Roman"/>
          <w:sz w:val="24"/>
          <w:szCs w:val="24"/>
          <w:highlight w:val="cyan"/>
        </w:rPr>
        <w:t xml:space="preserve"> Kuperman</w:t>
      </w:r>
      <w:r w:rsidR="0041424F">
        <w:rPr>
          <w:rFonts w:ascii="Times New Roman" w:hAnsi="Times New Roman" w:cs="Times New Roman"/>
          <w:sz w:val="24"/>
          <w:szCs w:val="24"/>
        </w:rPr>
        <w:t>’s (20</w:t>
      </w:r>
      <w:r w:rsidR="00CE39FB">
        <w:rPr>
          <w:rFonts w:ascii="Times New Roman" w:hAnsi="Times New Roman" w:cs="Times New Roman"/>
          <w:sz w:val="24"/>
          <w:szCs w:val="24"/>
        </w:rPr>
        <w:t>14</w:t>
      </w:r>
      <w:r w:rsidR="00EC0767" w:rsidRPr="00103A61">
        <w:rPr>
          <w:rFonts w:ascii="Times New Roman" w:hAnsi="Times New Roman" w:cs="Times New Roman"/>
          <w:sz w:val="24"/>
          <w:szCs w:val="24"/>
        </w:rPr>
        <w:t>)</w:t>
      </w:r>
      <w:r w:rsidR="0041424F">
        <w:rPr>
          <w:rFonts w:ascii="Times New Roman" w:hAnsi="Times New Roman" w:cs="Times New Roman"/>
          <w:sz w:val="24"/>
          <w:szCs w:val="24"/>
        </w:rPr>
        <w:t xml:space="preserve"> norms</w:t>
      </w:r>
      <w:r w:rsidR="00C22A2E" w:rsidRPr="00103A61">
        <w:rPr>
          <w:rFonts w:ascii="Times New Roman" w:hAnsi="Times New Roman" w:cs="Times New Roman"/>
          <w:sz w:val="24"/>
          <w:szCs w:val="24"/>
        </w:rPr>
        <w:t xml:space="preserve">, 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0.60; </w:t>
      </w:r>
      <w:proofErr w:type="spellStart"/>
      <w:r w:rsidR="00C22A2E" w:rsidRPr="00103A61">
        <w:rPr>
          <w:rFonts w:ascii="Times New Roman" w:hAnsi="Times New Roman" w:cs="Times New Roman"/>
          <w:sz w:val="24"/>
          <w:szCs w:val="24"/>
          <w:highlight w:val="cyan"/>
        </w:rPr>
        <w:t>Pexman</w:t>
      </w:r>
      <w:proofErr w:type="spellEnd"/>
      <w:r w:rsidR="00C22A2E" w:rsidRPr="00103A61">
        <w:rPr>
          <w:rFonts w:ascii="Times New Roman" w:hAnsi="Times New Roman" w:cs="Times New Roman"/>
          <w:sz w:val="24"/>
          <w:szCs w:val="24"/>
          <w:highlight w:val="cyan"/>
        </w:rPr>
        <w:t xml:space="preserve">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45C9CF73"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required 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C91A5C" w:rsidRPr="00103A61">
        <w:rPr>
          <w:rFonts w:ascii="Times New Roman" w:hAnsi="Times New Roman" w:cs="Times New Roman"/>
          <w:sz w:val="24"/>
          <w:szCs w:val="24"/>
        </w:rPr>
        <w:t xml:space="preserve">complete </w:t>
      </w:r>
      <w:r w:rsidR="004C4215" w:rsidRPr="00103A61">
        <w:rPr>
          <w:rFonts w:ascii="Times New Roman" w:hAnsi="Times New Roman" w:cs="Times New Roman"/>
          <w:sz w:val="24"/>
          <w:szCs w:val="24"/>
        </w:rPr>
        <w:t xml:space="preserve">set of instructions </w:t>
      </w:r>
      <w:r w:rsidR="00EC0767" w:rsidRPr="00103A61">
        <w:rPr>
          <w:rFonts w:ascii="Times New Roman" w:hAnsi="Times New Roman" w:cs="Times New Roman"/>
          <w:sz w:val="24"/>
          <w:szCs w:val="24"/>
        </w:rPr>
        <w:t>is 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702FFDF1"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box 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the word. To maximize potential affordances, participants were not given specific instructions on how to format their responses (i.e., tense, 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instructed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lastRenderedPageBreak/>
        <w:t xml:space="preserve">Additionally, a prompt was located directly above the cue, which reminded participants to list as many uses for each object as they could generate. </w:t>
      </w:r>
      <w:r w:rsidR="00C91A5C" w:rsidRPr="00103A61">
        <w:rPr>
          <w:rFonts w:ascii="Times New Roman" w:hAnsi="Times New Roman" w:cs="Times New Roman"/>
          <w:sz w:val="24"/>
          <w:szCs w:val="24"/>
        </w:rPr>
        <w:t xml:space="preserve">After completing the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randomly selected one of the 100 lists of 30 items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These items were presented in a randomized order, and participant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1DF517E6"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initially screened to ensure that </w:t>
      </w:r>
      <w:r w:rsidRPr="00103A61">
        <w:rPr>
          <w:rFonts w:ascii="Times New Roman" w:hAnsi="Times New Roman" w:cs="Times New Roman"/>
          <w:sz w:val="24"/>
          <w:szCs w:val="24"/>
        </w:rPr>
        <w:t xml:space="preserve">participants adhered to the norming task’s instructions. Data from </w:t>
      </w:r>
      <w:r w:rsidR="004421EB" w:rsidRPr="00D7407B">
        <w:rPr>
          <w:rFonts w:ascii="Times New Roman" w:hAnsi="Times New Roman" w:cs="Times New Roman"/>
          <w:sz w:val="24"/>
          <w:szCs w:val="24"/>
          <w:highlight w:val="yellow"/>
        </w:rPr>
        <w:t>35</w:t>
      </w:r>
      <w:r w:rsidRPr="00103A61">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103A61">
        <w:rPr>
          <w:rFonts w:ascii="Times New Roman" w:hAnsi="Times New Roman" w:cs="Times New Roman"/>
          <w:sz w:val="24"/>
          <w:szCs w:val="24"/>
        </w:rPr>
        <w:t xml:space="preserve">, leading to </w:t>
      </w:r>
      <w:r w:rsidR="00194A21" w:rsidRPr="00D7407B">
        <w:rPr>
          <w:rFonts w:ascii="Times New Roman" w:hAnsi="Times New Roman" w:cs="Times New Roman"/>
          <w:sz w:val="24"/>
          <w:szCs w:val="24"/>
          <w:highlight w:val="yellow"/>
        </w:rPr>
        <w:t>3</w:t>
      </w:r>
      <w:r w:rsidR="004421EB" w:rsidRPr="00D7407B">
        <w:rPr>
          <w:rFonts w:ascii="Times New Roman" w:hAnsi="Times New Roman" w:cs="Times New Roman"/>
          <w:sz w:val="24"/>
          <w:szCs w:val="24"/>
          <w:highlight w:val="yellow"/>
        </w:rPr>
        <w:t>12</w:t>
      </w:r>
      <w:r w:rsidR="00194A21" w:rsidRPr="00D7407B">
        <w:rPr>
          <w:rFonts w:ascii="Times New Roman" w:hAnsi="Times New Roman" w:cs="Times New Roman"/>
          <w:sz w:val="24"/>
          <w:szCs w:val="24"/>
          <w:highlight w:val="yellow"/>
        </w:rPr>
        <w:t>1</w:t>
      </w:r>
      <w:r w:rsidR="00194A21" w:rsidRPr="00103A61">
        <w:rPr>
          <w:rFonts w:ascii="Times New Roman" w:hAnsi="Times New Roman" w:cs="Times New Roman"/>
          <w:sz w:val="24"/>
          <w:szCs w:val="24"/>
        </w:rPr>
        <w:t xml:space="preserve"> participants included in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CC5241" w:rsidRPr="00103A61">
        <w:rPr>
          <w:rFonts w:ascii="Times New Roman" w:hAnsi="Times New Roman" w:cs="Times New Roman"/>
          <w:sz w:val="24"/>
          <w:szCs w:val="24"/>
        </w:rPr>
        <w:t xml:space="preserve">using a procedure </w:t>
      </w:r>
      <w:r w:rsidR="00446A56" w:rsidRPr="00103A61">
        <w:rPr>
          <w:rFonts w:ascii="Times New Roman" w:hAnsi="Times New Roman" w:cs="Times New Roman"/>
          <w:sz w:val="24"/>
          <w:szCs w:val="24"/>
        </w:rPr>
        <w:t xml:space="preserve">that was </w:t>
      </w:r>
      <w:r w:rsidR="00F82CE8" w:rsidRPr="00103A61">
        <w:rPr>
          <w:rFonts w:ascii="Times New Roman" w:hAnsi="Times New Roman" w:cs="Times New Roman"/>
          <w:sz w:val="24"/>
          <w:szCs w:val="24"/>
        </w:rPr>
        <w:t>adapted from</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 xml:space="preserve">Buchanan, De Deyne, &amp; </w:t>
      </w:r>
      <w:proofErr w:type="spellStart"/>
      <w:r w:rsidR="00320648" w:rsidRPr="00103A61">
        <w:rPr>
          <w:rFonts w:ascii="Times New Roman" w:hAnsi="Times New Roman" w:cs="Times New Roman"/>
          <w:sz w:val="24"/>
          <w:szCs w:val="24"/>
          <w:highlight w:val="cyan"/>
        </w:rPr>
        <w:t>Montefinese’s</w:t>
      </w:r>
      <w:proofErr w:type="spellEnd"/>
      <w:r w:rsidR="00320648" w:rsidRPr="00103A61">
        <w:rPr>
          <w:rFonts w:ascii="Times New Roman" w:hAnsi="Times New Roman" w:cs="Times New Roman"/>
          <w:sz w:val="24"/>
          <w:szCs w:val="24"/>
          <w:highlight w:val="cyan"/>
        </w:rPr>
        <w:t xml:space="preserve">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predicted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the data processing steps listed below were conducted 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Pr="00103A61">
        <w:rPr>
          <w:rFonts w:ascii="Times New Roman" w:hAnsi="Times New Roman" w:cs="Times New Roman"/>
          <w:sz w:val="24"/>
          <w:szCs w:val="24"/>
        </w:rPr>
        <w:t>ranging</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0B77FA25"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w:t>
      </w:r>
      <w:r w:rsidR="00DA2A7A" w:rsidRPr="00103A61">
        <w:rPr>
          <w:rFonts w:ascii="Times New Roman" w:hAnsi="Times New Roman" w:cs="Times New Roman"/>
          <w:sz w:val="24"/>
          <w:szCs w:val="24"/>
        </w:rPr>
        <w:lastRenderedPageBreak/>
        <w:t xml:space="preserve">affordances. </w:t>
      </w:r>
      <w:r w:rsidR="00457748" w:rsidRPr="00103A61">
        <w:rPr>
          <w:rFonts w:ascii="Times New Roman" w:hAnsi="Times New Roman" w:cs="Times New Roman"/>
          <w:sz w:val="24"/>
          <w:szCs w:val="24"/>
        </w:rPr>
        <w:t xml:space="preserve">The </w:t>
      </w:r>
      <w:proofErr w:type="spellStart"/>
      <w:r w:rsidR="00457748"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(e.g., 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“to drink from, throw it, pencil holder” become “to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sidRPr="00103A61">
        <w:rPr>
          <w:rFonts w:ascii="Times New Roman" w:hAnsi="Times New Roman" w:cs="Times New Roman"/>
          <w:i/>
          <w:iCs/>
          <w:sz w:val="24"/>
          <w:szCs w:val="24"/>
        </w:rPr>
        <w:t>colour</w:t>
      </w:r>
      <w:proofErr w:type="spellEnd"/>
      <w:r w:rsidR="00D835C5" w:rsidRPr="00103A61">
        <w:rPr>
          <w:rFonts w:ascii="Times New Roman" w:hAnsi="Times New Roman" w:cs="Times New Roman"/>
          <w:i/>
          <w:iCs/>
          <w:sz w:val="24"/>
          <w:szCs w:val="24"/>
        </w:rPr>
        <w:t xml:space="preserve"> </w:t>
      </w:r>
      <w:r w:rsidR="00D835C5" w:rsidRPr="00103A61">
        <w:rPr>
          <w:rFonts w:ascii="Times New Roman" w:hAnsi="Times New Roman" w:cs="Times New Roman"/>
          <w:sz w:val="24"/>
          <w:szCs w:val="24"/>
        </w:rPr>
        <w:t xml:space="preserve">and </w:t>
      </w:r>
      <w:proofErr w:type="spellStart"/>
      <w:r w:rsidR="00D835C5" w:rsidRPr="00103A61">
        <w:rPr>
          <w:rFonts w:ascii="Times New Roman" w:hAnsi="Times New Roman" w:cs="Times New Roman"/>
          <w:i/>
          <w:iCs/>
          <w:sz w:val="24"/>
          <w:szCs w:val="24"/>
        </w:rPr>
        <w:t>socialise</w:t>
      </w:r>
      <w:proofErr w:type="spellEnd"/>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proofErr w:type="spellStart"/>
      <w:r w:rsidR="002710A5"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participants often included extra spacing and tabs in addition to using a comma to separate affordance entries. Thus, the tokenization process removed any additional spacing and punctuation. Second, affordance phrases often contained multiple affordances, in addition to </w:t>
      </w:r>
      <w:r w:rsidR="002710A5" w:rsidRPr="00103A61">
        <w:rPr>
          <w:rFonts w:ascii="Times New Roman" w:hAnsi="Times New Roman" w:cs="Times New Roman"/>
          <w:sz w:val="24"/>
          <w:szCs w:val="24"/>
        </w:rPr>
        <w:lastRenderedPageBreak/>
        <w:t>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4"/>
      <w:r w:rsidR="003E2BE9" w:rsidRPr="00103A61">
        <w:rPr>
          <w:rFonts w:ascii="Times New Roman" w:hAnsi="Times New Roman" w:cs="Times New Roman"/>
          <w:sz w:val="24"/>
          <w:szCs w:val="24"/>
        </w:rPr>
        <w:t xml:space="preserve">base affordances </w:t>
      </w:r>
      <w:commentRangeEnd w:id="4"/>
      <w:r w:rsidR="003E2BE9" w:rsidRPr="00103A61">
        <w:rPr>
          <w:rStyle w:val="CommentReference"/>
          <w:rFonts w:ascii="Times New Roman" w:hAnsi="Times New Roman" w:cs="Times New Roman"/>
          <w:sz w:val="24"/>
          <w:szCs w:val="24"/>
        </w:rPr>
        <w:commentReference w:id="4"/>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proofErr w:type="spellStart"/>
      <w:r w:rsidR="008C160E" w:rsidRPr="00103A61">
        <w:rPr>
          <w:rFonts w:ascii="Times New Roman" w:hAnsi="Times New Roman" w:cs="Times New Roman"/>
          <w:i/>
          <w:iCs/>
          <w:sz w:val="24"/>
          <w:szCs w:val="24"/>
        </w:rPr>
        <w:t>stopwords</w:t>
      </w:r>
      <w:proofErr w:type="spellEnd"/>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proofErr w:type="spellStart"/>
      <w:r w:rsidR="005A2E0A" w:rsidRPr="00103A61">
        <w:rPr>
          <w:rFonts w:ascii="Times New Roman" w:hAnsi="Times New Roman" w:cs="Times New Roman"/>
          <w:i/>
          <w:iCs/>
          <w:sz w:val="24"/>
          <w:szCs w:val="24"/>
        </w:rPr>
        <w:t>udpipe</w:t>
      </w:r>
      <w:proofErr w:type="spellEnd"/>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proofErr w:type="spellStart"/>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w:t>
      </w:r>
      <w:proofErr w:type="spellEnd"/>
      <w:r w:rsidR="00402B71" w:rsidRPr="00103A61">
        <w:rPr>
          <w:rFonts w:ascii="Times New Roman" w:hAnsi="Times New Roman" w:cs="Times New Roman"/>
          <w:sz w:val="24"/>
          <w:szCs w:val="24"/>
          <w:highlight w:val="cyan"/>
        </w:rPr>
        <w:t>,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 xml:space="preserve">s &lt; 20). Eighty-five </w:t>
      </w:r>
      <w:r w:rsidRPr="000B2F6D">
        <w:rPr>
          <w:rFonts w:ascii="Times New Roman" w:hAnsi="Times New Roman" w:cs="Times New Roman"/>
          <w:sz w:val="24"/>
          <w:szCs w:val="24"/>
        </w:rPr>
        <w:lastRenderedPageBreak/>
        <w:t>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5"/>
      <w:r w:rsidRPr="00103A61">
        <w:rPr>
          <w:rFonts w:ascii="Times New Roman" w:hAnsi="Times New Roman" w:cs="Times New Roman"/>
          <w:sz w:val="24"/>
          <w:szCs w:val="24"/>
        </w:rPr>
        <w:t>plurality</w:t>
      </w:r>
      <w:commentRangeEnd w:id="5"/>
      <w:r w:rsidRPr="00103A61">
        <w:rPr>
          <w:rStyle w:val="CommentReference"/>
          <w:rFonts w:ascii="Times New Roman" w:hAnsi="Times New Roman" w:cs="Times New Roman"/>
          <w:sz w:val="24"/>
          <w:szCs w:val="24"/>
        </w:rPr>
        <w:commentReference w:id="5"/>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3F8AB318"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491E43">
        <w:rPr>
          <w:rFonts w:ascii="Times New Roman" w:hAnsi="Times New Roman" w:cs="Times New Roman"/>
          <w:sz w:val="24"/>
          <w:szCs w:val="24"/>
          <w:highlight w:val="yellow"/>
        </w:rPr>
        <w:t>3389</w:t>
      </w:r>
      <w:r w:rsidR="00386890">
        <w:rPr>
          <w:rFonts w:ascii="Times New Roman" w:hAnsi="Times New Roman" w:cs="Times New Roman"/>
          <w:sz w:val="24"/>
          <w:szCs w:val="24"/>
          <w:highlight w:val="yellow"/>
        </w:rPr>
        <w:t>4</w:t>
      </w:r>
      <w:r w:rsidR="00AD5757" w:rsidRPr="00491E43">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w:t>
      </w:r>
      <w:r w:rsidR="009C2542">
        <w:rPr>
          <w:rFonts w:ascii="Times New Roman" w:hAnsi="Times New Roman" w:cs="Times New Roman"/>
          <w:sz w:val="24"/>
          <w:szCs w:val="24"/>
        </w:rPr>
        <w:lastRenderedPageBreak/>
        <w:t>described below were calculated from</w:t>
      </w:r>
      <w:r w:rsidR="000B2F6D">
        <w:rPr>
          <w:rFonts w:ascii="Times New Roman" w:hAnsi="Times New Roman" w:cs="Times New Roman"/>
          <w:sz w:val="24"/>
          <w:szCs w:val="24"/>
        </w:rPr>
        <w:t xml:space="preserve">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7777777"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Calculating 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commentRangeStart w:id="6"/>
      <w:r w:rsidRPr="00103A61">
        <w:rPr>
          <w:rFonts w:ascii="Times New Roman" w:hAnsi="Times New Roman" w:cs="Times New Roman"/>
          <w:b/>
          <w:bCs/>
          <w:sz w:val="24"/>
          <w:szCs w:val="24"/>
        </w:rPr>
        <w:t>Shiny Application</w:t>
      </w:r>
      <w:commentRangeEnd w:id="6"/>
      <w:r w:rsidR="006B53EC" w:rsidRPr="00103A61">
        <w:rPr>
          <w:rStyle w:val="CommentReference"/>
          <w:rFonts w:ascii="Times New Roman" w:hAnsi="Times New Roman" w:cs="Times New Roman"/>
          <w:sz w:val="24"/>
          <w:szCs w:val="24"/>
        </w:rPr>
        <w:commentReference w:id="6"/>
      </w:r>
    </w:p>
    <w:p w14:paraId="06144086" w14:textId="19BC88FC"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the final dataset </w:t>
      </w:r>
      <w:r w:rsidR="007E31C8">
        <w:rPr>
          <w:rFonts w:ascii="Times New Roman" w:hAnsi="Times New Roman" w:cs="Times New Roman"/>
          <w:sz w:val="24"/>
          <w:szCs w:val="24"/>
        </w:rPr>
        <w:t>is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lastRenderedPageBreak/>
        <w:t>BOI Rating (</w:t>
      </w:r>
      <w:proofErr w:type="spellStart"/>
      <w:r w:rsidR="00EC3AA2" w:rsidRPr="00103A61">
        <w:rPr>
          <w:rFonts w:ascii="Times New Roman" w:hAnsi="Times New Roman" w:cs="Times New Roman"/>
          <w:sz w:val="24"/>
          <w:szCs w:val="24"/>
        </w:rPr>
        <w:t>Pexman</w:t>
      </w:r>
      <w:proofErr w:type="spellEnd"/>
      <w:r w:rsidR="00EC3AA2" w:rsidRPr="00103A61">
        <w:rPr>
          <w:rFonts w:ascii="Times New Roman" w:hAnsi="Times New Roman" w:cs="Times New Roman"/>
          <w:sz w:val="24"/>
          <w:szCs w:val="24"/>
        </w:rPr>
        <w:t xml:space="preserve">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proofErr w:type="spellStart"/>
      <w:r w:rsidR="00F9350C" w:rsidRPr="00103A61">
        <w:rPr>
          <w:rFonts w:ascii="Times New Roman" w:hAnsi="Times New Roman" w:cs="Times New Roman"/>
          <w:sz w:val="24"/>
          <w:szCs w:val="24"/>
          <w:highlight w:val="cyan"/>
        </w:rPr>
        <w:t>AoA</w:t>
      </w:r>
      <w:proofErr w:type="spellEnd"/>
      <w:r w:rsidR="00F9350C" w:rsidRPr="00103A61">
        <w:rPr>
          <w:rFonts w:ascii="Times New Roman" w:hAnsi="Times New Roman" w:cs="Times New Roman"/>
          <w:sz w:val="24"/>
          <w:szCs w:val="24"/>
          <w:highlight w:val="cyan"/>
        </w:rPr>
        <w:t xml:space="preserve">; </w:t>
      </w:r>
      <w:r w:rsidR="00EC3AA2" w:rsidRPr="00103A61">
        <w:rPr>
          <w:rFonts w:ascii="Times New Roman" w:hAnsi="Times New Roman" w:cs="Times New Roman"/>
          <w:sz w:val="24"/>
          <w:szCs w:val="24"/>
          <w:highlight w:val="cyan"/>
        </w:rPr>
        <w:t xml:space="preserve">Kuperman, </w:t>
      </w:r>
      <w:proofErr w:type="spellStart"/>
      <w:r w:rsidR="00EC3AA2" w:rsidRPr="00103A61">
        <w:rPr>
          <w:rFonts w:ascii="Times New Roman" w:hAnsi="Times New Roman" w:cs="Times New Roman"/>
          <w:sz w:val="24"/>
          <w:szCs w:val="24"/>
          <w:highlight w:val="cyan"/>
        </w:rPr>
        <w:t>Stadthagen</w:t>
      </w:r>
      <w:proofErr w:type="spellEnd"/>
      <w:r w:rsidR="00EC3AA2" w:rsidRPr="00103A61">
        <w:rPr>
          <w:rFonts w:ascii="Times New Roman" w:hAnsi="Times New Roman" w:cs="Times New Roman"/>
          <w:sz w:val="24"/>
          <w:szCs w:val="24"/>
          <w:highlight w:val="cyan"/>
        </w:rPr>
        <w:t>-Gonzalez,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provide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5DC6769E"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the cleaned affordance dataset. First, we provide descriptive statistics for the new AFS and AFSS measures and detail the degree of overlap between the affordance norm set and existing measures of meaning. We then conducted a series of analyses to assess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overlapped with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age-of-acquisition,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w:t>
      </w:r>
      <w:r w:rsidR="00B14FAA">
        <w:rPr>
          <w:rFonts w:ascii="Times New Roman" w:hAnsi="Times New Roman" w:cs="Times New Roman"/>
          <w:sz w:val="24"/>
          <w:szCs w:val="24"/>
        </w:rPr>
        <w:lastRenderedPageBreak/>
        <w:t>common or are acquired later in life would have less uses, given that these words often have referents that are highly specific</w:t>
      </w:r>
      <w:r w:rsidR="00994FA9">
        <w:rPr>
          <w:rFonts w:ascii="Times New Roman" w:hAnsi="Times New Roman" w:cs="Times New Roman"/>
          <w:sz w:val="24"/>
          <w:szCs w:val="24"/>
        </w:rPr>
        <w:t>, which would potentially result in fewer perceived uses</w:t>
      </w:r>
      <w:r w:rsidR="00B14FAA">
        <w:rPr>
          <w:rFonts w:ascii="Times New Roman" w:hAnsi="Times New Roman" w:cs="Times New Roman"/>
          <w:sz w:val="24"/>
          <w:szCs w:val="24"/>
        </w:rPr>
        <w:t xml:space="preserve"> (e.g., </w:t>
      </w:r>
      <w:r w:rsidR="00B14FAA" w:rsidRPr="00B14FAA">
        <w:rPr>
          <w:rFonts w:ascii="Times New Roman" w:hAnsi="Times New Roman" w:cs="Times New Roman"/>
          <w:sz w:val="24"/>
          <w:szCs w:val="24"/>
          <w:highlight w:val="yellow"/>
        </w:rPr>
        <w:t>EXAMPLE</w:t>
      </w:r>
      <w:r w:rsidR="00B14FAA">
        <w:rPr>
          <w:rFonts w:ascii="Times New Roman" w:hAnsi="Times New Roman" w:cs="Times New Roman"/>
          <w:sz w:val="24"/>
          <w:szCs w:val="24"/>
        </w:rPr>
        <w:t xml:space="preserve">). </w:t>
      </w:r>
    </w:p>
    <w:p w14:paraId="54B01E9F" w14:textId="043109D8"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assessed the relationship between AFS and FAS values taken from Nelson et al. (2004) and COS similarity taken from Buchanan et al. (2019a). </w:t>
      </w:r>
      <w:r w:rsidR="00B6586E">
        <w:rPr>
          <w:rFonts w:ascii="Times New Roman" w:hAnsi="Times New Roman" w:cs="Times New Roman"/>
          <w:sz w:val="24"/>
          <w:szCs w:val="24"/>
        </w:rPr>
        <w:t xml:space="preserve">These analyses were conducted separately, using subsets of cue-affordance pairs which overlapped with these existing databases. Because affordances reflect a distinct type of meaning compared to cue-target associations and feature similarity, we anticipated that there would be a weak relationship between AFS and these measures of meaning. However, some overlap was anticipated, given that the measures used to represent various types of meaning may overlap, even though they have been demonstrated to assess different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79AD35C8" w:rsidR="00620C79" w:rsidRPr="00103A61" w:rsidRDefault="004E21FD" w:rsidP="004E21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Tables </w:t>
      </w:r>
      <w:r w:rsidRPr="001C09A6">
        <w:rPr>
          <w:rFonts w:ascii="Times New Roman" w:hAnsi="Times New Roman" w:cs="Times New Roman"/>
          <w:sz w:val="24"/>
          <w:szCs w:val="24"/>
          <w:highlight w:val="green"/>
        </w:rPr>
        <w:t>X</w:t>
      </w:r>
      <w:r>
        <w:rPr>
          <w:rFonts w:ascii="Times New Roman" w:hAnsi="Times New Roman" w:cs="Times New Roman"/>
          <w:sz w:val="24"/>
          <w:szCs w:val="24"/>
        </w:rPr>
        <w:t xml:space="preserve"> and </w:t>
      </w:r>
      <w:r w:rsidRPr="001C09A6">
        <w:rPr>
          <w:rFonts w:ascii="Times New Roman" w:hAnsi="Times New Roman" w:cs="Times New Roman"/>
          <w:sz w:val="24"/>
          <w:szCs w:val="24"/>
          <w:highlight w:val="green"/>
        </w:rPr>
        <w:t>X</w:t>
      </w:r>
      <w:r>
        <w:rPr>
          <w:rFonts w:ascii="Times New Roman" w:hAnsi="Times New Roman" w:cs="Times New Roman"/>
          <w:sz w:val="24"/>
          <w:szCs w:val="24"/>
        </w:rPr>
        <w:t xml:space="preserve"> display descriptive statistics for AFS and AFSS, respectively.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r w:rsidRPr="004E21FD">
        <w:rPr>
          <w:rFonts w:ascii="Times New Roman" w:hAnsi="Times New Roman" w:cs="Times New Roman"/>
          <w:sz w:val="24"/>
          <w:szCs w:val="24"/>
          <w:highlight w:val="yellow"/>
        </w:rPr>
        <w:t>XX.XX</w:t>
      </w:r>
      <w:r>
        <w:rPr>
          <w:rFonts w:ascii="Times New Roman" w:hAnsi="Times New Roman" w:cs="Times New Roman"/>
          <w:sz w:val="24"/>
          <w:szCs w:val="24"/>
        </w:rPr>
        <w:t>, though pairs demonstrated a wide degree of variability in AFS (</w:t>
      </w:r>
      <w:r w:rsidRPr="004E21FD">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Pr="004E21FD">
        <w:rPr>
          <w:rFonts w:ascii="Times New Roman" w:hAnsi="Times New Roman" w:cs="Times New Roman"/>
          <w:sz w:val="24"/>
          <w:szCs w:val="24"/>
          <w:highlight w:val="yellow"/>
        </w:rPr>
        <w:t>XX.XX</w:t>
      </w:r>
      <w:r>
        <w:rPr>
          <w:rFonts w:ascii="Times New Roman" w:hAnsi="Times New Roman" w:cs="Times New Roman"/>
          <w:sz w:val="24"/>
          <w:szCs w:val="24"/>
        </w:rPr>
        <w:t xml:space="preserve">). Additionally, cue items averaged approximately </w:t>
      </w:r>
      <w:r w:rsidRPr="00C269D5">
        <w:rPr>
          <w:rFonts w:ascii="Times New Roman" w:hAnsi="Times New Roman" w:cs="Times New Roman"/>
          <w:sz w:val="24"/>
          <w:szCs w:val="24"/>
          <w:highlight w:val="yellow"/>
        </w:rPr>
        <w:t>XX</w:t>
      </w:r>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with set sizes ranging from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 xml:space="preserve">) to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w:t>
      </w:r>
      <w:r w:rsidR="001C09A6">
        <w:rPr>
          <w:rFonts w:ascii="Times New Roman" w:hAnsi="Times New Roman" w:cs="Times New Roman"/>
          <w:sz w:val="24"/>
          <w:szCs w:val="24"/>
        </w:rPr>
        <w:t xml:space="preserve"> </w:t>
      </w:r>
      <w:r w:rsidR="00C269D5">
        <w:rPr>
          <w:rFonts w:ascii="Times New Roman" w:hAnsi="Times New Roman" w:cs="Times New Roman"/>
          <w:sz w:val="24"/>
          <w:szCs w:val="24"/>
        </w:rPr>
        <w:t>Finally</w:t>
      </w:r>
      <w:r w:rsidR="001C09A6">
        <w:rPr>
          <w:rFonts w:ascii="Times New Roman" w:hAnsi="Times New Roman" w:cs="Times New Roman"/>
          <w:sz w:val="24"/>
          <w:szCs w:val="24"/>
        </w:rPr>
        <w:t xml:space="preserve">, compared to university students, Prolific participants generated more affordances per cue </w:t>
      </w:r>
      <w:r w:rsidR="001C09A6" w:rsidRPr="001C09A6">
        <w:rPr>
          <w:rFonts w:ascii="Times New Roman" w:hAnsi="Times New Roman" w:cs="Times New Roman"/>
          <w:sz w:val="24"/>
          <w:szCs w:val="24"/>
          <w:highlight w:val="yellow"/>
        </w:rPr>
        <w:t>[STATS]</w:t>
      </w:r>
      <w:r w:rsidR="001C09A6">
        <w:rPr>
          <w:rFonts w:ascii="Times New Roman" w:hAnsi="Times New Roman" w:cs="Times New Roman"/>
          <w:sz w:val="24"/>
          <w:szCs w:val="24"/>
        </w:rPr>
        <w:t>, likely because they were financially compensated for their participation.</w:t>
      </w:r>
    </w:p>
    <w:p w14:paraId="7D14A4B5" w14:textId="5747D36A"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p>
    <w:p w14:paraId="7222B94B" w14:textId="055CE13D" w:rsidR="00620C79" w:rsidRDefault="00620C79"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lastRenderedPageBreak/>
        <w:t>[WORDS HERE]</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Semantic Word Norms</w:t>
      </w:r>
    </w:p>
    <w:p w14:paraId="3359221C" w14:textId="4E5B0B3D" w:rsidR="009400B5" w:rsidRPr="00103A61" w:rsidRDefault="009400B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247DCC69"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database of affordance norms for highly concrete nouns. In doing so, we presented participants with a series of object words and had participants list the various ways in which each object could be used. Because our procedure utilized an open-ended, multi-response format, we were able to capture a variety of uses as well as the context in which these actions occurred. [SHINY] Thus, </w:t>
      </w:r>
      <w:r w:rsidRPr="004E727C">
        <w:rPr>
          <w:rFonts w:ascii="Times New Roman" w:hAnsi="Times New Roman" w:cs="Times New Roman"/>
          <w:sz w:val="24"/>
          <w:szCs w:val="24"/>
          <w:highlight w:val="green"/>
        </w:rPr>
        <w:t>[WHY DOES IT MATTER?]</w:t>
      </w:r>
    </w:p>
    <w:p w14:paraId="0F987312" w14:textId="18F56C63" w:rsidR="004E727C"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[RECAP THE EXPERIMENTS]</w:t>
      </w:r>
    </w:p>
    <w:p w14:paraId="6B98734A" w14:textId="787C2570" w:rsidR="004E727C" w:rsidRPr="00103A61"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[LIMITATION – NOT “PRIMING” PARTICIPANTS WITH SPECIFIC TYPES OF OBJECTS (I.E., USING PICTURES) COULD RESULT IN LOWER AFS VALUES, ESPECIALLY FOR “VAGUE” OBJECTS. AREA FOR FUTURE RESEARCH? FUTURE RESEARCH MAY ALSO WISH TO INVESTIGATE INDIVIDUAL DIFFERENCES [REITERATE THAT THIS STUDY IS A STARTING POINT!]</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2E63A92D" w14:textId="385B993F" w:rsidR="00F52251" w:rsidRPr="00103A61" w:rsidRDefault="00F52251"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29DABD5" w14:textId="77777777" w:rsidR="00496962" w:rsidRPr="00103A61" w:rsidRDefault="00496962"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7"/>
      <w:r w:rsidRPr="00103A61">
        <w:rPr>
          <w:rFonts w:ascii="Times New Roman" w:hAnsi="Times New Roman" w:cs="Times New Roman"/>
          <w:b/>
          <w:bCs/>
          <w:sz w:val="24"/>
          <w:szCs w:val="24"/>
        </w:rPr>
        <w:t>Funding Declarations</w:t>
      </w:r>
      <w:commentRangeEnd w:id="7"/>
      <w:r w:rsidR="00FB6977" w:rsidRPr="00103A61">
        <w:rPr>
          <w:rStyle w:val="CommentReference"/>
          <w:rFonts w:ascii="Times New Roman" w:hAnsi="Times New Roman" w:cs="Times New Roman"/>
          <w:sz w:val="24"/>
          <w:szCs w:val="24"/>
        </w:rPr>
        <w:commentReference w:id="7"/>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1B9E7C50" w14:textId="4C5E95EF"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P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6E2D9BD2" w14:textId="5241C55B" w:rsidR="00287EA2" w:rsidRP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w:t>
      </w:r>
      <w:proofErr w:type="spellStart"/>
      <w:r w:rsidRPr="00287EA2">
        <w:rPr>
          <w:rFonts w:ascii="Times New Roman" w:hAnsi="Times New Roman" w:cs="Times New Roman"/>
          <w:sz w:val="24"/>
          <w:szCs w:val="24"/>
        </w:rPr>
        <w:t>McNorgan</w:t>
      </w:r>
      <w:proofErr w:type="spellEnd"/>
      <w:r w:rsidRPr="00287EA2">
        <w:rPr>
          <w:rFonts w:ascii="Times New Roman" w:hAnsi="Times New Roman" w:cs="Times New Roman"/>
          <w:sz w:val="24"/>
          <w:szCs w:val="24"/>
        </w:rPr>
        <w:t xml:space="preserve">,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4FFD228" w14:textId="7DA1A905" w:rsidR="00123ADF" w:rsidRPr="007D65AB" w:rsidRDefault="007D65AB" w:rsidP="007D65AB">
      <w:pPr>
        <w:spacing w:after="0" w:line="480" w:lineRule="auto"/>
        <w:ind w:left="720" w:hanging="720"/>
        <w:rPr>
          <w:rFonts w:ascii="PcppxjTimes-Roman" w:hAnsi="PcppxjTimes-Roman" w:cs="PcppxjTimes-Roman"/>
          <w:sz w:val="17"/>
          <w:szCs w:val="17"/>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r w:rsidR="00123ADF" w:rsidRPr="00103A61">
        <w:rPr>
          <w:rFonts w:ascii="Times New Roman" w:hAnsi="Times New Roman" w:cs="Times New Roman"/>
          <w:sz w:val="24"/>
          <w:szCs w:val="24"/>
        </w:rPr>
        <w:br w:type="page"/>
      </w:r>
    </w:p>
    <w:p w14:paraId="062005BB" w14:textId="5F34FA27" w:rsidR="00123ADF" w:rsidRPr="00103A61" w:rsidRDefault="0073262C" w:rsidP="00287EA2">
      <w:pPr>
        <w:spacing w:after="0" w:line="480" w:lineRule="auto"/>
        <w:jc w:val="both"/>
        <w:rPr>
          <w:rFonts w:ascii="Times New Roman" w:hAnsi="Times New Roman" w:cs="Times New Roman"/>
          <w:sz w:val="24"/>
          <w:szCs w:val="24"/>
        </w:rPr>
      </w:pPr>
      <w:bookmarkStart w:id="8"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53B90218" w:rsidR="0073262C" w:rsidRPr="00103A61" w:rsidRDefault="00F9350C" w:rsidP="00287EA2">
            <w:pPr>
              <w:spacing w:line="360" w:lineRule="auto"/>
              <w:jc w:val="center"/>
              <w:rPr>
                <w:rFonts w:ascii="Times New Roman" w:hAnsi="Times New Roman" w:cs="Times New Roman"/>
                <w:sz w:val="24"/>
                <w:szCs w:val="24"/>
              </w:rPr>
            </w:pPr>
            <w:r w:rsidRPr="00FB6068">
              <w:rPr>
                <w:rFonts w:ascii="Times New Roman" w:hAnsi="Times New Roman" w:cs="Times New Roman"/>
                <w:sz w:val="24"/>
                <w:szCs w:val="24"/>
                <w:highlight w:val="yellow"/>
              </w:rPr>
              <w:t>1128</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8"/>
    <w:p w14:paraId="589D7F3D" w14:textId="2024C1E1" w:rsidR="00F9350C" w:rsidRPr="00103A61" w:rsidRDefault="00F9350C"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[TABLE 2]</w:t>
      </w:r>
    </w:p>
    <w:p w14:paraId="3D2EA729" w14:textId="41CFA23E" w:rsidR="007C119E" w:rsidRPr="00103A61" w:rsidRDefault="007C119E"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558FEFE6" w14:textId="14C4235A" w:rsidR="007C119E" w:rsidRPr="00103A61" w:rsidRDefault="007C119E"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w:t>
      </w:r>
    </w:p>
    <w:p w14:paraId="5B8DAA34" w14:textId="2AC2E794" w:rsidR="007C119E" w:rsidRPr="00103A61" w:rsidRDefault="007C119E" w:rsidP="00287EA2">
      <w:pPr>
        <w:spacing w:after="0" w:line="480" w:lineRule="auto"/>
        <w:jc w:val="both"/>
        <w:rPr>
          <w:rFonts w:ascii="Times New Roman" w:hAnsi="Times New Roman" w:cs="Times New Roman"/>
          <w:sz w:val="24"/>
          <w:szCs w:val="24"/>
        </w:rPr>
      </w:pPr>
    </w:p>
    <w:p w14:paraId="4AD7C759" w14:textId="5272967C" w:rsidR="007C119E" w:rsidRPr="00103A61" w:rsidRDefault="007C119E" w:rsidP="00287EA2">
      <w:pPr>
        <w:spacing w:after="0"/>
        <w:rPr>
          <w:rFonts w:ascii="Times New Roman" w:hAnsi="Times New Roman" w:cs="Times New Roman"/>
          <w:sz w:val="24"/>
          <w:szCs w:val="24"/>
        </w:rPr>
      </w:pPr>
    </w:p>
    <w:sectPr w:rsidR="007C119E" w:rsidRPr="00103A61" w:rsidSect="00422857">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NM">
    <w:p w14:paraId="7DE4BCE9" w14:textId="77777777" w:rsidR="009B6BDA" w:rsidRDefault="009B6BDA">
      <w:pPr>
        <w:pStyle w:val="CommentText"/>
      </w:pPr>
      <w:r>
        <w:rPr>
          <w:rStyle w:val="CommentReference"/>
        </w:rPr>
        <w:annotationRef/>
      </w:r>
      <w:r>
        <w:t>We're going to have a ton of authors but I'll add them in once we figure out who is contributing and how they want there names/affiliations.</w:t>
      </w:r>
    </w:p>
    <w:p w14:paraId="4B3026F6" w14:textId="77777777" w:rsidR="009B6BDA" w:rsidRDefault="009B6BDA">
      <w:pPr>
        <w:pStyle w:val="CommentText"/>
      </w:pPr>
    </w:p>
    <w:p w14:paraId="11539000" w14:textId="77777777" w:rsidR="009B6BDA" w:rsidRDefault="009B6BDA">
      <w:pPr>
        <w:pStyle w:val="CommentText"/>
      </w:pPr>
      <w:r>
        <w:t>For author order:</w:t>
      </w:r>
    </w:p>
    <w:p w14:paraId="4DC8014D" w14:textId="77777777" w:rsidR="009B6BDA" w:rsidRDefault="009B6BDA">
      <w:pPr>
        <w:pStyle w:val="CommentText"/>
      </w:pPr>
    </w:p>
    <w:p w14:paraId="3616A30C" w14:textId="77777777" w:rsidR="009B6BDA" w:rsidRDefault="009B6BDA" w:rsidP="005C47E8">
      <w:pPr>
        <w:pStyle w:val="CommentText"/>
      </w:pPr>
      <w:r>
        <w:t>I'll go first since I've done the bulk of the initial writing, then the USM group alphabetically second (Alen and Mark; I'm also fine adding Jacob and Tyler Surber if they're willing to each take a pass through the manuscript), then external collaborators alphabetically? We'll have somewhere between 9 and 14 authors depending on how things shake out.</w:t>
      </w:r>
    </w:p>
  </w:comment>
  <w:comment w:id="1"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3"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4"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 xml:space="preserve">Thirsty isn't an affordance, but </w:t>
      </w:r>
      <w:r>
        <w:t>its still important to include for context</w:t>
      </w:r>
    </w:p>
  </w:comment>
  <w:comment w:id="5" w:author="Nick Maxwell" w:date="2023-07-29T16:42:00Z" w:initials="NM">
    <w:p w14:paraId="578F6050" w14:textId="77777777" w:rsidR="000B2F6D" w:rsidRDefault="000B2F6D" w:rsidP="000B2F6D">
      <w:pPr>
        <w:pStyle w:val="CommentText"/>
      </w:pPr>
      <w:r>
        <w:rPr>
          <w:rStyle w:val="CommentReference"/>
        </w:rPr>
        <w:annotationRef/>
      </w:r>
      <w:r>
        <w:t xml:space="preserve">Is this the right word here? I want to say </w:t>
      </w:r>
      <w:r>
        <w:rPr>
          <w:i/>
          <w:iCs/>
        </w:rPr>
        <w:t>tense</w:t>
      </w:r>
      <w:r>
        <w:t xml:space="preserve"> but I think that's only used for temporal changes, not quantity. (I was 3 hours away from being a linguistics minor in undergrad, maybe I should have finished that)</w:t>
      </w:r>
    </w:p>
  </w:comment>
  <w:comment w:id="6" w:author="Nick Maxwell" w:date="2023-08-01T15:23:00Z" w:initials="NM">
    <w:p w14:paraId="3B3FE613" w14:textId="77777777"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7"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6A30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6A30C" w16cid:durableId="28A0606B"/>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FCCD6" w14:textId="77777777" w:rsidR="00F73D1A" w:rsidRDefault="00F73D1A" w:rsidP="00422857">
      <w:pPr>
        <w:spacing w:after="0" w:line="240" w:lineRule="auto"/>
      </w:pPr>
      <w:r>
        <w:separator/>
      </w:r>
    </w:p>
  </w:endnote>
  <w:endnote w:type="continuationSeparator" w:id="0">
    <w:p w14:paraId="53BEA34B" w14:textId="77777777" w:rsidR="00F73D1A" w:rsidRDefault="00F73D1A"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cppxj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A7D5C" w14:textId="77777777" w:rsidR="00F73D1A" w:rsidRDefault="00F73D1A" w:rsidP="00422857">
      <w:pPr>
        <w:spacing w:after="0" w:line="240" w:lineRule="auto"/>
      </w:pPr>
      <w:r>
        <w:separator/>
      </w:r>
    </w:p>
  </w:footnote>
  <w:footnote w:type="continuationSeparator" w:id="0">
    <w:p w14:paraId="589EA4D0" w14:textId="77777777" w:rsidR="00F73D1A" w:rsidRDefault="00F73D1A"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A22AF"/>
    <w:rsid w:val="000A6BE4"/>
    <w:rsid w:val="000B2ACE"/>
    <w:rsid w:val="000B2F6D"/>
    <w:rsid w:val="000B32EA"/>
    <w:rsid w:val="000B73B9"/>
    <w:rsid w:val="000C7E43"/>
    <w:rsid w:val="000D04B7"/>
    <w:rsid w:val="000D7FED"/>
    <w:rsid w:val="000E0A91"/>
    <w:rsid w:val="000F03B9"/>
    <w:rsid w:val="00103A61"/>
    <w:rsid w:val="001078C3"/>
    <w:rsid w:val="00114A9B"/>
    <w:rsid w:val="00121607"/>
    <w:rsid w:val="00123ADF"/>
    <w:rsid w:val="00131396"/>
    <w:rsid w:val="001370E0"/>
    <w:rsid w:val="00143FDC"/>
    <w:rsid w:val="00144C69"/>
    <w:rsid w:val="001723EC"/>
    <w:rsid w:val="00182817"/>
    <w:rsid w:val="00194A21"/>
    <w:rsid w:val="001A308E"/>
    <w:rsid w:val="001B4103"/>
    <w:rsid w:val="001C02C8"/>
    <w:rsid w:val="001C09A6"/>
    <w:rsid w:val="001C42B2"/>
    <w:rsid w:val="001C4947"/>
    <w:rsid w:val="001E1590"/>
    <w:rsid w:val="001E3D2F"/>
    <w:rsid w:val="001E4C57"/>
    <w:rsid w:val="001F1A87"/>
    <w:rsid w:val="001F361E"/>
    <w:rsid w:val="00212AC3"/>
    <w:rsid w:val="00212D5F"/>
    <w:rsid w:val="0022478A"/>
    <w:rsid w:val="00236134"/>
    <w:rsid w:val="00237E22"/>
    <w:rsid w:val="002575B5"/>
    <w:rsid w:val="002611DA"/>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414F8"/>
    <w:rsid w:val="00345183"/>
    <w:rsid w:val="00351D0E"/>
    <w:rsid w:val="00353E19"/>
    <w:rsid w:val="003638C4"/>
    <w:rsid w:val="00371968"/>
    <w:rsid w:val="00375F24"/>
    <w:rsid w:val="003817F3"/>
    <w:rsid w:val="00384B8A"/>
    <w:rsid w:val="00386890"/>
    <w:rsid w:val="00391239"/>
    <w:rsid w:val="00392BA6"/>
    <w:rsid w:val="00397947"/>
    <w:rsid w:val="003A26C0"/>
    <w:rsid w:val="003A6FD0"/>
    <w:rsid w:val="003B563F"/>
    <w:rsid w:val="003B5D03"/>
    <w:rsid w:val="003C1B36"/>
    <w:rsid w:val="003C4BEE"/>
    <w:rsid w:val="003D43CF"/>
    <w:rsid w:val="003E00D5"/>
    <w:rsid w:val="003E2BE9"/>
    <w:rsid w:val="003F4430"/>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E43"/>
    <w:rsid w:val="00495923"/>
    <w:rsid w:val="00495E62"/>
    <w:rsid w:val="00496962"/>
    <w:rsid w:val="004975FE"/>
    <w:rsid w:val="00497F28"/>
    <w:rsid w:val="004A5129"/>
    <w:rsid w:val="004C4215"/>
    <w:rsid w:val="004D176D"/>
    <w:rsid w:val="004D220C"/>
    <w:rsid w:val="004D52F9"/>
    <w:rsid w:val="004E19C3"/>
    <w:rsid w:val="004E21FD"/>
    <w:rsid w:val="004E2F35"/>
    <w:rsid w:val="004E68CF"/>
    <w:rsid w:val="004E697D"/>
    <w:rsid w:val="004E727C"/>
    <w:rsid w:val="004F470C"/>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1EC9"/>
    <w:rsid w:val="005A2E0A"/>
    <w:rsid w:val="005A7991"/>
    <w:rsid w:val="005B4C89"/>
    <w:rsid w:val="005C005C"/>
    <w:rsid w:val="005C04F1"/>
    <w:rsid w:val="005C3436"/>
    <w:rsid w:val="005D4E78"/>
    <w:rsid w:val="005E4CA7"/>
    <w:rsid w:val="005F5812"/>
    <w:rsid w:val="005F69BB"/>
    <w:rsid w:val="005F6BD4"/>
    <w:rsid w:val="006110A9"/>
    <w:rsid w:val="00611913"/>
    <w:rsid w:val="006134AE"/>
    <w:rsid w:val="0061449B"/>
    <w:rsid w:val="00620C79"/>
    <w:rsid w:val="00621630"/>
    <w:rsid w:val="00635407"/>
    <w:rsid w:val="006417EB"/>
    <w:rsid w:val="00641D68"/>
    <w:rsid w:val="00657CA1"/>
    <w:rsid w:val="00657F45"/>
    <w:rsid w:val="006624C5"/>
    <w:rsid w:val="00671115"/>
    <w:rsid w:val="00672BC8"/>
    <w:rsid w:val="0068502B"/>
    <w:rsid w:val="006854CB"/>
    <w:rsid w:val="006961BA"/>
    <w:rsid w:val="006A1721"/>
    <w:rsid w:val="006A6116"/>
    <w:rsid w:val="006A6A0D"/>
    <w:rsid w:val="006A758B"/>
    <w:rsid w:val="006B01B0"/>
    <w:rsid w:val="006B313F"/>
    <w:rsid w:val="006B53EC"/>
    <w:rsid w:val="006D1DBB"/>
    <w:rsid w:val="006D1F31"/>
    <w:rsid w:val="006D35F0"/>
    <w:rsid w:val="006D44D0"/>
    <w:rsid w:val="006E32FA"/>
    <w:rsid w:val="006E4EB5"/>
    <w:rsid w:val="006F5927"/>
    <w:rsid w:val="006F7E04"/>
    <w:rsid w:val="0070215C"/>
    <w:rsid w:val="00707AD6"/>
    <w:rsid w:val="00717E35"/>
    <w:rsid w:val="0072259F"/>
    <w:rsid w:val="00730139"/>
    <w:rsid w:val="0073262C"/>
    <w:rsid w:val="007510B9"/>
    <w:rsid w:val="00784518"/>
    <w:rsid w:val="00787F4C"/>
    <w:rsid w:val="00797654"/>
    <w:rsid w:val="007C119E"/>
    <w:rsid w:val="007C6516"/>
    <w:rsid w:val="007D06CA"/>
    <w:rsid w:val="007D615A"/>
    <w:rsid w:val="007D65AB"/>
    <w:rsid w:val="007E31C8"/>
    <w:rsid w:val="007F4CD0"/>
    <w:rsid w:val="00801104"/>
    <w:rsid w:val="00803126"/>
    <w:rsid w:val="00803EEB"/>
    <w:rsid w:val="00812861"/>
    <w:rsid w:val="0082075D"/>
    <w:rsid w:val="008242AD"/>
    <w:rsid w:val="008268E4"/>
    <w:rsid w:val="00833B5D"/>
    <w:rsid w:val="00850DD3"/>
    <w:rsid w:val="00851E95"/>
    <w:rsid w:val="008532BC"/>
    <w:rsid w:val="00864A82"/>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33174"/>
    <w:rsid w:val="009400B5"/>
    <w:rsid w:val="00952D4E"/>
    <w:rsid w:val="00953FF9"/>
    <w:rsid w:val="00956101"/>
    <w:rsid w:val="0097313F"/>
    <w:rsid w:val="009827BF"/>
    <w:rsid w:val="00994D01"/>
    <w:rsid w:val="00994FA9"/>
    <w:rsid w:val="009B36D1"/>
    <w:rsid w:val="009B6BDA"/>
    <w:rsid w:val="009B6F49"/>
    <w:rsid w:val="009C188E"/>
    <w:rsid w:val="009C2542"/>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3D76"/>
    <w:rsid w:val="00B14FAA"/>
    <w:rsid w:val="00B23A76"/>
    <w:rsid w:val="00B35620"/>
    <w:rsid w:val="00B37F95"/>
    <w:rsid w:val="00B54F2A"/>
    <w:rsid w:val="00B55881"/>
    <w:rsid w:val="00B57654"/>
    <w:rsid w:val="00B601F2"/>
    <w:rsid w:val="00B60DDD"/>
    <w:rsid w:val="00B6586E"/>
    <w:rsid w:val="00B66204"/>
    <w:rsid w:val="00B8294C"/>
    <w:rsid w:val="00BA1816"/>
    <w:rsid w:val="00BA226B"/>
    <w:rsid w:val="00BC4AC4"/>
    <w:rsid w:val="00BD6ADF"/>
    <w:rsid w:val="00BE1BE8"/>
    <w:rsid w:val="00BE7294"/>
    <w:rsid w:val="00BF3202"/>
    <w:rsid w:val="00C1597C"/>
    <w:rsid w:val="00C1634C"/>
    <w:rsid w:val="00C21EC6"/>
    <w:rsid w:val="00C22A2E"/>
    <w:rsid w:val="00C23766"/>
    <w:rsid w:val="00C269D5"/>
    <w:rsid w:val="00C33567"/>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E39FB"/>
    <w:rsid w:val="00CE76EA"/>
    <w:rsid w:val="00D03206"/>
    <w:rsid w:val="00D067F1"/>
    <w:rsid w:val="00D07E89"/>
    <w:rsid w:val="00D108A8"/>
    <w:rsid w:val="00D16D9A"/>
    <w:rsid w:val="00D176E6"/>
    <w:rsid w:val="00D266A4"/>
    <w:rsid w:val="00D402D3"/>
    <w:rsid w:val="00D4163C"/>
    <w:rsid w:val="00D50F7C"/>
    <w:rsid w:val="00D54A2D"/>
    <w:rsid w:val="00D65D0B"/>
    <w:rsid w:val="00D72AC9"/>
    <w:rsid w:val="00D7407B"/>
    <w:rsid w:val="00D75323"/>
    <w:rsid w:val="00D835C5"/>
    <w:rsid w:val="00D8489C"/>
    <w:rsid w:val="00D93C45"/>
    <w:rsid w:val="00D97657"/>
    <w:rsid w:val="00D97C3A"/>
    <w:rsid w:val="00DA11FA"/>
    <w:rsid w:val="00DA2A7A"/>
    <w:rsid w:val="00DA632F"/>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A144F"/>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53A6F"/>
    <w:rsid w:val="00F73D1A"/>
    <w:rsid w:val="00F759C0"/>
    <w:rsid w:val="00F82CE8"/>
    <w:rsid w:val="00F9350C"/>
    <w:rsid w:val="00F97294"/>
    <w:rsid w:val="00F97D1C"/>
    <w:rsid w:val="00FB5157"/>
    <w:rsid w:val="00FB6068"/>
    <w:rsid w:val="00FB6977"/>
    <w:rsid w:val="00FC037F"/>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npm27.shinyapps.io/Affordance_Norms/"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osf.io/68bk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8800</TotalTime>
  <Pages>22</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270</cp:revision>
  <dcterms:created xsi:type="dcterms:W3CDTF">2022-10-30T21:29:00Z</dcterms:created>
  <dcterms:modified xsi:type="dcterms:W3CDTF">2023-09-22T20:03:00Z</dcterms:modified>
</cp:coreProperties>
</file>