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4DB42E7E" w:rsidR="00E0085D" w:rsidRPr="007678E9"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Julia J. C. Blau</w:t>
      </w:r>
      <w:r w:rsidR="004C44A1" w:rsidRPr="00344E25">
        <w:rPr>
          <w:rFonts w:ascii="Times New Roman" w:eastAsia="Times New Roman" w:hAnsi="Times New Roman" w:cs="Times New Roman"/>
          <w:sz w:val="24"/>
          <w:szCs w:val="24"/>
          <w:vertAlign w:val="superscript"/>
        </w:rPr>
        <w:t>3</w:t>
      </w:r>
      <w:r w:rsidR="0088451B">
        <w:rPr>
          <w:rFonts w:ascii="Times New Roman" w:eastAsia="Times New Roman" w:hAnsi="Times New Roman" w:cs="Times New Roman"/>
          <w:sz w:val="24"/>
          <w:szCs w:val="24"/>
        </w:rPr>
        <w:t>,</w:t>
      </w:r>
      <w:r w:rsidR="00634DF5">
        <w:rPr>
          <w:rFonts w:ascii="Times New Roman" w:eastAsia="Times New Roman" w:hAnsi="Times New Roman" w:cs="Times New Roman"/>
          <w:sz w:val="24"/>
          <w:szCs w:val="24"/>
        </w:rPr>
        <w:t xml:space="preserve"> Brian Day</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 xml:space="preserve"> Kerry L. Marsh</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 xml:space="preserve">, </w:t>
      </w:r>
      <w:r w:rsidR="006B3D97">
        <w:rPr>
          <w:rFonts w:ascii="Times New Roman" w:eastAsia="Times New Roman" w:hAnsi="Times New Roman" w:cs="Times New Roman"/>
          <w:sz w:val="24"/>
          <w:szCs w:val="24"/>
        </w:rPr>
        <w:t>Benjamin R. Meagher</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 xml:space="preserve">, </w:t>
      </w:r>
      <w:r w:rsidR="00950FED">
        <w:rPr>
          <w:rFonts w:ascii="Times New Roman" w:eastAsia="Times New Roman" w:hAnsi="Times New Roman" w:cs="Times New Roman"/>
          <w:sz w:val="24"/>
          <w:szCs w:val="24"/>
        </w:rPr>
        <w:t>John F. Shelley-Tremblay</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Gray F. Thomas</w:t>
      </w:r>
      <w:r w:rsidR="00634DF5">
        <w:rPr>
          <w:rFonts w:ascii="Times New Roman" w:eastAsia="Times New Roman" w:hAnsi="Times New Roman" w:cs="Times New Roman"/>
          <w:sz w:val="24"/>
          <w:szCs w:val="24"/>
          <w:vertAlign w:val="superscript"/>
        </w:rPr>
        <w:t>5</w:t>
      </w:r>
      <w:r w:rsidR="007678E9">
        <w:rPr>
          <w:rFonts w:ascii="Times New Roman" w:eastAsia="Times New Roman" w:hAnsi="Times New Roman" w:cs="Times New Roman"/>
          <w:sz w:val="24"/>
          <w:szCs w:val="24"/>
        </w:rPr>
        <w:t>, &amp; Jeffrey B. Wagman</w:t>
      </w:r>
      <w:r w:rsidR="00634DF5">
        <w:rPr>
          <w:rFonts w:ascii="Times New Roman" w:eastAsia="Times New Roman" w:hAnsi="Times New Roman" w:cs="Times New Roman"/>
          <w:sz w:val="24"/>
          <w:szCs w:val="24"/>
          <w:vertAlign w:val="superscript"/>
        </w:rPr>
        <w:t>8</w:t>
      </w:r>
      <w:r w:rsidR="007678E9" w:rsidRPr="007678E9">
        <w:rPr>
          <w:rFonts w:ascii="Times New Roman" w:eastAsia="Times New Roman" w:hAnsi="Times New Roman" w:cs="Times New Roman"/>
          <w:sz w:val="24"/>
          <w:szCs w:val="24"/>
          <w:vertAlign w:val="superscript"/>
        </w:rPr>
        <w:t xml:space="preserve"> </w:t>
      </w:r>
    </w:p>
    <w:p w14:paraId="00000008" w14:textId="23ECECB5"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r w:rsidR="0088451B">
        <w:rPr>
          <w:rFonts w:ascii="Times New Roman" w:eastAsia="Times New Roman" w:hAnsi="Times New Roman" w:cs="Times New Roman"/>
          <w:sz w:val="24"/>
          <w:szCs w:val="24"/>
        </w:rPr>
        <w:t xml:space="preserve">, </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Butler University, </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University of Connecticut</w:t>
      </w:r>
      <w:r w:rsidR="007678E9">
        <w:rPr>
          <w:rFonts w:ascii="Times New Roman" w:eastAsia="Times New Roman" w:hAnsi="Times New Roman" w:cs="Times New Roman"/>
          <w:sz w:val="24"/>
          <w:szCs w:val="24"/>
        </w:rPr>
        <w:t>,</w:t>
      </w:r>
      <w:r w:rsidR="006B3D97">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Hope College,</w:t>
      </w:r>
      <w:r w:rsidR="00950FED">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University of South Alabama,</w:t>
      </w:r>
      <w:r w:rsidR="007678E9">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8</w:t>
      </w:r>
      <w:r w:rsidR="007678E9">
        <w:rPr>
          <w:rFonts w:ascii="Times New Roman" w:eastAsia="Times New Roman" w:hAnsi="Times New Roman" w:cs="Times New Roman"/>
          <w:sz w:val="24"/>
          <w:szCs w:val="24"/>
        </w:rPr>
        <w:t>Illinois State University</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4AFE813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EC3026">
        <w:rPr>
          <w:rFonts w:ascii="Times New Roman" w:eastAsia="Times New Roman" w:hAnsi="Times New Roman" w:cs="Times New Roman"/>
          <w:sz w:val="24"/>
          <w:szCs w:val="24"/>
        </w:rPr>
        <w:t>63</w:t>
      </w:r>
      <w:r w:rsidR="006A104F">
        <w:rPr>
          <w:rFonts w:ascii="Times New Roman" w:eastAsia="Times New Roman" w:hAnsi="Times New Roman" w:cs="Times New Roman"/>
          <w:sz w:val="24"/>
          <w:szCs w:val="24"/>
        </w:rPr>
        <w:t>4</w:t>
      </w:r>
      <w:r w:rsidR="00D72BC6">
        <w:rPr>
          <w:rFonts w:ascii="Times New Roman" w:eastAsia="Times New Roman" w:hAnsi="Times New Roman" w:cs="Times New Roman"/>
          <w:sz w:val="24"/>
          <w:szCs w:val="24"/>
        </w:rPr>
        <w:t>7</w:t>
      </w: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0">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583E49D4"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sema</w:t>
      </w:r>
      <w:r w:rsidR="001F1F22">
        <w:rPr>
          <w:rFonts w:ascii="Times New Roman" w:eastAsia="Times New Roman" w:hAnsi="Times New Roman" w:cs="Times New Roman"/>
          <w:sz w:val="24"/>
          <w:szCs w:val="24"/>
        </w:rPr>
        <w:t>n</w:t>
      </w:r>
      <w:r w:rsidR="00F1750A">
        <w:rPr>
          <w:rFonts w:ascii="Times New Roman" w:eastAsia="Times New Roman" w:hAnsi="Times New Roman" w:cs="Times New Roman"/>
          <w:sz w:val="24"/>
          <w:szCs w:val="24"/>
        </w:rPr>
        <w:t xml:space="preserve">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3587507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sidR="00344E25">
        <w:rPr>
          <w:rFonts w:ascii="Times New Roman" w:eastAsia="Times New Roman" w:hAnsi="Times New Roman" w:cs="Times New Roman"/>
          <w:sz w:val="24"/>
          <w:szCs w:val="24"/>
        </w:rPr>
        <w:t xml:space="preserve">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0F8AAB3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focus on semantic and associative descriptions of meaning, sets of norms have been developed which aim to measure these types of relations</w:t>
      </w:r>
      <w:r w:rsidR="00772FBB">
        <w:rPr>
          <w:rFonts w:ascii="Times New Roman" w:eastAsia="Times New Roman" w:hAnsi="Times New Roman" w:cs="Times New Roman"/>
          <w:sz w:val="24"/>
          <w:szCs w:val="24"/>
        </w:rPr>
        <w:t xml:space="preserve"> accurately</w:t>
      </w:r>
      <w:r>
        <w:rPr>
          <w:rFonts w:ascii="Times New Roman" w:eastAsia="Times New Roman" w:hAnsi="Times New Roman" w:cs="Times New Roman"/>
          <w:sz w:val="24"/>
          <w:szCs w:val="24"/>
        </w:rPr>
        <w:t xml:space="preserve">.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21F6182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r w:rsidR="00A2184F">
        <w:rPr>
          <w:rFonts w:ascii="Times New Roman" w:eastAsia="Times New Roman" w:hAnsi="Times New Roman" w:cs="Times New Roman"/>
          <w:sz w:val="24"/>
          <w:szCs w:val="24"/>
        </w:rPr>
        <w:t>interact with</w:t>
      </w:r>
      <w:r w:rsidR="00251EB2">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w:t>
      </w:r>
      <w:r w:rsidR="00772FBB">
        <w:rPr>
          <w:rFonts w:ascii="Times New Roman" w:eastAsia="Times New Roman" w:hAnsi="Times New Roman" w:cs="Times New Roman"/>
          <w:sz w:val="24"/>
          <w:szCs w:val="24"/>
        </w:rPr>
        <w:t xml:space="preserve">and range of </w:t>
      </w:r>
      <w:r w:rsidR="00F72DF2">
        <w:rPr>
          <w:rFonts w:ascii="Times New Roman" w:eastAsia="Times New Roman" w:hAnsi="Times New Roman" w:cs="Times New Roman"/>
          <w:sz w:val="24"/>
          <w:szCs w:val="24"/>
        </w:rPr>
        <w:t>perceived</w:t>
      </w:r>
      <w:r w:rsidR="00772FBB">
        <w:rPr>
          <w:rFonts w:ascii="Times New Roman" w:eastAsia="Times New Roman" w:hAnsi="Times New Roman" w:cs="Times New Roman"/>
          <w:sz w:val="24"/>
          <w:szCs w:val="24"/>
        </w:rPr>
        <w:t xml:space="preserve"> uses </w:t>
      </w:r>
      <w:r>
        <w:rPr>
          <w:rFonts w:ascii="Times New Roman" w:eastAsia="Times New Roman" w:hAnsi="Times New Roman" w:cs="Times New Roman"/>
          <w:sz w:val="24"/>
          <w:szCs w:val="24"/>
        </w:rPr>
        <w:t xml:space="preserve">(i.e.,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Gibson, 1977; see Wagman, 20</w:t>
      </w:r>
      <w:r w:rsidR="00251EB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w:t>
      </w:r>
      <w:r>
        <w:rPr>
          <w:rFonts w:ascii="Times New Roman" w:eastAsia="Times New Roman" w:hAnsi="Times New Roman" w:cs="Times New Roman"/>
          <w:sz w:val="24"/>
          <w:szCs w:val="24"/>
        </w:rPr>
        <w:lastRenderedPageBreak/>
        <w:t xml:space="preserve">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397DBF7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r w:rsidR="00371261">
        <w:rPr>
          <w:rFonts w:ascii="Times New Roman" w:eastAsia="Times New Roman" w:hAnsi="Times New Roman" w:cs="Times New Roman"/>
          <w:sz w:val="24"/>
          <w:szCs w:val="24"/>
        </w:rPr>
        <w:t xml:space="preserve"> capture</w:t>
      </w:r>
      <w:r>
        <w:rPr>
          <w:rFonts w:ascii="Times New Roman" w:eastAsia="Times New Roman" w:hAnsi="Times New Roman" w:cs="Times New Roman"/>
          <w:sz w:val="24"/>
          <w:szCs w:val="24"/>
        </w:rPr>
        <w:t xml:space="preserve"> </w:t>
      </w:r>
      <w:r w:rsidR="00371261">
        <w:rPr>
          <w:rFonts w:ascii="Times New Roman" w:eastAsia="Times New Roman" w:hAnsi="Times New Roman" w:cs="Times New Roman"/>
          <w:sz w:val="24"/>
          <w:szCs w:val="24"/>
        </w:rPr>
        <w:t>aspects</w:t>
      </w:r>
      <w:r>
        <w:rPr>
          <w:rFonts w:ascii="Times New Roman" w:eastAsia="Times New Roman" w:hAnsi="Times New Roman" w:cs="Times New Roman"/>
          <w:sz w:val="24"/>
          <w:szCs w:val="24"/>
        </w:rPr>
        <w:t xml:space="preserve"> of semantic knowledge</w:t>
      </w:r>
      <w:r w:rsidR="00410843">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rPr>
        <w:t>BOI</w:t>
      </w:r>
      <w:r w:rsidR="0041084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strong predictor of responses in semantic decision tasks</w:t>
      </w:r>
      <w:r w:rsidR="00410843">
        <w:rPr>
          <w:rFonts w:ascii="Times New Roman" w:eastAsia="Times New Roman" w:hAnsi="Times New Roman" w:cs="Times New Roman"/>
          <w:sz w:val="24"/>
          <w:szCs w:val="24"/>
        </w:rPr>
        <w:t xml:space="preserve"> and has been found to</w:t>
      </w:r>
      <w:r>
        <w:rPr>
          <w:rFonts w:ascii="Times New Roman" w:eastAsia="Times New Roman" w:hAnsi="Times New Roman" w:cs="Times New Roman"/>
          <w:sz w:val="24"/>
          <w:szCs w:val="24"/>
        </w:rPr>
        <w:t xml:space="preserve"> facilitate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29695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w:t>
      </w:r>
      <w:r w:rsidR="001655F2">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potential shortcomings which may limit their broader use. First, BOI ratings</w:t>
      </w:r>
      <w:r w:rsidR="00A43028">
        <w:rPr>
          <w:rFonts w:ascii="Times New Roman" w:eastAsia="Times New Roman" w:hAnsi="Times New Roman" w:cs="Times New Roman"/>
          <w:sz w:val="24"/>
          <w:szCs w:val="24"/>
        </w:rPr>
        <w:t xml:space="preserve"> are highly correlated with concreteness, given that by nature they</w:t>
      </w:r>
      <w:r>
        <w:rPr>
          <w:rFonts w:ascii="Times New Roman" w:eastAsia="Times New Roman" w:hAnsi="Times New Roman" w:cs="Times New Roman"/>
          <w:sz w:val="24"/>
          <w:szCs w:val="24"/>
        </w:rPr>
        <w:t xml:space="preserve"> reflect the degree to which individuals can interact with an object</w:t>
      </w:r>
      <w:r w:rsidR="00A4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t>
      </w:r>
      <w:r w:rsidR="00291FBF">
        <w:rPr>
          <w:rFonts w:ascii="Times New Roman" w:eastAsia="Times New Roman" w:hAnsi="Times New Roman" w:cs="Times New Roman"/>
          <w:sz w:val="24"/>
          <w:szCs w:val="24"/>
        </w:rPr>
        <w:t>improved for</w:t>
      </w:r>
      <w:r>
        <w:rPr>
          <w:rFonts w:ascii="Times New Roman" w:eastAsia="Times New Roman" w:hAnsi="Times New Roman" w:cs="Times New Roman"/>
          <w:sz w:val="24"/>
          <w:szCs w:val="24"/>
        </w:rPr>
        <w:t xml:space="preserve">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interactivity 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2839A6E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we detail the creation of the affordance norm dataset</w:t>
      </w:r>
      <w:r w:rsidR="008E2B01">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w:t>
      </w:r>
      <w:r w:rsidR="008E2B01" w:rsidRPr="008E2B01">
        <w:rPr>
          <w:rFonts w:ascii="Times New Roman" w:eastAsia="Times New Roman" w:hAnsi="Times New Roman" w:cs="Times New Roman"/>
          <w:sz w:val="24"/>
          <w:szCs w:val="24"/>
        </w:rPr>
        <w:t>how</w:t>
      </w:r>
      <w:r w:rsidR="00470C07">
        <w:rPr>
          <w:rFonts w:ascii="Times New Roman" w:eastAsia="Times New Roman" w:hAnsi="Times New Roman" w:cs="Times New Roman"/>
          <w:sz w:val="24"/>
          <w:szCs w:val="24"/>
        </w:rPr>
        <w:t xml:space="preserve"> our </w:t>
      </w:r>
      <w:r w:rsidR="007F2CBA">
        <w:rPr>
          <w:rFonts w:ascii="Times New Roman" w:eastAsia="Times New Roman" w:hAnsi="Times New Roman" w:cs="Times New Roman"/>
          <w:sz w:val="24"/>
          <w:szCs w:val="24"/>
        </w:rPr>
        <w:t xml:space="preserve">final </w:t>
      </w:r>
      <w:r w:rsidR="00470C07">
        <w:rPr>
          <w:rFonts w:ascii="Times New Roman" w:eastAsia="Times New Roman" w:hAnsi="Times New Roman" w:cs="Times New Roman"/>
          <w:sz w:val="24"/>
          <w:szCs w:val="24"/>
        </w:rPr>
        <w:t>sample size was</w:t>
      </w:r>
      <w:r w:rsidR="008E2B01" w:rsidRPr="008E2B01">
        <w:rPr>
          <w:rFonts w:ascii="Times New Roman" w:eastAsia="Times New Roman" w:hAnsi="Times New Roman" w:cs="Times New Roman"/>
          <w:sz w:val="24"/>
          <w:szCs w:val="24"/>
        </w:rPr>
        <w:t xml:space="preserve"> determined, </w:t>
      </w:r>
      <w:r w:rsidR="00470C07">
        <w:rPr>
          <w:rFonts w:ascii="Times New Roman" w:eastAsia="Times New Roman" w:hAnsi="Times New Roman" w:cs="Times New Roman"/>
          <w:sz w:val="24"/>
          <w:szCs w:val="24"/>
        </w:rPr>
        <w:t>exclusion criteria</w:t>
      </w:r>
      <w:r w:rsidR="008E2B01" w:rsidRPr="008E2B01">
        <w:rPr>
          <w:rFonts w:ascii="Times New Roman" w:eastAsia="Times New Roman" w:hAnsi="Times New Roman" w:cs="Times New Roman"/>
          <w:sz w:val="24"/>
          <w:szCs w:val="24"/>
        </w:rPr>
        <w:t>, a</w:t>
      </w:r>
      <w:r w:rsidR="00470C07">
        <w:rPr>
          <w:rFonts w:ascii="Times New Roman" w:eastAsia="Times New Roman" w:hAnsi="Times New Roman" w:cs="Times New Roman"/>
          <w:sz w:val="24"/>
          <w:szCs w:val="24"/>
        </w:rPr>
        <w:t>nd a</w:t>
      </w:r>
      <w:r w:rsidR="008E2B01" w:rsidRPr="008E2B01">
        <w:rPr>
          <w:rFonts w:ascii="Times New Roman" w:eastAsia="Times New Roman" w:hAnsi="Times New Roman" w:cs="Times New Roman"/>
          <w:sz w:val="24"/>
          <w:szCs w:val="24"/>
        </w:rPr>
        <w:t>ll manipulations</w:t>
      </w:r>
      <w:r w:rsidR="00470C07">
        <w:rPr>
          <w:rFonts w:ascii="Times New Roman" w:eastAsia="Times New Roman" w:hAnsi="Times New Roman" w:cs="Times New Roman"/>
          <w:sz w:val="24"/>
          <w:szCs w:val="24"/>
        </w:rPr>
        <w:t xml:space="preserve"> and </w:t>
      </w:r>
      <w:r w:rsidR="008E2B01" w:rsidRPr="008E2B01">
        <w:rPr>
          <w:rFonts w:ascii="Times New Roman" w:eastAsia="Times New Roman" w:hAnsi="Times New Roman" w:cs="Times New Roman"/>
          <w:sz w:val="24"/>
          <w:szCs w:val="24"/>
        </w:rPr>
        <w:t>measures</w:t>
      </w:r>
      <w:r w:rsidR="00470C07">
        <w:rPr>
          <w:rFonts w:ascii="Times New Roman" w:eastAsia="Times New Roman" w:hAnsi="Times New Roman" w:cs="Times New Roman"/>
          <w:sz w:val="24"/>
          <w:szCs w:val="24"/>
        </w:rPr>
        <w:t xml:space="preserve">. </w:t>
      </w:r>
      <w:r w:rsidR="008E2B01">
        <w:rPr>
          <w:rFonts w:ascii="Times New Roman" w:eastAsia="Times New Roman" w:hAnsi="Times New Roman" w:cs="Times New Roman"/>
          <w:sz w:val="24"/>
          <w:szCs w:val="24"/>
        </w:rPr>
        <w:t>We then</w:t>
      </w:r>
      <w:r>
        <w:rPr>
          <w:rFonts w:ascii="Times New Roman" w:eastAsia="Times New Roman" w:hAnsi="Times New Roman" w:cs="Times New Roman"/>
          <w:sz w:val="24"/>
          <w:szCs w:val="24"/>
        </w:rPr>
        <w:t xml:space="preserve"> describe an interactive web-portal designed to facilitate exploration of the final set of norms</w:t>
      </w:r>
      <w:r w:rsidR="008E2B01">
        <w:rPr>
          <w:rFonts w:ascii="Times New Roman" w:eastAsia="Times New Roman" w:hAnsi="Times New Roman" w:cs="Times New Roman"/>
          <w:sz w:val="24"/>
          <w:szCs w:val="24"/>
        </w:rPr>
        <w:t xml:space="preserve">. Finally, we discuss </w:t>
      </w:r>
      <w:r>
        <w:rPr>
          <w:rFonts w:ascii="Times New Roman" w:eastAsia="Times New Roman" w:hAnsi="Times New Roman" w:cs="Times New Roman"/>
          <w:sz w:val="24"/>
          <w:szCs w:val="24"/>
        </w:rPr>
        <w:t xml:space="preserve">a series of analyses which compared the affordance measures generated from this dataset with two existing measures of meaning (e.g., </w:t>
      </w:r>
      <w:r w:rsidR="004F46DF">
        <w:rPr>
          <w:rFonts w:ascii="Times New Roman" w:eastAsia="Times New Roman" w:hAnsi="Times New Roman" w:cs="Times New Roman"/>
          <w:sz w:val="24"/>
          <w:szCs w:val="24"/>
        </w:rPr>
        <w:t>Forward Association Strength (</w:t>
      </w:r>
      <w:r>
        <w:rPr>
          <w:rFonts w:ascii="Times New Roman" w:eastAsia="Times New Roman" w:hAnsi="Times New Roman" w:cs="Times New Roman"/>
          <w:sz w:val="24"/>
          <w:szCs w:val="24"/>
        </w:rPr>
        <w:t>FAS</w:t>
      </w:r>
      <w:r w:rsidR="004F46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4EBEC16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recruited </w:t>
      </w:r>
      <w:r w:rsidR="00651568">
        <w:rPr>
          <w:rFonts w:ascii="Times New Roman" w:eastAsia="Times New Roman" w:hAnsi="Times New Roman" w:cs="Times New Roman"/>
          <w:sz w:val="24"/>
          <w:szCs w:val="24"/>
        </w:rPr>
        <w:t xml:space="preserve">3189 </w:t>
      </w:r>
      <w:r>
        <w:rPr>
          <w:rFonts w:ascii="Times New Roman" w:eastAsia="Times New Roman" w:hAnsi="Times New Roman" w:cs="Times New Roman"/>
          <w:sz w:val="24"/>
          <w:szCs w:val="24"/>
        </w:rPr>
        <w:t>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hyperlink r:id="rId11" w:history="1">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hyperlink>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sidR="00651568">
        <w:rPr>
          <w:rFonts w:ascii="Times New Roman" w:eastAsia="Times New Roman" w:hAnsi="Times New Roman" w:cs="Times New Roman"/>
          <w:sz w:val="24"/>
          <w:szCs w:val="24"/>
        </w:rPr>
        <w:t xml:space="preserve">We initially targeted 3000 participants, which ensured that object would be normed by 30 participants. However, data collection was extended as funding permitted.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lastRenderedPageBreak/>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8DBB92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r w:rsidR="00F72DF2">
        <w:rPr>
          <w:rFonts w:ascii="Times New Roman" w:eastAsia="Times New Roman" w:hAnsi="Times New Roman" w:cs="Times New Roman"/>
          <w:sz w:val="24"/>
          <w:szCs w:val="24"/>
        </w:rPr>
        <w:t xml:space="preserve">were </w:t>
      </w:r>
      <w:r w:rsidR="00981969">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to list as many uses for each object </w:t>
      </w:r>
      <w:r w:rsidR="00AD45B6">
        <w:rPr>
          <w:rFonts w:ascii="Times New Roman" w:eastAsia="Times New Roman" w:hAnsi="Times New Roman" w:cs="Times New Roman"/>
          <w:sz w:val="24"/>
          <w:szCs w:val="24"/>
        </w:rPr>
        <w:t>(</w:t>
      </w:r>
      <w:r w:rsidR="00250D2D">
        <w:rPr>
          <w:rFonts w:ascii="Times New Roman" w:eastAsia="Times New Roman" w:hAnsi="Times New Roman" w:cs="Times New Roman"/>
          <w:sz w:val="24"/>
          <w:szCs w:val="24"/>
        </w:rPr>
        <w:t xml:space="preserve">i.e., </w:t>
      </w:r>
      <w:r w:rsidR="00AD45B6">
        <w:rPr>
          <w:rFonts w:ascii="Times New Roman" w:eastAsia="Times New Roman" w:hAnsi="Times New Roman" w:cs="Times New Roman"/>
          <w:sz w:val="24"/>
          <w:szCs w:val="24"/>
        </w:rPr>
        <w:t xml:space="preserve">affordances) </w:t>
      </w:r>
      <w:r>
        <w:rPr>
          <w:rFonts w:ascii="Times New Roman" w:eastAsia="Times New Roman" w:hAnsi="Times New Roman" w:cs="Times New Roman"/>
          <w:sz w:val="24"/>
          <w:szCs w:val="24"/>
        </w:rPr>
        <w:t xml:space="preserve">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5D22F89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w:t>
      </w:r>
      <w:r>
        <w:rPr>
          <w:rFonts w:ascii="Times New Roman" w:eastAsia="Times New Roman" w:hAnsi="Times New Roman" w:cs="Times New Roman"/>
          <w:sz w:val="24"/>
          <w:szCs w:val="24"/>
        </w:rPr>
        <w:lastRenderedPageBreak/>
        <w:t xml:space="preserve">the screen, and participants were instructed </w:t>
      </w:r>
      <w:r w:rsidR="00250D2D">
        <w:rPr>
          <w:rFonts w:ascii="Times New Roman" w:eastAsia="Times New Roman" w:hAnsi="Times New Roman" w:cs="Times New Roman"/>
          <w:sz w:val="24"/>
          <w:szCs w:val="24"/>
        </w:rPr>
        <w:t xml:space="preserve">to generate as many affordances as they reasonably could in response to cue. Participants typed each affordance response </w:t>
      </w:r>
      <w:r>
        <w:rPr>
          <w:rFonts w:ascii="Times New Roman" w:eastAsia="Times New Roman" w:hAnsi="Times New Roman" w:cs="Times New Roman"/>
          <w:sz w:val="24"/>
          <w:szCs w:val="24"/>
        </w:rPr>
        <w:t xml:space="preserve">into a textbox which was located directly below the </w:t>
      </w:r>
      <w:r w:rsidR="00250D2D">
        <w:rPr>
          <w:rFonts w:ascii="Times New Roman" w:eastAsia="Times New Roman" w:hAnsi="Times New Roman" w:cs="Times New Roman"/>
          <w:sz w:val="24"/>
          <w:szCs w:val="24"/>
        </w:rPr>
        <w:t>cue</w:t>
      </w:r>
      <w:r>
        <w:rPr>
          <w:rFonts w:ascii="Times New Roman" w:eastAsia="Times New Roman" w:hAnsi="Times New Roman" w:cs="Times New Roman"/>
          <w:sz w:val="24"/>
          <w:szCs w:val="24"/>
        </w:rPr>
        <w:t xml:space="preserve">. To maximize potential affordances, participants were not given specific instructions on how to format their responses (i.e., tense, single words vs. phrases, etc.) with the exception that they were asked to separate each unique </w:t>
      </w:r>
      <w:r w:rsidR="00C3085C">
        <w:rPr>
          <w:rFonts w:ascii="Times New Roman" w:eastAsia="Times New Roman" w:hAnsi="Times New Roman" w:cs="Times New Roman"/>
          <w:sz w:val="24"/>
          <w:szCs w:val="24"/>
        </w:rPr>
        <w:t>object use</w:t>
      </w:r>
      <w:r>
        <w:rPr>
          <w:rFonts w:ascii="Times New Roman" w:eastAsia="Times New Roman" w:hAnsi="Times New Roman" w:cs="Times New Roman"/>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21A6C2B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r w:rsidR="00673F11">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w:t>
      </w:r>
      <w:r>
        <w:rPr>
          <w:rFonts w:ascii="Times New Roman" w:eastAsia="Times New Roman" w:hAnsi="Times New Roman" w:cs="Times New Roman"/>
          <w:sz w:val="24"/>
          <w:szCs w:val="24"/>
        </w:rPr>
        <w:lastRenderedPageBreak/>
        <w:t xml:space="preserve">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r>
        <w:rPr>
          <w:rFonts w:ascii="Times New Roman" w:eastAsia="Times New Roman" w:hAnsi="Times New Roman" w:cs="Times New Roman"/>
          <w:sz w:val="24"/>
          <w:szCs w:val="24"/>
        </w:rPr>
        <w:lastRenderedPageBreak/>
        <w:t xml:space="preserve">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1587EF5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r w:rsidR="00554C76">
        <w:rPr>
          <w:rFonts w:ascii="Times New Roman" w:eastAsia="Times New Roman" w:hAnsi="Times New Roman" w:cs="Times New Roman"/>
          <w:sz w:val="24"/>
          <w:szCs w:val="24"/>
        </w:rPr>
        <w:t xml:space="preserve">isolated in the previous step </w:t>
      </w:r>
      <w:r>
        <w:rPr>
          <w:rFonts w:ascii="Times New Roman" w:eastAsia="Times New Roman" w:hAnsi="Times New Roman" w:cs="Times New Roman"/>
          <w:sz w:val="24"/>
          <w:szCs w:val="24"/>
        </w:rPr>
        <w:t xml:space="preserve">often contained multiple actions, as well as other context specific words (e.g., nouns and adjectives) which may also contain important information regarding object use. </w:t>
      </w:r>
      <w:r w:rsidR="00554C76">
        <w:rPr>
          <w:rFonts w:ascii="Times New Roman" w:eastAsia="Times New Roman" w:hAnsi="Times New Roman" w:cs="Times New Roman"/>
          <w:sz w:val="24"/>
          <w:szCs w:val="24"/>
        </w:rPr>
        <w:t xml:space="preserve">As such, </w:t>
      </w:r>
      <w:r w:rsidR="00A2184F">
        <w:rPr>
          <w:rFonts w:ascii="Times New Roman" w:eastAsia="Times New Roman" w:hAnsi="Times New Roman" w:cs="Times New Roman"/>
          <w:sz w:val="24"/>
          <w:szCs w:val="24"/>
        </w:rPr>
        <w:t xml:space="preserve">these </w:t>
      </w:r>
      <w:r w:rsidR="00554C76">
        <w:rPr>
          <w:rFonts w:ascii="Times New Roman" w:eastAsia="Times New Roman" w:hAnsi="Times New Roman" w:cs="Times New Roman"/>
          <w:sz w:val="24"/>
          <w:szCs w:val="24"/>
        </w:rPr>
        <w:t xml:space="preserve">phrases were further split into separate lines, particularly when they contained a mix of nouns and verbs (i.e., for the </w:t>
      </w:r>
      <w:r w:rsidR="00554C76" w:rsidRPr="000B378A">
        <w:rPr>
          <w:rFonts w:ascii="Times New Roman" w:eastAsia="Times New Roman" w:hAnsi="Times New Roman" w:cs="Times New Roman"/>
          <w:i/>
          <w:iCs/>
          <w:sz w:val="24"/>
          <w:szCs w:val="24"/>
        </w:rPr>
        <w:t>cue</w:t>
      </w:r>
      <w:r w:rsidR="00554C76">
        <w:rPr>
          <w:rFonts w:ascii="Times New Roman" w:eastAsia="Times New Roman" w:hAnsi="Times New Roman" w:cs="Times New Roman"/>
          <w:sz w:val="24"/>
          <w:szCs w:val="24"/>
        </w:rPr>
        <w:t xml:space="preserve"> </w:t>
      </w:r>
      <w:r w:rsidR="00554C76" w:rsidRPr="000B378A">
        <w:rPr>
          <w:rFonts w:ascii="Times New Roman" w:eastAsia="Times New Roman" w:hAnsi="Times New Roman" w:cs="Times New Roman"/>
          <w:sz w:val="24"/>
          <w:szCs w:val="24"/>
        </w:rPr>
        <w:t>cup</w:t>
      </w:r>
      <w:r w:rsidR="00554C76">
        <w:rPr>
          <w:rFonts w:ascii="Times New Roman" w:eastAsia="Times New Roman" w:hAnsi="Times New Roman" w:cs="Times New Roman"/>
          <w:sz w:val="24"/>
          <w:szCs w:val="24"/>
        </w:rPr>
        <w:t xml:space="preserve">, the affordance </w:t>
      </w:r>
      <w:r w:rsidR="00A2184F">
        <w:rPr>
          <w:rFonts w:ascii="Times New Roman" w:eastAsia="Times New Roman" w:hAnsi="Times New Roman" w:cs="Times New Roman"/>
          <w:sz w:val="24"/>
          <w:szCs w:val="24"/>
        </w:rPr>
        <w:t xml:space="preserve">phrase </w:t>
      </w:r>
      <w:r w:rsidR="00554C76">
        <w:rPr>
          <w:rFonts w:ascii="Times New Roman" w:eastAsia="Times New Roman" w:hAnsi="Times New Roman" w:cs="Times New Roman"/>
          <w:sz w:val="24"/>
          <w:szCs w:val="24"/>
        </w:rPr>
        <w:t xml:space="preserve">“pencil holder” would be separated as “pencil” and “hold”). </w:t>
      </w:r>
      <w:r w:rsidRPr="00554C7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00554C76">
        <w:rPr>
          <w:rFonts w:ascii="Times New Roman" w:eastAsia="Times New Roman" w:hAnsi="Times New Roman" w:cs="Times New Roman"/>
          <w:sz w:val="24"/>
          <w:szCs w:val="24"/>
        </w:rPr>
        <w:t xml:space="preserve">separating </w:t>
      </w:r>
      <w:r w:rsidR="00305F67">
        <w:rPr>
          <w:rFonts w:ascii="Times New Roman" w:eastAsia="Times New Roman" w:hAnsi="Times New Roman" w:cs="Times New Roman"/>
          <w:sz w:val="24"/>
          <w:szCs w:val="24"/>
        </w:rPr>
        <w:t>affordance phrases</w:t>
      </w:r>
      <w:r>
        <w:rPr>
          <w:rFonts w:ascii="Times New Roman" w:eastAsia="Times New Roman" w:hAnsi="Times New Roman" w:cs="Times New Roman"/>
          <w:sz w:val="24"/>
          <w:szCs w:val="24"/>
        </w:rPr>
        <w: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represented by verb </w:t>
      </w:r>
      <w:proofErr w:type="gramStart"/>
      <w:r>
        <w:rPr>
          <w:rFonts w:ascii="Times New Roman" w:eastAsia="Times New Roman" w:hAnsi="Times New Roman" w:cs="Times New Roman"/>
          <w:sz w:val="24"/>
          <w:szCs w:val="24"/>
        </w:rPr>
        <w:t>responses</w:t>
      </w:r>
      <w:r w:rsidR="00897A7B">
        <w:rPr>
          <w:rFonts w:ascii="Times New Roman" w:eastAsia="Times New Roman" w:hAnsi="Times New Roman" w:cs="Times New Roman"/>
          <w:sz w:val="24"/>
          <w:szCs w:val="24"/>
        </w:rPr>
        <w:t>;</w:t>
      </w:r>
      <w:proofErr w:type="gramEnd"/>
      <w:r w:rsidR="00897A7B">
        <w:rPr>
          <w:rFonts w:ascii="Times New Roman" w:eastAsia="Times New Roman" w:hAnsi="Times New Roman" w:cs="Times New Roman"/>
          <w:sz w:val="24"/>
          <w:szCs w:val="24"/>
        </w:rPr>
        <w:t xml:space="preserve"> e.g. “hold”</w:t>
      </w:r>
      <w:r>
        <w:rPr>
          <w:rFonts w:ascii="Times New Roman" w:eastAsia="Times New Roman" w:hAnsi="Times New Roman" w:cs="Times New Roman"/>
          <w:sz w:val="24"/>
          <w:szCs w:val="24"/>
        </w:rPr>
        <w:t>) while also preserving the context in which the affordance occurs</w:t>
      </w:r>
      <w:r w:rsidR="00897A7B">
        <w:rPr>
          <w:rFonts w:ascii="Times New Roman" w:eastAsia="Times New Roman" w:hAnsi="Times New Roman" w:cs="Times New Roman"/>
          <w:sz w:val="24"/>
          <w:szCs w:val="24"/>
        </w:rPr>
        <w:t xml:space="preserve"> (“pencil”)</w:t>
      </w:r>
      <w:r>
        <w:rPr>
          <w:rFonts w:ascii="Times New Roman" w:eastAsia="Times New Roman" w:hAnsi="Times New Roman" w:cs="Times New Roman"/>
          <w:sz w:val="24"/>
          <w:szCs w:val="24"/>
        </w:rPr>
        <w:t xml:space="preserve">.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w:t>
      </w:r>
      <w:r>
        <w:rPr>
          <w:rFonts w:ascii="Times New Roman" w:eastAsia="Times New Roman" w:hAnsi="Times New Roman" w:cs="Times New Roman"/>
          <w:sz w:val="24"/>
          <w:szCs w:val="24"/>
        </w:rPr>
        <w:lastRenderedPageBreak/>
        <w:t xml:space="preserve">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1AF5E42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w:t>
      </w:r>
      <w:r w:rsidR="00F825F3">
        <w:rPr>
          <w:rFonts w:ascii="Times New Roman" w:eastAsia="Times New Roman" w:hAnsi="Times New Roman" w:cs="Times New Roman"/>
          <w:sz w:val="24"/>
          <w:szCs w:val="24"/>
        </w:rPr>
        <w:t>received responses from</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674FF78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0B378A">
        <w:rPr>
          <w:rFonts w:ascii="Times New Roman" w:eastAsia="Times New Roman" w:hAnsi="Times New Roman" w:cs="Times New Roman"/>
          <w:iCs/>
          <w:sz w:val="24"/>
          <w:szCs w:val="24"/>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w:t>
      </w:r>
      <w:r>
        <w:rPr>
          <w:rFonts w:ascii="Times New Roman" w:eastAsia="Times New Roman" w:hAnsi="Times New Roman" w:cs="Times New Roman"/>
          <w:sz w:val="24"/>
          <w:szCs w:val="24"/>
        </w:rPr>
        <w:lastRenderedPageBreak/>
        <w:t xml:space="preserve">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would be 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w:t>
      </w:r>
      <w:r w:rsidR="00585F51">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or </w:t>
      </w:r>
      <w:r w:rsidR="00585F51">
        <w:rPr>
          <w:rFonts w:ascii="Times New Roman" w:eastAsia="Times New Roman" w:hAnsi="Times New Roman" w:cs="Times New Roman"/>
          <w:sz w:val="24"/>
          <w:szCs w:val="24"/>
        </w:rPr>
        <w:t xml:space="preserve">example, when responding to </w:t>
      </w:r>
      <w:r>
        <w:rPr>
          <w:rFonts w:ascii="Times New Roman" w:eastAsia="Times New Roman" w:hAnsi="Times New Roman" w:cs="Times New Roman"/>
          <w:sz w:val="24"/>
          <w:szCs w:val="24"/>
        </w:rPr>
        <w:t xml:space="preserve">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w:t>
      </w:r>
      <w:r w:rsidR="00052A9E">
        <w:rPr>
          <w:rFonts w:ascii="Times New Roman" w:eastAsia="Times New Roman" w:hAnsi="Times New Roman" w:cs="Times New Roman"/>
          <w:sz w:val="24"/>
          <w:szCs w:val="24"/>
        </w:rPr>
        <w:lastRenderedPageBreak/>
        <w:t xml:space="preserve">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7B0050C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of quantifying object-affordance dynamics</w:t>
      </w:r>
      <w:r w:rsidR="00764D6D">
        <w:rPr>
          <w:rFonts w:ascii="Times New Roman" w:eastAsia="Times New Roman" w:hAnsi="Times New Roman" w:cs="Times New Roman"/>
          <w:sz w:val="24"/>
          <w:szCs w:val="24"/>
        </w:rPr>
        <w:t xml:space="preserve"> (related to the concept of </w:t>
      </w:r>
      <w:r w:rsidR="00764D6D" w:rsidRPr="000B378A">
        <w:rPr>
          <w:rFonts w:ascii="Times New Roman" w:eastAsia="Times New Roman" w:hAnsi="Times New Roman" w:cs="Times New Roman"/>
          <w:i/>
          <w:iCs/>
          <w:sz w:val="24"/>
          <w:szCs w:val="24"/>
        </w:rPr>
        <w:t>canonical affordances</w:t>
      </w:r>
      <w:r w:rsidR="00CE2B25">
        <w:rPr>
          <w:rFonts w:ascii="Times New Roman" w:eastAsia="Times New Roman" w:hAnsi="Times New Roman" w:cs="Times New Roman"/>
          <w:sz w:val="24"/>
          <w:szCs w:val="24"/>
        </w:rPr>
        <w:t>; see</w:t>
      </w:r>
      <w:r w:rsidR="00764D6D">
        <w:rPr>
          <w:rFonts w:ascii="Times New Roman" w:eastAsia="Times New Roman" w:hAnsi="Times New Roman" w:cs="Times New Roman"/>
          <w:sz w:val="24"/>
          <w:szCs w:val="24"/>
        </w:rPr>
        <w:t xml:space="preserve"> Costall</w:t>
      </w:r>
      <w:r w:rsidR="00CE2B25">
        <w:rPr>
          <w:rFonts w:ascii="Times New Roman" w:eastAsia="Times New Roman" w:hAnsi="Times New Roman" w:cs="Times New Roman"/>
          <w:sz w:val="24"/>
          <w:szCs w:val="24"/>
        </w:rPr>
        <w:t xml:space="preserve">, </w:t>
      </w:r>
      <w:r w:rsidR="00365A2E">
        <w:rPr>
          <w:rFonts w:ascii="Times New Roman" w:eastAsia="Times New Roman" w:hAnsi="Times New Roman" w:cs="Times New Roman"/>
          <w:sz w:val="24"/>
          <w:szCs w:val="24"/>
        </w:rPr>
        <w:t>2012)</w:t>
      </w:r>
      <w:r>
        <w:rPr>
          <w:rFonts w:ascii="Times New Roman" w:eastAsia="Times New Roman" w:hAnsi="Times New Roman" w:cs="Times New Roman"/>
          <w:sz w:val="24"/>
          <w:szCs w:val="24"/>
        </w:rPr>
        <w:t xml:space="preserve">,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participant 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2"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both tables, users can search and filter the dataset based </w:t>
      </w:r>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w:t>
      </w:r>
      <w:r>
        <w:rPr>
          <w:rFonts w:ascii="Times New Roman" w:eastAsia="Times New Roman" w:hAnsi="Times New Roman" w:cs="Times New Roman"/>
          <w:sz w:val="24"/>
          <w:szCs w:val="24"/>
        </w:rPr>
        <w:lastRenderedPageBreak/>
        <w:t xml:space="preserve">affordance measures and concreteness, </w:t>
      </w:r>
      <w:proofErr w:type="spellStart"/>
      <w:r w:rsidR="000B263A">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As such, we also expected negative correlations between AFSS and AFS. However, because AFP was designed to mitigate the effects of set size on affordance strength, this negative effect was expected to be greatly reduced when assessing the 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w:t>
      </w:r>
      <w:r>
        <w:rPr>
          <w:rFonts w:ascii="Times New Roman" w:eastAsia="Times New Roman" w:hAnsi="Times New Roman" w:cs="Times New Roman"/>
          <w:sz w:val="24"/>
          <w:szCs w:val="24"/>
        </w:rPr>
        <w:lastRenderedPageBreak/>
        <w:t>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animacy effect emerged,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3F1CE997"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 xml:space="preserve">Next, we assessed the relationship between each affordance measure (AFS, AFP, and AFSS) and BOI, concreteness, SUBLTEX frequency, </w:t>
      </w:r>
      <w:proofErr w:type="spellStart"/>
      <w:r w:rsidRPr="003D600A">
        <w:rPr>
          <w:rFonts w:ascii="Times New Roman" w:eastAsia="Times New Roman" w:hAnsi="Times New Roman" w:cs="Times New Roman"/>
          <w:sz w:val="24"/>
          <w:szCs w:val="24"/>
        </w:rPr>
        <w:t>AoA</w:t>
      </w:r>
      <w:proofErr w:type="spellEnd"/>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proofErr w:type="spellStar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w:t>
      </w:r>
      <w:proofErr w:type="spellEnd"/>
      <w:r w:rsidR="00A916ED" w:rsidRPr="00344E25">
        <w:rPr>
          <w:rFonts w:ascii="Times New Roman" w:eastAsia="Times New Roman" w:hAnsi="Times New Roman" w:cs="Times New Roman"/>
          <w:sz w:val="24"/>
          <w:szCs w:val="24"/>
        </w:rPr>
        <w:t xml:space="preserve">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proofErr w:type="spellStart"/>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proofErr w:type="spellStart"/>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w:t>
      </w:r>
      <w:r w:rsidR="005D64D3">
        <w:rPr>
          <w:rFonts w:ascii="Times New Roman" w:eastAsia="Times New Roman" w:hAnsi="Times New Roman" w:cs="Times New Roman"/>
          <w:iCs/>
          <w:sz w:val="24"/>
          <w:szCs w:val="24"/>
        </w:rPr>
        <w:t>1</w:t>
      </w:r>
      <w:r w:rsidR="00A916ED">
        <w:rPr>
          <w:rFonts w:ascii="Times New Roman" w:eastAsia="Times New Roman" w:hAnsi="Times New Roman" w:cs="Times New Roman"/>
          <w:iCs/>
          <w:sz w:val="24"/>
          <w:szCs w:val="24"/>
        </w:rPr>
        <w:t xml:space="preserve">). </w:t>
      </w:r>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w:t>
      </w:r>
      <w:r w:rsidRPr="003D600A">
        <w:rPr>
          <w:rFonts w:ascii="Times New Roman" w:eastAsia="Times New Roman" w:hAnsi="Times New Roman" w:cs="Times New Roman"/>
          <w:sz w:val="24"/>
          <w:szCs w:val="24"/>
        </w:rPr>
        <w:lastRenderedPageBreak/>
        <w:t>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44FAFE93"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assessed the relationship between AFS and AFP and two other similarity measures: FAS values taken from Nelson et al. (2004), which measure the probability of a word being generated for a given cue via free</w:t>
      </w:r>
      <w:r w:rsidR="00D36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association, and COS values derived from Buchanan et al.</w:t>
      </w:r>
      <w:r w:rsidR="00CD7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006F5D8D">
        <w:rPr>
          <w:rFonts w:ascii="Times New Roman" w:eastAsia="Times New Roman" w:hAnsi="Times New Roman" w:cs="Times New Roman"/>
          <w:sz w:val="24"/>
          <w:szCs w:val="24"/>
        </w:rPr>
        <w:t>a</w:t>
      </w:r>
      <w:r w:rsidR="00CD73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w:t>
      </w:r>
      <w:r>
        <w:rPr>
          <w:rFonts w:ascii="Times New Roman" w:eastAsia="Times New Roman" w:hAnsi="Times New Roman" w:cs="Times New Roman"/>
          <w:sz w:val="24"/>
          <w:szCs w:val="24"/>
        </w:rPr>
        <w:lastRenderedPageBreak/>
        <w:t xml:space="preserve">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.18;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and COS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.11;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w:t>
      </w:r>
      <w:r>
        <w:rPr>
          <w:rFonts w:ascii="Times New Roman" w:eastAsia="Times New Roman" w:hAnsi="Times New Roman" w:cs="Times New Roman"/>
          <w:sz w:val="24"/>
          <w:szCs w:val="24"/>
        </w:rPr>
        <w:lastRenderedPageBreak/>
        <w:t xml:space="preserve">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1D603FF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r w:rsidR="00C721DB">
        <w:rPr>
          <w:rFonts w:ascii="Times New Roman" w:eastAsia="Times New Roman" w:hAnsi="Times New Roman" w:cs="Times New Roman"/>
          <w:sz w:val="24"/>
          <w:szCs w:val="24"/>
        </w:rPr>
        <w:t>mostly</w:t>
      </w:r>
      <w:r w:rsidR="008C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weak correlations emerged between BOI and affordances, suggesting that each measure likely assesses separate constructs.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affordance measures were </w:t>
      </w:r>
      <w:r w:rsidR="00822206">
        <w:rPr>
          <w:rFonts w:ascii="Times New Roman" w:eastAsia="Times New Roman" w:hAnsi="Times New Roman" w:cs="Times New Roman"/>
          <w:sz w:val="24"/>
          <w:szCs w:val="24"/>
        </w:rPr>
        <w:t xml:space="preserve">moderately </w:t>
      </w:r>
      <w:r>
        <w:rPr>
          <w:rFonts w:ascii="Times New Roman" w:eastAsia="Times New Roman" w:hAnsi="Times New Roman" w:cs="Times New Roman"/>
          <w:sz w:val="24"/>
          <w:szCs w:val="24"/>
        </w:rPr>
        <w:t>correlated with concreteness</w:t>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 xml:space="preserve">between AFSS and </w:t>
      </w:r>
      <w:proofErr w:type="spellStart"/>
      <w:r w:rsidR="00405479">
        <w:rPr>
          <w:rFonts w:ascii="Times New Roman" w:eastAsia="Times New Roman" w:hAnsi="Times New Roman" w:cs="Times New Roman"/>
          <w:sz w:val="24"/>
          <w:szCs w:val="24"/>
        </w:rPr>
        <w:t>AoA</w:t>
      </w:r>
      <w:proofErr w:type="spellEnd"/>
      <w:r w:rsidR="00405479">
        <w:rPr>
          <w:rFonts w:ascii="Times New Roman" w:eastAsia="Times New Roman" w:hAnsi="Times New Roman" w:cs="Times New Roman"/>
          <w:sz w:val="24"/>
          <w:szCs w:val="24"/>
        </w:rPr>
        <w:t>.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multiple uses. </w:t>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10824C95"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Buchanan et al.’s </w:t>
      </w:r>
      <w:r w:rsidR="006F5D8D">
        <w:rPr>
          <w:rFonts w:ascii="Times New Roman" w:eastAsia="Times New Roman" w:hAnsi="Times New Roman" w:cs="Times New Roman"/>
          <w:sz w:val="24"/>
          <w:szCs w:val="24"/>
        </w:rPr>
        <w:t xml:space="preserve">(2019a) </w:t>
      </w:r>
      <w:r w:rsidR="00E04520">
        <w:rPr>
          <w:rFonts w:ascii="Times New Roman" w:eastAsia="Times New Roman" w:hAnsi="Times New Roman" w:cs="Times New Roman"/>
          <w:sz w:val="24"/>
          <w:szCs w:val="24"/>
        </w:rPr>
        <w:t xml:space="preserve">semantic feature production norms. For both datasets, overlap was low, with </w:t>
      </w:r>
      <w:r w:rsidR="00E45DB3">
        <w:rPr>
          <w:rFonts w:ascii="Times New Roman" w:eastAsia="Times New Roman" w:hAnsi="Times New Roman" w:cs="Times New Roman"/>
          <w:sz w:val="24"/>
          <w:szCs w:val="24"/>
        </w:rPr>
        <w:t xml:space="preserve">less than </w:t>
      </w:r>
      <w:r w:rsidR="00E04520">
        <w:rPr>
          <w:rFonts w:ascii="Times New Roman" w:eastAsia="Times New Roman" w:hAnsi="Times New Roman" w:cs="Times New Roman"/>
          <w:sz w:val="24"/>
          <w:szCs w:val="24"/>
        </w:rPr>
        <w:t xml:space="preserve">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w:t>
      </w:r>
      <w:r>
        <w:rPr>
          <w:rFonts w:ascii="Times New Roman" w:eastAsia="Times New Roman" w:hAnsi="Times New Roman" w:cs="Times New Roman"/>
          <w:sz w:val="24"/>
          <w:szCs w:val="24"/>
        </w:rPr>
        <w:lastRenderedPageBreak/>
        <w:t>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71C0BAE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r w:rsidR="003D731D">
        <w:rPr>
          <w:rFonts w:ascii="Times New Roman" w:eastAsia="Times New Roman" w:hAnsi="Times New Roman" w:cs="Times New Roman"/>
          <w:sz w:val="24"/>
          <w:szCs w:val="24"/>
        </w:rPr>
        <w:t xml:space="preserve">provided some quantification of object interactivity. </w:t>
      </w:r>
      <w:r>
        <w:rPr>
          <w:rFonts w:ascii="Times New Roman" w:eastAsia="Times New Roman" w:hAnsi="Times New Roman" w:cs="Times New Roman"/>
          <w:sz w:val="24"/>
          <w:szCs w:val="24"/>
        </w:rPr>
        <w:t xml:space="preserve">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30B5A28F" w14:textId="77777777" w:rsidR="00DA6FB3"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 xml:space="preserve">participants provided their </w:t>
      </w:r>
      <w:r>
        <w:rPr>
          <w:rFonts w:ascii="Times New Roman" w:eastAsia="Times New Roman" w:hAnsi="Times New Roman" w:cs="Times New Roman"/>
          <w:sz w:val="24"/>
          <w:szCs w:val="24"/>
        </w:rPr>
        <w:lastRenderedPageBreak/>
        <w:t>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height, age, and disability status on affordances.</w:t>
      </w:r>
      <w:r w:rsidR="00C721DB">
        <w:rPr>
          <w:rFonts w:ascii="Times New Roman" w:eastAsia="Times New Roman" w:hAnsi="Times New Roman" w:cs="Times New Roman"/>
          <w:sz w:val="24"/>
          <w:szCs w:val="24"/>
        </w:rPr>
        <w:t xml:space="preserve"> </w:t>
      </w:r>
    </w:p>
    <w:p w14:paraId="64DB235E" w14:textId="6F15C1B8" w:rsidR="00A35D38" w:rsidRDefault="00A35D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t>
      </w:r>
      <w:proofErr w:type="gramStart"/>
      <w:r w:rsidR="001873A0">
        <w:rPr>
          <w:rFonts w:ascii="Times New Roman" w:eastAsia="Times New Roman" w:hAnsi="Times New Roman" w:cs="Times New Roman"/>
          <w:sz w:val="24"/>
          <w:szCs w:val="24"/>
        </w:rPr>
        <w:t>work</w:t>
      </w:r>
      <w:proofErr w:type="gramEnd"/>
      <w:r w:rsidR="001873A0">
        <w:rPr>
          <w:rFonts w:ascii="Times New Roman" w:eastAsia="Times New Roman" w:hAnsi="Times New Roman" w:cs="Times New Roman"/>
          <w:sz w:val="24"/>
          <w:szCs w:val="24"/>
        </w:rPr>
        <w:t xml:space="preserve">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Ultimately, however, the present study provides an important starting point for measuring the link between affordances and action</w:t>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A" w14:textId="2D3AD48F" w:rsidR="00E0085D" w:rsidRDefault="00E04520" w:rsidP="000B37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w:t>
      </w:r>
      <w:r w:rsidR="006D7BC9">
        <w:rPr>
          <w:rFonts w:ascii="Times New Roman" w:eastAsia="Times New Roman" w:hAnsi="Times New Roman" w:cs="Times New Roman"/>
          <w:sz w:val="24"/>
          <w:szCs w:val="24"/>
        </w:rPr>
        <w:t>the first</w:t>
      </w:r>
      <w:r>
        <w:rPr>
          <w:rFonts w:ascii="Times New Roman" w:eastAsia="Times New Roman" w:hAnsi="Times New Roman" w:cs="Times New Roman"/>
          <w:sz w:val="24"/>
          <w:szCs w:val="24"/>
        </w:rPr>
        <w:t xml:space="preserve">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w:t>
      </w:r>
      <w:r>
        <w:rPr>
          <w:rFonts w:ascii="Times New Roman" w:eastAsia="Times New Roman" w:hAnsi="Times New Roman" w:cs="Times New Roman"/>
          <w:sz w:val="24"/>
          <w:szCs w:val="24"/>
        </w:rPr>
        <w:lastRenderedPageBreak/>
        <w:t>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7043A6C6" w14:textId="77777777" w:rsidR="00EC3026" w:rsidRDefault="00EC30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75F65A2" w14:textId="7F47603B" w:rsidR="000A6E8B" w:rsidRDefault="000A6E8B" w:rsidP="000B378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2810B14D" w14:textId="58E48BFE" w:rsidR="00821ABD" w:rsidRDefault="00821AB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Principles</w:t>
      </w:r>
    </w:p>
    <w:p w14:paraId="7AAE75B5" w14:textId="44F94AE4" w:rsidR="00821ABD" w:rsidRPr="000B378A" w:rsidRDefault="00821AB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participants provided informed consent prior to their participation. The materials and procedures for this study were approved by the Institutional Review Boards at The University of Southern Mississippi (#IRB-20-318) and Midwestern State University (#22092201). The authors declare no conflicts of interest.</w:t>
      </w:r>
    </w:p>
    <w:p w14:paraId="0000004B" w14:textId="0269989F"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Open Practices Statement</w:t>
      </w:r>
    </w:p>
    <w:p w14:paraId="0000004C" w14:textId="666DD0A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6D40C9">
        <w:rPr>
          <w:rFonts w:ascii="Times New Roman" w:eastAsia="Times New Roman" w:hAnsi="Times New Roman" w:cs="Times New Roman"/>
          <w:sz w:val="24"/>
          <w:szCs w:val="24"/>
        </w:rPr>
        <w:t xml:space="preserve">and </w:t>
      </w:r>
      <w:r w:rsidR="006D40C9" w:rsidRPr="000B378A">
        <w:rPr>
          <w:rFonts w:ascii="Times New Roman" w:eastAsia="Times New Roman" w:hAnsi="Times New Roman" w:cs="Times New Roman"/>
          <w:i/>
          <w:iCs/>
          <w:sz w:val="24"/>
          <w:szCs w:val="24"/>
        </w:rPr>
        <w:t>R</w:t>
      </w:r>
      <w:r w:rsidR="006D40C9">
        <w:rPr>
          <w:rFonts w:ascii="Times New Roman" w:eastAsia="Times New Roman" w:hAnsi="Times New Roman" w:cs="Times New Roman"/>
          <w:sz w:val="24"/>
          <w:szCs w:val="24"/>
        </w:rPr>
        <w:t xml:space="preserve"> code </w:t>
      </w:r>
      <w:r>
        <w:rPr>
          <w:rFonts w:ascii="Times New Roman" w:eastAsia="Times New Roman" w:hAnsi="Times New Roman" w:cs="Times New Roman"/>
          <w:sz w:val="24"/>
          <w:szCs w:val="24"/>
        </w:rPr>
        <w:t>for all analyses have been made available at https://osf.io/68bkt/. A .csv containing the final affordance norm dataset can be directly accessed at https://osf.io/jb45e. This study was not preregistered.</w:t>
      </w:r>
    </w:p>
    <w:p w14:paraId="0000004D" w14:textId="3C0F5C2F"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sdt>
      <w:r w:rsidR="00E04520">
        <w:rPr>
          <w:rFonts w:ascii="Times New Roman" w:eastAsia="Times New Roman" w:hAnsi="Times New Roman" w:cs="Times New Roman"/>
          <w:b/>
          <w:sz w:val="24"/>
          <w:szCs w:val="24"/>
        </w:rPr>
        <w:t>Funding</w:t>
      </w:r>
      <w:r w:rsidR="00BB5366">
        <w:rPr>
          <w:rFonts w:ascii="Times New Roman" w:eastAsia="Times New Roman" w:hAnsi="Times New Roman" w:cs="Times New Roman"/>
          <w:b/>
          <w:sz w:val="24"/>
          <w:szCs w:val="24"/>
        </w:rPr>
        <w:t xml:space="preserve"> Information</w:t>
      </w:r>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0" w:name="_heading=h.gjdgxs" w:colFirst="0" w:colLast="0"/>
      <w:bookmarkEnd w:id="0"/>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74C49BE8" w14:textId="4168D8D6" w:rsidR="00EE5C8D" w:rsidRDefault="00EE5C8D">
      <w:pPr>
        <w:spacing w:after="0" w:line="480" w:lineRule="auto"/>
        <w:ind w:left="720" w:hanging="720"/>
        <w:rPr>
          <w:rFonts w:ascii="Times New Roman" w:eastAsia="Times New Roman" w:hAnsi="Times New Roman" w:cs="Times New Roman"/>
          <w:sz w:val="24"/>
          <w:szCs w:val="24"/>
        </w:rPr>
      </w:pPr>
      <w:r w:rsidRPr="00EE5C8D">
        <w:rPr>
          <w:rFonts w:ascii="Times New Roman" w:eastAsia="Times New Roman" w:hAnsi="Times New Roman" w:cs="Times New Roman"/>
          <w:sz w:val="24"/>
          <w:szCs w:val="24"/>
        </w:rPr>
        <w:t xml:space="preserve">Costall, A. (2012). Canonical affordances in context. </w:t>
      </w:r>
      <w:r w:rsidRPr="000B378A">
        <w:rPr>
          <w:rFonts w:ascii="Times New Roman" w:eastAsia="Times New Roman" w:hAnsi="Times New Roman" w:cs="Times New Roman"/>
          <w:i/>
          <w:iCs/>
          <w:sz w:val="24"/>
          <w:szCs w:val="24"/>
        </w:rPr>
        <w:t>AVAN</w:t>
      </w:r>
      <w:r w:rsidR="008668E3" w:rsidRPr="000B378A">
        <w:rPr>
          <w:rFonts w:ascii="Times New Roman" w:eastAsia="Times New Roman" w:hAnsi="Times New Roman" w:cs="Times New Roman"/>
          <w:i/>
          <w:iCs/>
          <w:sz w:val="24"/>
          <w:szCs w:val="24"/>
        </w:rPr>
        <w:t>T</w:t>
      </w:r>
      <w:r w:rsidRPr="00EE5C8D">
        <w:rPr>
          <w:rFonts w:ascii="Times New Roman" w:eastAsia="Times New Roman" w:hAnsi="Times New Roman" w:cs="Times New Roman"/>
          <w:sz w:val="24"/>
          <w:szCs w:val="24"/>
        </w:rPr>
        <w:t xml:space="preserve">, </w:t>
      </w:r>
      <w:r w:rsidRPr="000B378A">
        <w:rPr>
          <w:rFonts w:ascii="Times New Roman" w:eastAsia="Times New Roman" w:hAnsi="Times New Roman" w:cs="Times New Roman"/>
          <w:i/>
          <w:iCs/>
          <w:sz w:val="24"/>
          <w:szCs w:val="24"/>
        </w:rPr>
        <w:t>2</w:t>
      </w:r>
      <w:r w:rsidRPr="00EE5C8D">
        <w:rPr>
          <w:rFonts w:ascii="Times New Roman" w:eastAsia="Times New Roman" w:hAnsi="Times New Roman" w:cs="Times New Roman"/>
          <w:sz w:val="24"/>
          <w:szCs w:val="24"/>
        </w:rPr>
        <w:t>, 85-93.</w:t>
      </w:r>
    </w:p>
    <w:p w14:paraId="0000005B" w14:textId="50B6180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A. (2021). Semantic memory: A review of methods, models, and current challenges. </w:t>
      </w:r>
      <w:r w:rsidRPr="000B378A">
        <w:rPr>
          <w:rFonts w:ascii="Times New Roman" w:eastAsia="Times New Roman" w:hAnsi="Times New Roman" w:cs="Times New Roman"/>
          <w:i/>
          <w:iCs/>
          <w:sz w:val="24"/>
          <w:szCs w:val="24"/>
        </w:rPr>
        <w:t>Psychonomic Bulletin &amp; Review</w:t>
      </w:r>
      <w:r>
        <w:rPr>
          <w:rFonts w:ascii="Times New Roman" w:eastAsia="Times New Roman" w:hAnsi="Times New Roman" w:cs="Times New Roman"/>
          <w:sz w:val="24"/>
          <w:szCs w:val="24"/>
        </w:rPr>
        <w:t>,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34505423"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Wagman, J. B. (20</w:t>
      </w:r>
      <w:r w:rsidR="0053315A">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5763D6E4"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r w:rsidR="00C77AED">
              <w:rPr>
                <w:rFonts w:ascii="Times New Roman" w:eastAsia="Times New Roman" w:hAnsi="Times New Roman" w:cs="Times New Roman"/>
                <w:sz w:val="24"/>
                <w:szCs w:val="24"/>
              </w:rPr>
              <w:t xml:space="preserve"> (United Kingdom)</w:t>
            </w:r>
          </w:p>
        </w:tc>
        <w:tc>
          <w:tcPr>
            <w:tcW w:w="3060" w:type="dxa"/>
          </w:tcPr>
          <w:p w14:paraId="00000079" w14:textId="08B88D1F" w:rsidR="00E0085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C77AED" w14:paraId="7EF93A62" w14:textId="77777777">
        <w:tc>
          <w:tcPr>
            <w:tcW w:w="3780" w:type="dxa"/>
          </w:tcPr>
          <w:p w14:paraId="13ED65C4" w14:textId="669640A8" w:rsidR="00C77AED" w:rsidRDefault="00C77A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 (United States and Canada)</w:t>
            </w:r>
          </w:p>
        </w:tc>
        <w:tc>
          <w:tcPr>
            <w:tcW w:w="3060" w:type="dxa"/>
          </w:tcPr>
          <w:p w14:paraId="1565D717" w14:textId="076671F7" w:rsidR="00C77AE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51C715BC" w:rsidR="00E0085D" w:rsidRDefault="00502DE4">
      <w:pPr>
        <w:spacing w:after="0" w:line="480" w:lineRule="auto"/>
        <w:rPr>
          <w:rFonts w:ascii="Times New Roman" w:eastAsia="Times New Roman" w:hAnsi="Times New Roman" w:cs="Times New Roman"/>
          <w:sz w:val="24"/>
          <w:szCs w:val="24"/>
        </w:rPr>
      </w:pPr>
      <w:r w:rsidRPr="000B378A">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For completeness, Prolific participants are split by country of origin</w:t>
      </w: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48723272" w14:textId="77777777" w:rsidR="00584C00"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p>
    <w:p w14:paraId="08CC3B30" w14:textId="77777777" w:rsidR="00584C00" w:rsidRDefault="00584C00">
      <w:pPr>
        <w:spacing w:after="0"/>
        <w:rPr>
          <w:rFonts w:ascii="Times New Roman" w:eastAsia="Times New Roman" w:hAnsi="Times New Roman" w:cs="Times New Roman"/>
          <w:sz w:val="24"/>
          <w:szCs w:val="24"/>
        </w:rPr>
      </w:pPr>
    </w:p>
    <w:p w14:paraId="0000009D" w14:textId="33741EBE" w:rsidR="00E0085D" w:rsidRDefault="00E04520">
      <w:pPr>
        <w:spacing w:after="0"/>
        <w:rPr>
          <w:rFonts w:ascii="Times New Roman" w:eastAsia="Times New Roman" w:hAnsi="Times New Roman" w:cs="Times New Roman"/>
          <w:sz w:val="24"/>
          <w:szCs w:val="24"/>
        </w:rPr>
      </w:pP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BB2FA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bookmarkStart w:id="3" w:name="_Hlk161059048"/>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BB2FA3">
          <w:headerReference w:type="default" r:id="rId19"/>
          <w:headerReference w:type="first" r:id="rId20"/>
          <w:pgSz w:w="15840" w:h="12240" w:orient="landscape"/>
          <w:pgMar w:top="1440" w:right="1440" w:bottom="1440" w:left="1440" w:header="720" w:footer="720" w:gutter="0"/>
          <w:pgNumType w:start="33"/>
          <w:cols w:space="720"/>
          <w:titlePg/>
          <w:docGrid w:linePitch="299"/>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bookmarkEnd w:id="3"/>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BB2FA3">
      <w:headerReference w:type="default" r:id="rId21"/>
      <w:headerReference w:type="first" r:id="rId22"/>
      <w:pgSz w:w="12240" w:h="15840"/>
      <w:pgMar w:top="1440" w:right="1440" w:bottom="1440" w:left="1440" w:header="720" w:footer="720" w:gutter="0"/>
      <w:pgNumType w:start="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435A" w14:textId="77777777" w:rsidR="00BB2FA3" w:rsidRDefault="00BB2FA3">
      <w:pPr>
        <w:spacing w:after="0" w:line="240" w:lineRule="auto"/>
      </w:pPr>
      <w:r>
        <w:separator/>
      </w:r>
    </w:p>
  </w:endnote>
  <w:endnote w:type="continuationSeparator" w:id="0">
    <w:p w14:paraId="5102DC75" w14:textId="77777777" w:rsidR="00BB2FA3" w:rsidRDefault="00BB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6B51" w14:textId="77777777" w:rsidR="00584C00" w:rsidRDefault="00584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5B2E" w14:textId="77777777" w:rsidR="00584C00" w:rsidRDefault="00584C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A4DA" w14:textId="77777777" w:rsidR="00584C00" w:rsidRDefault="0058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77C3" w14:textId="77777777" w:rsidR="00BB2FA3" w:rsidRDefault="00BB2FA3">
      <w:pPr>
        <w:spacing w:after="0" w:line="240" w:lineRule="auto"/>
      </w:pPr>
      <w:r>
        <w:separator/>
      </w:r>
    </w:p>
  </w:footnote>
  <w:footnote w:type="continuationSeparator" w:id="0">
    <w:p w14:paraId="0A204EC6" w14:textId="77777777" w:rsidR="00BB2FA3" w:rsidRDefault="00BB2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4147" w14:textId="77777777" w:rsidR="00584C00" w:rsidRDefault="00584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ACF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595248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59A1" w14:textId="51A518E3"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24729DD"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D43F"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1DA7503"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D642" w14:textId="77777777"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6D1053E1"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1A9E"/>
    <w:rsid w:val="00046726"/>
    <w:rsid w:val="00052A9E"/>
    <w:rsid w:val="000548DB"/>
    <w:rsid w:val="000627FC"/>
    <w:rsid w:val="00062E8F"/>
    <w:rsid w:val="000658A8"/>
    <w:rsid w:val="00067063"/>
    <w:rsid w:val="00086919"/>
    <w:rsid w:val="00097AAC"/>
    <w:rsid w:val="000A4465"/>
    <w:rsid w:val="000A6E8B"/>
    <w:rsid w:val="000B263A"/>
    <w:rsid w:val="000B378A"/>
    <w:rsid w:val="000B4C11"/>
    <w:rsid w:val="000D3439"/>
    <w:rsid w:val="000F47CA"/>
    <w:rsid w:val="000F69E3"/>
    <w:rsid w:val="00140982"/>
    <w:rsid w:val="001454F0"/>
    <w:rsid w:val="00153070"/>
    <w:rsid w:val="001655F2"/>
    <w:rsid w:val="00173611"/>
    <w:rsid w:val="001801E8"/>
    <w:rsid w:val="001873A0"/>
    <w:rsid w:val="001918BC"/>
    <w:rsid w:val="001A5AB4"/>
    <w:rsid w:val="001B7B4B"/>
    <w:rsid w:val="001C6AA3"/>
    <w:rsid w:val="001C7A72"/>
    <w:rsid w:val="001E1A29"/>
    <w:rsid w:val="001F1F22"/>
    <w:rsid w:val="00214224"/>
    <w:rsid w:val="002307F2"/>
    <w:rsid w:val="00236C32"/>
    <w:rsid w:val="00250D2D"/>
    <w:rsid w:val="00251EB2"/>
    <w:rsid w:val="002869DA"/>
    <w:rsid w:val="00291FBF"/>
    <w:rsid w:val="002A2D60"/>
    <w:rsid w:val="002C2A4A"/>
    <w:rsid w:val="002D689B"/>
    <w:rsid w:val="002E6AEA"/>
    <w:rsid w:val="002F6FED"/>
    <w:rsid w:val="00305F67"/>
    <w:rsid w:val="00322BD4"/>
    <w:rsid w:val="00340096"/>
    <w:rsid w:val="00341C2E"/>
    <w:rsid w:val="00344E25"/>
    <w:rsid w:val="00365A2E"/>
    <w:rsid w:val="003670DF"/>
    <w:rsid w:val="00371261"/>
    <w:rsid w:val="00373211"/>
    <w:rsid w:val="00376189"/>
    <w:rsid w:val="003A17FF"/>
    <w:rsid w:val="003B190C"/>
    <w:rsid w:val="003D600A"/>
    <w:rsid w:val="003D731D"/>
    <w:rsid w:val="003E5253"/>
    <w:rsid w:val="003F5D49"/>
    <w:rsid w:val="00405479"/>
    <w:rsid w:val="004071A1"/>
    <w:rsid w:val="004072B6"/>
    <w:rsid w:val="00410843"/>
    <w:rsid w:val="00420157"/>
    <w:rsid w:val="00420D79"/>
    <w:rsid w:val="00425773"/>
    <w:rsid w:val="00426EEA"/>
    <w:rsid w:val="00427B91"/>
    <w:rsid w:val="00433ADB"/>
    <w:rsid w:val="00446C4D"/>
    <w:rsid w:val="00462653"/>
    <w:rsid w:val="00470C07"/>
    <w:rsid w:val="00476291"/>
    <w:rsid w:val="00482454"/>
    <w:rsid w:val="00486FF8"/>
    <w:rsid w:val="00491038"/>
    <w:rsid w:val="004974F7"/>
    <w:rsid w:val="004C44A1"/>
    <w:rsid w:val="004F46DF"/>
    <w:rsid w:val="004F628B"/>
    <w:rsid w:val="00502DE4"/>
    <w:rsid w:val="00517DCF"/>
    <w:rsid w:val="0053315A"/>
    <w:rsid w:val="00554C76"/>
    <w:rsid w:val="005628BD"/>
    <w:rsid w:val="0056461C"/>
    <w:rsid w:val="005664C8"/>
    <w:rsid w:val="00584C00"/>
    <w:rsid w:val="0058538A"/>
    <w:rsid w:val="00585F51"/>
    <w:rsid w:val="005A00A7"/>
    <w:rsid w:val="005A5DA3"/>
    <w:rsid w:val="005A72F2"/>
    <w:rsid w:val="005B33BE"/>
    <w:rsid w:val="005C4970"/>
    <w:rsid w:val="005D37B3"/>
    <w:rsid w:val="005D39DF"/>
    <w:rsid w:val="005D64D3"/>
    <w:rsid w:val="005E1411"/>
    <w:rsid w:val="0060581E"/>
    <w:rsid w:val="00634DF5"/>
    <w:rsid w:val="0065056B"/>
    <w:rsid w:val="00651568"/>
    <w:rsid w:val="006579FB"/>
    <w:rsid w:val="0067225D"/>
    <w:rsid w:val="00673F11"/>
    <w:rsid w:val="00685B15"/>
    <w:rsid w:val="006A104F"/>
    <w:rsid w:val="006B3D97"/>
    <w:rsid w:val="006C577E"/>
    <w:rsid w:val="006D40C9"/>
    <w:rsid w:val="006D7BC9"/>
    <w:rsid w:val="006F5736"/>
    <w:rsid w:val="006F5D8D"/>
    <w:rsid w:val="0070327D"/>
    <w:rsid w:val="00703682"/>
    <w:rsid w:val="007056F2"/>
    <w:rsid w:val="007064C3"/>
    <w:rsid w:val="00722873"/>
    <w:rsid w:val="007332D3"/>
    <w:rsid w:val="00742D03"/>
    <w:rsid w:val="00745F08"/>
    <w:rsid w:val="00764D6D"/>
    <w:rsid w:val="00765675"/>
    <w:rsid w:val="007678E9"/>
    <w:rsid w:val="00772FBB"/>
    <w:rsid w:val="00773B84"/>
    <w:rsid w:val="00786640"/>
    <w:rsid w:val="007A1B7F"/>
    <w:rsid w:val="007B2571"/>
    <w:rsid w:val="007C2204"/>
    <w:rsid w:val="007D09E3"/>
    <w:rsid w:val="007F2CBA"/>
    <w:rsid w:val="00803FEB"/>
    <w:rsid w:val="008136A5"/>
    <w:rsid w:val="008162B7"/>
    <w:rsid w:val="00821ABD"/>
    <w:rsid w:val="00822206"/>
    <w:rsid w:val="00831D82"/>
    <w:rsid w:val="008325F1"/>
    <w:rsid w:val="00851272"/>
    <w:rsid w:val="00855E55"/>
    <w:rsid w:val="00861BC3"/>
    <w:rsid w:val="008668E3"/>
    <w:rsid w:val="008836D2"/>
    <w:rsid w:val="0088451B"/>
    <w:rsid w:val="00897A7B"/>
    <w:rsid w:val="008B2745"/>
    <w:rsid w:val="008B31AE"/>
    <w:rsid w:val="008C1EB9"/>
    <w:rsid w:val="008C2FD6"/>
    <w:rsid w:val="008C4FED"/>
    <w:rsid w:val="008C7F92"/>
    <w:rsid w:val="008D2788"/>
    <w:rsid w:val="008E2B01"/>
    <w:rsid w:val="008E7868"/>
    <w:rsid w:val="008F733A"/>
    <w:rsid w:val="009303E3"/>
    <w:rsid w:val="00930696"/>
    <w:rsid w:val="0093166C"/>
    <w:rsid w:val="009334FE"/>
    <w:rsid w:val="00935553"/>
    <w:rsid w:val="0094513D"/>
    <w:rsid w:val="00950FED"/>
    <w:rsid w:val="00961FA1"/>
    <w:rsid w:val="009632DB"/>
    <w:rsid w:val="00967331"/>
    <w:rsid w:val="00981969"/>
    <w:rsid w:val="00987F56"/>
    <w:rsid w:val="009902C9"/>
    <w:rsid w:val="009942CC"/>
    <w:rsid w:val="009A2081"/>
    <w:rsid w:val="009B184A"/>
    <w:rsid w:val="009B5D37"/>
    <w:rsid w:val="009C43C0"/>
    <w:rsid w:val="009D3C26"/>
    <w:rsid w:val="00A01F0E"/>
    <w:rsid w:val="00A2184F"/>
    <w:rsid w:val="00A31AA4"/>
    <w:rsid w:val="00A35D38"/>
    <w:rsid w:val="00A43028"/>
    <w:rsid w:val="00A664F9"/>
    <w:rsid w:val="00A8471C"/>
    <w:rsid w:val="00A916ED"/>
    <w:rsid w:val="00A94288"/>
    <w:rsid w:val="00AA44DF"/>
    <w:rsid w:val="00AC77FC"/>
    <w:rsid w:val="00AD0117"/>
    <w:rsid w:val="00AD45B6"/>
    <w:rsid w:val="00AE4C8A"/>
    <w:rsid w:val="00B00D7F"/>
    <w:rsid w:val="00B108A6"/>
    <w:rsid w:val="00B14435"/>
    <w:rsid w:val="00B20C45"/>
    <w:rsid w:val="00B221F3"/>
    <w:rsid w:val="00B26202"/>
    <w:rsid w:val="00B86BB5"/>
    <w:rsid w:val="00B92B55"/>
    <w:rsid w:val="00B94FFB"/>
    <w:rsid w:val="00B967F7"/>
    <w:rsid w:val="00B96962"/>
    <w:rsid w:val="00BA4154"/>
    <w:rsid w:val="00BB2FA3"/>
    <w:rsid w:val="00BB5366"/>
    <w:rsid w:val="00BE57EF"/>
    <w:rsid w:val="00BF36B0"/>
    <w:rsid w:val="00C07F8A"/>
    <w:rsid w:val="00C14180"/>
    <w:rsid w:val="00C24D80"/>
    <w:rsid w:val="00C3085C"/>
    <w:rsid w:val="00C437B8"/>
    <w:rsid w:val="00C43C40"/>
    <w:rsid w:val="00C479BA"/>
    <w:rsid w:val="00C6145C"/>
    <w:rsid w:val="00C651F9"/>
    <w:rsid w:val="00C721DB"/>
    <w:rsid w:val="00C722EA"/>
    <w:rsid w:val="00C77AED"/>
    <w:rsid w:val="00C82137"/>
    <w:rsid w:val="00C87665"/>
    <w:rsid w:val="00CB04DB"/>
    <w:rsid w:val="00CC4864"/>
    <w:rsid w:val="00CD609B"/>
    <w:rsid w:val="00CD73AB"/>
    <w:rsid w:val="00CE0F5D"/>
    <w:rsid w:val="00CE2B25"/>
    <w:rsid w:val="00D13226"/>
    <w:rsid w:val="00D13997"/>
    <w:rsid w:val="00D33D11"/>
    <w:rsid w:val="00D3446F"/>
    <w:rsid w:val="00D36E34"/>
    <w:rsid w:val="00D40910"/>
    <w:rsid w:val="00D42910"/>
    <w:rsid w:val="00D46130"/>
    <w:rsid w:val="00D553FA"/>
    <w:rsid w:val="00D72BC6"/>
    <w:rsid w:val="00D9717A"/>
    <w:rsid w:val="00DA6FB3"/>
    <w:rsid w:val="00DB45CF"/>
    <w:rsid w:val="00DC143E"/>
    <w:rsid w:val="00DC6F3E"/>
    <w:rsid w:val="00DD7DEE"/>
    <w:rsid w:val="00DF3A1F"/>
    <w:rsid w:val="00E0085D"/>
    <w:rsid w:val="00E0105A"/>
    <w:rsid w:val="00E01C8C"/>
    <w:rsid w:val="00E04520"/>
    <w:rsid w:val="00E045FF"/>
    <w:rsid w:val="00E37ABD"/>
    <w:rsid w:val="00E45DB3"/>
    <w:rsid w:val="00E6292D"/>
    <w:rsid w:val="00E73283"/>
    <w:rsid w:val="00E7755D"/>
    <w:rsid w:val="00E84D4B"/>
    <w:rsid w:val="00E954E2"/>
    <w:rsid w:val="00EC3026"/>
    <w:rsid w:val="00EE5C8D"/>
    <w:rsid w:val="00EF0619"/>
    <w:rsid w:val="00F15180"/>
    <w:rsid w:val="00F1750A"/>
    <w:rsid w:val="00F17711"/>
    <w:rsid w:val="00F43C85"/>
    <w:rsid w:val="00F45027"/>
    <w:rsid w:val="00F611F1"/>
    <w:rsid w:val="00F72DF2"/>
    <w:rsid w:val="00F77480"/>
    <w:rsid w:val="00F825F3"/>
    <w:rsid w:val="00F8543D"/>
    <w:rsid w:val="00FA04EA"/>
    <w:rsid w:val="00FA4408"/>
    <w:rsid w:val="00FA68A3"/>
    <w:rsid w:val="00FB0201"/>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 w:type="character" w:customStyle="1" w:styleId="pagecontents">
    <w:name w:val="pagecontents"/>
    <w:basedOn w:val="DefaultParagraphFont"/>
    <w:rsid w:val="008E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yperlink" Target="https://npm27.shinyapps.io/Affordance_Norm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ckm\OneDrive\Documents\GitHub\Affordance_Norms_OSF\3%20Manuscript\www.Prolific.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npm27.shinyapps.io/Affordance_Norms/"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osf.io/68bkt/" TargetMode="Externa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35</Pages>
  <Words>8155</Words>
  <Characters>46486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25</cp:revision>
  <dcterms:created xsi:type="dcterms:W3CDTF">2024-03-11T19:30:00Z</dcterms:created>
  <dcterms:modified xsi:type="dcterms:W3CDTF">2024-03-19T21:17:00Z</dcterms:modified>
</cp:coreProperties>
</file>