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2148BFF" w14:textId="44221007"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AF3B71">
        <w:rPr>
          <w:sz w:val="24"/>
        </w:rPr>
        <w:t xml:space="preserve">Attentional </w:t>
      </w:r>
      <w:r w:rsidR="00B177E6">
        <w:rPr>
          <w:sz w:val="24"/>
        </w:rPr>
        <w:t xml:space="preserve">control </w:t>
      </w:r>
      <w:r w:rsidR="00AF3B71">
        <w:rPr>
          <w:sz w:val="24"/>
        </w:rPr>
        <w:t xml:space="preserve">systems play a </w:t>
      </w:r>
      <w:r w:rsidR="00A66F1E">
        <w:rPr>
          <w:sz w:val="24"/>
        </w:rPr>
        <w:t xml:space="preserve">critical </w:t>
      </w:r>
      <w:r w:rsidR="00AF3B71">
        <w:rPr>
          <w:sz w:val="24"/>
        </w:rPr>
        <w:t>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salient but unrelated </w:t>
      </w:r>
      <w:r w:rsidR="009C69ED">
        <w:rPr>
          <w:sz w:val="24"/>
        </w:rPr>
        <w:t xml:space="preserve">information </w:t>
      </w:r>
      <w:r w:rsidR="00841240">
        <w:rPr>
          <w:sz w:val="24"/>
        </w:rPr>
        <w:t xml:space="preserve">within </w:t>
      </w:r>
      <w:r w:rsidR="009C69ED">
        <w:rPr>
          <w:sz w:val="24"/>
        </w:rPr>
        <w:t>their environment</w:t>
      </w:r>
      <w:r w:rsidR="004B7335">
        <w:rPr>
          <w:sz w:val="24"/>
        </w:rPr>
        <w:t xml:space="preserve"> 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have </w:t>
      </w:r>
      <w:r w:rsidR="00DF128F">
        <w:rPr>
          <w:sz w:val="24"/>
        </w:rPr>
        <w:t xml:space="preserve">commonly </w:t>
      </w:r>
      <w:r w:rsidR="00841240">
        <w:rPr>
          <w:sz w:val="24"/>
        </w:rPr>
        <w:t>used</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that</w:t>
      </w:r>
      <w:r w:rsidR="00926EA2">
        <w:rPr>
          <w:sz w:val="24"/>
        </w:rPr>
        <w:t xml:space="preserve"> </w:t>
      </w:r>
      <w:r w:rsidR="001D2CA8">
        <w:rPr>
          <w:sz w:val="24"/>
        </w:rPr>
        <w:t xml:space="preserve">is contrasted </w:t>
      </w:r>
      <w:r w:rsidR="00926EA2">
        <w:rPr>
          <w:sz w:val="24"/>
        </w:rPr>
        <w:t xml:space="preserve">with </w:t>
      </w:r>
      <w:r w:rsidR="00E9515E">
        <w:rPr>
          <w:sz w:val="24"/>
        </w:rPr>
        <w:t xml:space="preserve">other </w:t>
      </w:r>
      <w:r w:rsidR="009C69ED">
        <w:rPr>
          <w:sz w:val="24"/>
        </w:rPr>
        <w:t xml:space="preserve">information that is highly salient </w:t>
      </w:r>
      <w:r w:rsidR="00E9515E">
        <w:rPr>
          <w:sz w:val="24"/>
        </w:rPr>
        <w:t xml:space="preserve">but task </w:t>
      </w:r>
      <w:r w:rsidR="009C69ED">
        <w:rPr>
          <w:sz w:val="24"/>
        </w:rPr>
        <w:t>unrelate</w:t>
      </w:r>
      <w:r w:rsidR="00E9515E">
        <w:rPr>
          <w:sz w:val="24"/>
        </w:rPr>
        <w:t>d</w:t>
      </w:r>
      <w:r w:rsidR="00295603">
        <w:rPr>
          <w:sz w:val="24"/>
        </w:rPr>
        <w:t xml:space="preserve"> (see </w:t>
      </w:r>
      <w:r w:rsidR="006D7F4A" w:rsidRPr="00857217">
        <w:rPr>
          <w:sz w:val="24"/>
        </w:rPr>
        <w:t>Rogers &amp; Monsell, 1995</w:t>
      </w:r>
      <w:r w:rsidR="00295603">
        <w:rPr>
          <w:sz w:val="24"/>
        </w:rPr>
        <w:t xml:space="preserve"> for review)</w:t>
      </w:r>
      <w:r w:rsidR="00926EA2">
        <w:rPr>
          <w:sz w:val="24"/>
        </w:rPr>
        <w:t xml:space="preserve">. </w:t>
      </w:r>
      <w:r w:rsidR="003E421C">
        <w:rPr>
          <w:sz w:val="24"/>
        </w:rPr>
        <w:t>Studies in this area</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3E421C">
        <w:rPr>
          <w:sz w:val="24"/>
          <w:highlight w:val="cyan"/>
        </w:rPr>
        <w:t>;</w:t>
      </w:r>
      <w:r w:rsidR="006E569E" w:rsidRPr="00857217">
        <w:rPr>
          <w:sz w:val="24"/>
          <w:highlight w:val="cyan"/>
        </w:rPr>
        <w:t xml:space="preserve"> CITE</w:t>
      </w:r>
      <w:r w:rsidR="006E569E">
        <w:rPr>
          <w:sz w:val="24"/>
        </w:rPr>
        <w:t>, etc.)</w:t>
      </w:r>
      <w:r w:rsidR="00E13253">
        <w:rPr>
          <w:sz w:val="24"/>
        </w:rPr>
        <w:t>.</w:t>
      </w:r>
      <w:r w:rsidR="00926EA2">
        <w:rPr>
          <w:sz w:val="24"/>
        </w:rPr>
        <w:t xml:space="preserve"> </w:t>
      </w:r>
      <w:r w:rsidR="00544BB4">
        <w:rPr>
          <w:sz w:val="24"/>
        </w:rPr>
        <w:t xml:space="preserve">Thus, </w:t>
      </w:r>
      <w:r w:rsidR="008D29AD">
        <w:rPr>
          <w:sz w:val="24"/>
        </w:rPr>
        <w:t xml:space="preserve">taxing attentional control systems </w:t>
      </w:r>
      <w:r w:rsidR="003E421C">
        <w:rPr>
          <w:sz w:val="24"/>
        </w:rPr>
        <w:t>produces</w:t>
      </w:r>
      <w:r w:rsidR="008D29AD">
        <w:rPr>
          <w:sz w:val="24"/>
        </w:rPr>
        <w:t xml:space="preserve"> declines </w:t>
      </w:r>
      <w:r w:rsidR="003E421C">
        <w:rPr>
          <w:sz w:val="24"/>
        </w:rPr>
        <w:t>i</w:t>
      </w:r>
      <w:r w:rsidR="008D29AD">
        <w:rPr>
          <w:sz w:val="24"/>
        </w:rPr>
        <w:t>n task performance.</w:t>
      </w:r>
    </w:p>
    <w:p w14:paraId="710FD376" w14:textId="76824BA2"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lists 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“Blue” printed in blue in</w:t>
      </w:r>
      <w:r w:rsidR="00544BB4">
        <w:rPr>
          <w:sz w:val="24"/>
        </w:rPr>
        <w:t>k vs. black ink</w:t>
      </w:r>
      <w:r w:rsidR="007C5BC4">
        <w:rPr>
          <w:sz w:val="24"/>
        </w:rPr>
        <w:t>)</w:t>
      </w:r>
      <w:r w:rsidR="00544BB4">
        <w:rPr>
          <w:sz w:val="24"/>
        </w:rPr>
        <w:t xml:space="preserve">. Participants </w:t>
      </w:r>
      <w:r w:rsidR="0011730F">
        <w:rPr>
          <w:sz w:val="24"/>
        </w:rPr>
        <w:t xml:space="preserve">were instructed to </w:t>
      </w:r>
      <w:r w:rsidR="00E20D9F">
        <w:rPr>
          <w:sz w:val="24"/>
        </w:rPr>
        <w:t xml:space="preserve">quickly </w:t>
      </w:r>
      <w:r w:rsidR="0011730F">
        <w:rPr>
          <w:sz w:val="24"/>
        </w:rPr>
        <w:t xml:space="preserve">name the color ink in which the word </w:t>
      </w:r>
      <w:r w:rsidR="00544BB4">
        <w:rPr>
          <w:sz w:val="24"/>
        </w:rPr>
        <w:t>was</w:t>
      </w:r>
      <w:r w:rsidR="0011730F">
        <w:rPr>
          <w:sz w:val="24"/>
        </w:rPr>
        <w:t xml:space="preserve"> printed, rather than reading the word. </w:t>
      </w:r>
      <w:r w:rsidR="00544BB4">
        <w:rPr>
          <w:sz w:val="24"/>
        </w:rPr>
        <w:t>As a result</w:t>
      </w:r>
      <w:r w:rsidR="00E20D9F">
        <w:rPr>
          <w:sz w:val="24"/>
        </w:rPr>
        <w:t>,</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 xml:space="preserve">congruent </w:t>
      </w:r>
      <w:r w:rsidR="00591D00">
        <w:rPr>
          <w:sz w:val="24"/>
        </w:rPr>
        <w:lastRenderedPageBreak/>
        <w:t>trial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Aschenbrenner &amp; Balota, 201</w:t>
      </w:r>
      <w:r w:rsidR="003522E5">
        <w:rPr>
          <w:sz w:val="24"/>
        </w:rPr>
        <w:t>9</w:t>
      </w:r>
      <w:r w:rsidR="00D11199">
        <w:rPr>
          <w:sz w:val="24"/>
        </w:rPr>
        <w:t>,</w:t>
      </w:r>
      <w:r w:rsidR="00483949">
        <w:rPr>
          <w:sz w:val="24"/>
        </w:rPr>
        <w:t xml:space="preserve"> </w:t>
      </w:r>
      <w:r w:rsidR="00C55A35" w:rsidRPr="003522E5">
        <w:rPr>
          <w:sz w:val="24"/>
        </w:rPr>
        <w:t>Egner,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5C48F3BB"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3E421C">
        <w:rPr>
          <w:sz w:val="24"/>
        </w:rPr>
        <w:t xml:space="preserve">in which a word has been printed </w:t>
      </w:r>
      <w:r w:rsidR="00F871A2">
        <w:rPr>
          <w:sz w:val="24"/>
        </w:rPr>
        <w:t>while suppressing</w:t>
      </w:r>
      <w:r w:rsidR="002E74B2">
        <w:rPr>
          <w:sz w:val="24"/>
        </w:rPr>
        <w:t xml:space="preserve"> </w:t>
      </w:r>
      <w:r w:rsidR="003E421C">
        <w:rPr>
          <w:sz w:val="24"/>
        </w:rPr>
        <w:t xml:space="preserve">the </w:t>
      </w:r>
      <w:r w:rsidR="002E74B2">
        <w:rPr>
          <w:sz w:val="24"/>
        </w:rPr>
        <w:t xml:space="preserve">highly salient but task irrelevant </w:t>
      </w:r>
      <w:r w:rsidR="003E421C">
        <w:rPr>
          <w:sz w:val="24"/>
        </w:rPr>
        <w:t xml:space="preserve">lexical </w:t>
      </w:r>
      <w:r w:rsidR="002E74B2">
        <w:rPr>
          <w:sz w:val="24"/>
        </w:rPr>
        <w:t xml:space="preserve">information </w:t>
      </w:r>
      <w:r w:rsidR="003E421C">
        <w:rPr>
          <w:sz w:val="24"/>
        </w:rPr>
        <w:t xml:space="preserve">contained in the word </w:t>
      </w:r>
      <w:r w:rsidR="002E74B2">
        <w:rPr>
          <w:sz w:val="24"/>
        </w:rPr>
        <w:t>(</w:t>
      </w:r>
      <w:r w:rsidR="003E421C">
        <w:rPr>
          <w:sz w:val="24"/>
        </w:rPr>
        <w:t xml:space="preserve">i.e., </w:t>
      </w:r>
      <w:r w:rsidR="002E74B2">
        <w:rPr>
          <w:sz w:val="24"/>
        </w:rPr>
        <w:t xml:space="preserve">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performance on the Stroop task decreased function</w:t>
      </w:r>
      <w:r w:rsidR="00635046">
        <w:rPr>
          <w:sz w:val="24"/>
        </w:rPr>
        <w:t>s</w:t>
      </w:r>
      <w:r w:rsidR="00250B6F">
        <w:rPr>
          <w:sz w:val="24"/>
        </w:rPr>
        <w:t xml:space="preserve">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Balota, &amp; Ducheck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74BE3CAA" w:rsidR="00920834" w:rsidRDefault="00966BA1" w:rsidP="002F6FFB">
      <w:pPr>
        <w:spacing w:line="480" w:lineRule="auto"/>
        <w:ind w:firstLine="720"/>
        <w:rPr>
          <w:sz w:val="24"/>
        </w:rPr>
      </w:pPr>
      <w:r>
        <w:rPr>
          <w:sz w:val="24"/>
        </w:rPr>
        <w:lastRenderedPageBreak/>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w:t>
      </w:r>
      <w:r w:rsidR="004F23AB">
        <w:rPr>
          <w:sz w:val="24"/>
        </w:rPr>
        <w:t xml:space="preserve">for all trials </w:t>
      </w:r>
      <w:r w:rsidR="00371634">
        <w:rPr>
          <w:sz w:val="24"/>
        </w:rPr>
        <w:t xml:space="preserve">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Huff, Balota, Minear, Aschenbreener, &amp; Duchek,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 xml:space="preserve">global </w:t>
      </w:r>
      <w:r w:rsidR="007545EA" w:rsidRPr="007A461A">
        <w:rPr>
          <w:i/>
          <w:iCs/>
          <w:sz w:val="24"/>
        </w:rPr>
        <w:lastRenderedPageBreak/>
        <w:t>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w:t>
      </w:r>
      <w:r w:rsidR="007F73ED">
        <w:rPr>
          <w:sz w:val="24"/>
          <w:szCs w:val="24"/>
        </w:rPr>
        <w:lastRenderedPageBreak/>
        <w:t xml:space="preserve">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Tse, Balota, Yap, Duchek,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MCI individuals showed greater local switch costs for errors relative to younger adults. For RTs, MCI individuals showed decreased local costs compared to healthy older adults. Tse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w:t>
      </w:r>
      <w:r w:rsidR="00D43F9A">
        <w:rPr>
          <w:sz w:val="24"/>
        </w:rPr>
        <w:lastRenderedPageBreak/>
        <w:t>local costs, however, no group differences in errors emerged, but local costs of RTs decreased across groups, suggesting that MCI individuals were not as well tuned to the task set relative to younger adults and healthy older adults.</w:t>
      </w:r>
    </w:p>
    <w:p w14:paraId="26F44888" w14:textId="473D29C7"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vs</w:t>
      </w:r>
      <w:r>
        <w:rPr>
          <w:b/>
          <w:bCs/>
          <w:sz w:val="24"/>
        </w:rPr>
        <w:t>.</w:t>
      </w:r>
      <w:r w:rsidR="00E06A88" w:rsidRPr="00E06A88">
        <w:rPr>
          <w:b/>
          <w:bCs/>
          <w:sz w:val="24"/>
        </w:rPr>
        <w:t xml:space="preserve"> </w:t>
      </w:r>
      <w:r w:rsidR="00402CA1">
        <w:rPr>
          <w:b/>
          <w:bCs/>
          <w:sz w:val="24"/>
        </w:rPr>
        <w:t>Random</w:t>
      </w:r>
      <w:r w:rsidR="00E06A88"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Monsell,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340CA9">
        <w:rPr>
          <w:sz w:val="24"/>
        </w:rPr>
        <w:t xml:space="preserve">Monsell et al. </w:t>
      </w:r>
      <w:r w:rsidR="007279A9">
        <w:rPr>
          <w:sz w:val="24"/>
        </w:rPr>
        <w:t xml:space="preserve">showed that random switching was more difficult for participants than predictive switching, as participants in the random group took more trials to recover from a </w:t>
      </w:r>
      <w:r w:rsidR="007279A9">
        <w:rPr>
          <w:sz w:val="24"/>
        </w:rPr>
        <w:lastRenderedPageBreak/>
        <w:t xml:space="preserve">switch (i.e., change task-sets) compared to when switching was predictive. </w:t>
      </w:r>
      <w:r w:rsidR="00996DEA">
        <w:rPr>
          <w:sz w:val="24"/>
        </w:rPr>
        <w:t>We note, however, that the switch task used by Monsell et al. did not allow for a comparison of local and global switch costs.</w:t>
      </w:r>
      <w:r w:rsidR="00D113CD">
        <w:rPr>
          <w:sz w:val="24"/>
        </w:rPr>
        <w:t xml:space="preserve"> </w:t>
      </w:r>
      <w:r w:rsidR="007279A9">
        <w:rPr>
          <w:sz w:val="24"/>
        </w:rPr>
        <w:t>More recently</w:t>
      </w:r>
      <w:r w:rsidR="00996DEA">
        <w:rPr>
          <w:sz w:val="24"/>
        </w:rPr>
        <w:t xml:space="preserve">, </w:t>
      </w:r>
      <w:r w:rsidR="00340CA9">
        <w:rPr>
          <w:sz w:val="24"/>
        </w:rPr>
        <w:t xml:space="preserve">Minear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5179A7">
        <w:rPr>
          <w:sz w:val="24"/>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 xml:space="preserve">aussian </w:t>
      </w:r>
      <w:r w:rsidR="007134C1">
        <w:rPr>
          <w:sz w:val="24"/>
        </w:rPr>
        <w:lastRenderedPageBreak/>
        <w:t>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441D7D">
        <w:rPr>
          <w:sz w:val="24"/>
        </w:rPr>
        <w:t>V</w:t>
      </w:r>
      <w:r w:rsidR="00834A60">
        <w:rPr>
          <w:sz w:val="24"/>
        </w:rPr>
        <w:t xml:space="preserve">incentiles are </w:t>
      </w:r>
      <w:r w:rsidR="00ED5062">
        <w:rPr>
          <w:sz w:val="24"/>
        </w:rPr>
        <w:t>computed by taking the average of each bin across participants</w:t>
      </w:r>
      <w:r w:rsidR="00834A60">
        <w:rPr>
          <w:sz w:val="24"/>
        </w:rPr>
        <w:t xml:space="preserve">. </w:t>
      </w:r>
      <w:r w:rsidR="009D7BBB">
        <w:rPr>
          <w:sz w:val="24"/>
        </w:rPr>
        <w:t xml:space="preserve">As a result, </w:t>
      </w:r>
      <w:r w:rsidR="00441D7D">
        <w:rPr>
          <w:sz w:val="24"/>
        </w:rPr>
        <w:t>V</w:t>
      </w:r>
      <w:r w:rsidR="009D7BBB">
        <w:rPr>
          <w:sz w:val="24"/>
        </w:rPr>
        <w:t>incenetile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s noted by Tse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(see Balota et al., 2008).</w:t>
      </w:r>
      <w:r w:rsidR="0099769C">
        <w:rPr>
          <w:sz w:val="24"/>
        </w:rPr>
        <w:t xml:space="preserve"> Given the </w:t>
      </w:r>
      <w:r w:rsidR="0099769C">
        <w:rPr>
          <w:sz w:val="24"/>
        </w:rPr>
        <w:lastRenderedPageBreak/>
        <w:t xml:space="preserve">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lastRenderedPageBreak/>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ean Vincentiles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8"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8"/>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9" w:name="_Hlk90631982"/>
      <w:r w:rsidRPr="00B72B7E">
        <w:rPr>
          <w:i/>
          <w:iCs/>
          <w:sz w:val="24"/>
        </w:rPr>
        <w:t>p</w:t>
      </w:r>
      <w:r w:rsidRPr="00B72B7E">
        <w:rPr>
          <w:sz w:val="24"/>
          <w:vertAlign w:val="subscript"/>
        </w:rPr>
        <w:t>BIC</w:t>
      </w:r>
      <w:bookmarkEnd w:id="9"/>
      <w:r>
        <w:rPr>
          <w:sz w:val="24"/>
        </w:rPr>
        <w:t xml:space="preserve">s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0"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1"/>
      <w:r w:rsidR="00791CEF" w:rsidRPr="0008765C">
        <w:rPr>
          <w:sz w:val="24"/>
        </w:rPr>
        <w:t>-0.0</w:t>
      </w:r>
      <w:r w:rsidR="0008765C" w:rsidRPr="0008765C">
        <w:rPr>
          <w:sz w:val="24"/>
        </w:rPr>
        <w:t>03</w:t>
      </w:r>
      <w:commentRangeEnd w:id="11"/>
      <w:r w:rsidR="0008765C">
        <w:rPr>
          <w:rStyle w:val="CommentReference"/>
        </w:rPr>
        <w:commentReference w:id="11"/>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w:t>
      </w:r>
      <w:r w:rsidR="00A30A81">
        <w:rPr>
          <w:rFonts w:eastAsia="Arial"/>
          <w:sz w:val="24"/>
          <w:szCs w:val="24"/>
        </w:rPr>
        <w:lastRenderedPageBreak/>
        <w:t xml:space="preserve">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.20 ms</w:t>
      </w:r>
      <w:r w:rsidR="00201D0F">
        <w:rPr>
          <w:sz w:val="24"/>
        </w:rPr>
        <w:t xml:space="preserve">) followed by </w:t>
      </w:r>
      <w:r w:rsidR="003011BB">
        <w:rPr>
          <w:sz w:val="24"/>
        </w:rPr>
        <w:t xml:space="preserve">random non-switch trials (1259.87 ms), alternating runs non-switch trials (1328.27 ms), alternating runs switch trials (1414.49 ms), and random switch trials (1450.55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2" w:name="_Hlk98771117"/>
      <w:r w:rsidR="00200FCC" w:rsidRPr="00200FCC">
        <w:rPr>
          <w:sz w:val="24"/>
        </w:rPr>
        <w:t>2 (Switch Cost: Local vs. Global) × 2 (Presentation: Alternating Runs vs. Random)</w:t>
      </w:r>
      <w:r w:rsidR="00200FCC">
        <w:rPr>
          <w:sz w:val="24"/>
        </w:rPr>
        <w:t xml:space="preserve"> repeated measures ANOVA</w:t>
      </w:r>
      <w:bookmarkEnd w:id="12"/>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3"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3"/>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3E2C237C" w:rsidR="006B24C2" w:rsidRDefault="008E0BF9" w:rsidP="00F02CC9">
      <w:pPr>
        <w:spacing w:line="480" w:lineRule="auto"/>
        <w:rPr>
          <w:sz w:val="24"/>
        </w:rPr>
      </w:pPr>
      <w:r>
        <w:rPr>
          <w:b/>
          <w:bCs/>
          <w:sz w:val="24"/>
        </w:rPr>
        <w:lastRenderedPageBreak/>
        <w:tab/>
      </w:r>
      <w:commentRangeStart w:id="14"/>
      <w:r w:rsidRPr="008E0BF9">
        <w:rPr>
          <w:sz w:val="24"/>
        </w:rPr>
        <w:t xml:space="preserve">Figure </w:t>
      </w:r>
      <w:r w:rsidR="0068591A">
        <w:rPr>
          <w:sz w:val="24"/>
        </w:rPr>
        <w:t>1</w:t>
      </w:r>
      <w:commentRangeEnd w:id="14"/>
      <w:r w:rsidR="003E5F00">
        <w:rPr>
          <w:rStyle w:val="CommentReference"/>
        </w:rPr>
        <w:commentReference w:id="14"/>
      </w:r>
      <w:r w:rsidRPr="008E0BF9">
        <w:rPr>
          <w:sz w:val="24"/>
        </w:rPr>
        <w:t xml:space="preserve"> </w:t>
      </w:r>
      <w:r>
        <w:rPr>
          <w:sz w:val="24"/>
        </w:rPr>
        <w:t xml:space="preserve">reports Vincentile plots separated by trial type. The RTs used to construct these plots </w:t>
      </w:r>
      <w:r w:rsidR="00463C44">
        <w:rPr>
          <w:sz w:val="24"/>
        </w:rPr>
        <w:t>are the same as reported in</w:t>
      </w:r>
      <w:r>
        <w:rPr>
          <w:sz w:val="24"/>
        </w:rPr>
        <w:t xml:space="preserve"> the mean RT analyses </w:t>
      </w:r>
      <w:r w:rsidR="00463C44">
        <w:rPr>
          <w:sz w:val="24"/>
        </w:rPr>
        <w:t>section above</w:t>
      </w:r>
      <w:r>
        <w:rPr>
          <w:sz w:val="24"/>
        </w:rPr>
        <w:t xml:space="preserve">. As illustrated in </w:t>
      </w:r>
      <w:r w:rsidR="00463C44">
        <w:rPr>
          <w:sz w:val="24"/>
        </w:rPr>
        <w:t>Figure 1</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5"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5"/>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4D25A978" w:rsidR="00747353" w:rsidRDefault="006B24C2" w:rsidP="00F02CC9">
      <w:pPr>
        <w:spacing w:line="480" w:lineRule="auto"/>
        <w:rPr>
          <w:sz w:val="24"/>
        </w:rPr>
      </w:pPr>
      <w:r>
        <w:rPr>
          <w:sz w:val="24"/>
        </w:rPr>
        <w:tab/>
        <w:t>Local and global switch costs for each Vincentile bin are displayed</w:t>
      </w:r>
      <w:r w:rsidR="000532FB">
        <w:rPr>
          <w:sz w:val="24"/>
        </w:rPr>
        <w:t xml:space="preserve"> in Figure </w:t>
      </w:r>
      <w:r w:rsidR="0068591A">
        <w:rPr>
          <w:sz w:val="24"/>
        </w:rPr>
        <w:t>2</w:t>
      </w:r>
      <w:r>
        <w:rPr>
          <w:sz w:val="24"/>
        </w:rPr>
        <w:t xml:space="preserve">. </w:t>
      </w:r>
      <w:r w:rsidR="00F46FA8">
        <w:rPr>
          <w:sz w:val="24"/>
        </w:rPr>
        <w:t xml:space="preserve">Starting with local </w:t>
      </w:r>
      <w:r w:rsidR="00BC376A">
        <w:rPr>
          <w:sz w:val="24"/>
        </w:rPr>
        <w:t xml:space="preserve">switch </w:t>
      </w:r>
      <w:r w:rsidR="00F46FA8">
        <w:rPr>
          <w:sz w:val="24"/>
        </w:rPr>
        <w:t xml:space="preserve">costs, </w:t>
      </w:r>
      <w:r w:rsidR="00BC376A">
        <w:rPr>
          <w:sz w:val="24"/>
        </w:rPr>
        <w:t>local</w:t>
      </w:r>
      <w:r w:rsidR="00F46FA8">
        <w:rPr>
          <w:sz w:val="24"/>
        </w:rPr>
        <w:t xml:space="preserve"> costs were greater for random switching compared to alternating runs </w:t>
      </w:r>
      <w:r w:rsidR="00344C54" w:rsidRPr="00C75F7A">
        <w:rPr>
          <w:i/>
          <w:iCs/>
          <w:sz w:val="24"/>
          <w:szCs w:val="24"/>
        </w:rPr>
        <w:t>F</w:t>
      </w:r>
      <w:r w:rsidR="00344C54" w:rsidRPr="00C75F7A">
        <w:rPr>
          <w:sz w:val="24"/>
          <w:szCs w:val="24"/>
        </w:rPr>
        <w:t>(</w:t>
      </w:r>
      <w:r w:rsidR="00BC376A">
        <w:rPr>
          <w:sz w:val="24"/>
          <w:szCs w:val="24"/>
        </w:rPr>
        <w:t>1</w:t>
      </w:r>
      <w:r w:rsidR="00344C54" w:rsidRPr="00C75F7A">
        <w:rPr>
          <w:sz w:val="24"/>
          <w:szCs w:val="24"/>
        </w:rPr>
        <w:t xml:space="preserve">, </w:t>
      </w:r>
      <w:r w:rsidR="00BC376A">
        <w:rPr>
          <w:sz w:val="24"/>
          <w:szCs w:val="24"/>
        </w:rPr>
        <w:t>88</w:t>
      </w:r>
      <w:r w:rsidR="00344C54" w:rsidRPr="00C75F7A">
        <w:rPr>
          <w:sz w:val="24"/>
          <w:szCs w:val="24"/>
        </w:rPr>
        <w:t xml:space="preserve">) = </w:t>
      </w:r>
      <w:r w:rsidR="00BC376A">
        <w:rPr>
          <w:sz w:val="24"/>
          <w:szCs w:val="24"/>
        </w:rPr>
        <w:t>25.93,</w:t>
      </w:r>
      <w:r w:rsidR="00344C54" w:rsidRPr="00C75F7A">
        <w:rPr>
          <w:sz w:val="24"/>
          <w:szCs w:val="24"/>
        </w:rPr>
        <w:t xml:space="preserve"> </w:t>
      </w:r>
      <w:r w:rsidR="00344C54" w:rsidRPr="00C75F7A">
        <w:rPr>
          <w:i/>
          <w:iCs/>
          <w:sz w:val="24"/>
          <w:szCs w:val="24"/>
        </w:rPr>
        <w:t>MSE</w:t>
      </w:r>
      <w:r w:rsidR="00344C54">
        <w:rPr>
          <w:sz w:val="24"/>
          <w:szCs w:val="24"/>
        </w:rPr>
        <w:t xml:space="preserve"> = </w:t>
      </w:r>
      <w:r w:rsidR="00BC376A">
        <w:rPr>
          <w:sz w:val="24"/>
          <w:szCs w:val="24"/>
        </w:rPr>
        <w:t>112078.75</w:t>
      </w:r>
      <w:r w:rsidR="00344C54">
        <w:rPr>
          <w:sz w:val="24"/>
          <w:szCs w:val="24"/>
        </w:rPr>
        <w:t xml:space="preserve">,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w:t>
      </w:r>
      <w:r w:rsidR="00BC376A">
        <w:rPr>
          <w:rFonts w:eastAsia="Arial"/>
          <w:sz w:val="24"/>
          <w:szCs w:val="24"/>
        </w:rPr>
        <w:t>06</w:t>
      </w:r>
      <w:r w:rsidR="00134515">
        <w:rPr>
          <w:sz w:val="24"/>
        </w:rPr>
        <w:t xml:space="preserve">, with </w:t>
      </w:r>
      <w:r w:rsidR="00BC376A">
        <w:rPr>
          <w:sz w:val="24"/>
        </w:rPr>
        <w:t>these</w:t>
      </w:r>
      <w:r w:rsidR="00134515">
        <w:rPr>
          <w:sz w:val="24"/>
        </w:rPr>
        <w:t xml:space="preserve"> costs decreasing across bins </w:t>
      </w:r>
      <w:bookmarkStart w:id="16" w:name="_Hlk102400063"/>
      <w:r w:rsidR="00134515" w:rsidRPr="00C75F7A">
        <w:rPr>
          <w:i/>
          <w:iCs/>
          <w:sz w:val="24"/>
          <w:szCs w:val="24"/>
        </w:rPr>
        <w:t>F</w:t>
      </w:r>
      <w:r w:rsidR="00134515" w:rsidRPr="00C75F7A">
        <w:rPr>
          <w:sz w:val="24"/>
          <w:szCs w:val="24"/>
        </w:rPr>
        <w:t>(</w:t>
      </w:r>
      <w:r w:rsidR="00BC376A">
        <w:rPr>
          <w:sz w:val="24"/>
          <w:szCs w:val="24"/>
        </w:rPr>
        <w:t>1</w:t>
      </w:r>
      <w:r w:rsidR="00134515" w:rsidRPr="00C75F7A">
        <w:rPr>
          <w:sz w:val="24"/>
          <w:szCs w:val="24"/>
        </w:rPr>
        <w:t xml:space="preserve">, </w:t>
      </w:r>
      <w:r w:rsidR="00BC376A">
        <w:rPr>
          <w:sz w:val="24"/>
          <w:szCs w:val="24"/>
        </w:rPr>
        <w:t>440</w:t>
      </w:r>
      <w:r w:rsidR="00134515" w:rsidRPr="00C75F7A">
        <w:rPr>
          <w:sz w:val="24"/>
          <w:szCs w:val="24"/>
        </w:rPr>
        <w:t xml:space="preserve">) = </w:t>
      </w:r>
      <w:r w:rsidR="00BC376A">
        <w:rPr>
          <w:sz w:val="24"/>
          <w:szCs w:val="24"/>
        </w:rPr>
        <w:t>7.26</w:t>
      </w:r>
      <w:r w:rsidR="00134515" w:rsidRPr="00C75F7A">
        <w:rPr>
          <w:sz w:val="24"/>
          <w:szCs w:val="24"/>
        </w:rPr>
        <w:t xml:space="preserve">, </w:t>
      </w:r>
      <w:r w:rsidR="00134515" w:rsidRPr="00C75F7A">
        <w:rPr>
          <w:i/>
          <w:iCs/>
          <w:sz w:val="24"/>
          <w:szCs w:val="24"/>
        </w:rPr>
        <w:t>MSE</w:t>
      </w:r>
      <w:r w:rsidR="00134515">
        <w:rPr>
          <w:sz w:val="24"/>
          <w:szCs w:val="24"/>
        </w:rPr>
        <w:t xml:space="preserve"> = </w:t>
      </w:r>
      <w:r w:rsidR="00BC376A">
        <w:rPr>
          <w:sz w:val="24"/>
          <w:szCs w:val="24"/>
        </w:rPr>
        <w:t>23410.36</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BC376A">
        <w:rPr>
          <w:rFonts w:eastAsia="Arial"/>
          <w:sz w:val="24"/>
          <w:szCs w:val="24"/>
        </w:rPr>
        <w:t>02</w:t>
      </w:r>
      <w:r w:rsidR="00134515">
        <w:rPr>
          <w:sz w:val="24"/>
        </w:rPr>
        <w:t>.</w:t>
      </w:r>
      <w:bookmarkEnd w:id="16"/>
      <w:r w:rsidR="00134515">
        <w:rPr>
          <w:sz w:val="24"/>
        </w:rPr>
        <w:t xml:space="preserve"> </w:t>
      </w:r>
      <w:r w:rsidR="00F46FA8">
        <w:rPr>
          <w:sz w:val="24"/>
        </w:rPr>
        <w:t xml:space="preserve">The Bin </w:t>
      </w:r>
      <w:r w:rsidR="00F46FA8" w:rsidRPr="00200FCC">
        <w:rPr>
          <w:sz w:val="24"/>
        </w:rPr>
        <w:t>×</w:t>
      </w:r>
      <w:r w:rsidR="00F46FA8">
        <w:rPr>
          <w:sz w:val="24"/>
        </w:rPr>
        <w:t xml:space="preserve"> Presentation interaction</w:t>
      </w:r>
      <w:r w:rsidR="005E7E48">
        <w:rPr>
          <w:sz w:val="24"/>
        </w:rPr>
        <w:t xml:space="preserve"> </w:t>
      </w:r>
      <w:r w:rsidR="00F46FA8">
        <w:rPr>
          <w:sz w:val="24"/>
        </w:rPr>
        <w:t>was</w:t>
      </w:r>
      <w:r w:rsidR="00134515">
        <w:rPr>
          <w:sz w:val="24"/>
        </w:rPr>
        <w:t xml:space="preserve"> significant</w:t>
      </w:r>
      <w:r w:rsidR="00F46FA8">
        <w:rPr>
          <w:sz w:val="24"/>
        </w:rPr>
        <w:t xml:space="preserve">, </w:t>
      </w:r>
      <w:bookmarkStart w:id="17" w:name="_Hlk102399823"/>
      <w:r w:rsidR="00005498" w:rsidRPr="00C75F7A">
        <w:rPr>
          <w:i/>
          <w:iCs/>
          <w:sz w:val="24"/>
          <w:szCs w:val="24"/>
        </w:rPr>
        <w:t>F</w:t>
      </w:r>
      <w:r w:rsidR="00005498" w:rsidRPr="00C75F7A">
        <w:rPr>
          <w:sz w:val="24"/>
          <w:szCs w:val="24"/>
        </w:rPr>
        <w:t>(</w:t>
      </w:r>
      <w:r w:rsidR="00BC376A">
        <w:rPr>
          <w:sz w:val="24"/>
          <w:szCs w:val="24"/>
        </w:rPr>
        <w:t>5</w:t>
      </w:r>
      <w:r w:rsidR="00005498" w:rsidRPr="00C75F7A">
        <w:rPr>
          <w:sz w:val="24"/>
          <w:szCs w:val="24"/>
        </w:rPr>
        <w:t xml:space="preserve">, </w:t>
      </w:r>
      <w:r w:rsidR="00BC376A">
        <w:rPr>
          <w:sz w:val="24"/>
          <w:szCs w:val="24"/>
        </w:rPr>
        <w:t>440</w:t>
      </w:r>
      <w:r w:rsidR="00005498" w:rsidRPr="00C75F7A">
        <w:rPr>
          <w:sz w:val="24"/>
          <w:szCs w:val="24"/>
        </w:rPr>
        <w:t xml:space="preserve">) = </w:t>
      </w:r>
      <w:r w:rsidR="00BC376A">
        <w:rPr>
          <w:sz w:val="24"/>
          <w:szCs w:val="24"/>
        </w:rPr>
        <w:t>2.30</w:t>
      </w:r>
      <w:r w:rsidR="00005498" w:rsidRPr="00C75F7A">
        <w:rPr>
          <w:sz w:val="24"/>
          <w:szCs w:val="24"/>
        </w:rPr>
        <w:t xml:space="preserve">, </w:t>
      </w:r>
      <w:r w:rsidR="00005498" w:rsidRPr="00C75F7A">
        <w:rPr>
          <w:i/>
          <w:iCs/>
          <w:sz w:val="24"/>
          <w:szCs w:val="24"/>
        </w:rPr>
        <w:t>MSE</w:t>
      </w:r>
      <w:r w:rsidR="00005498">
        <w:rPr>
          <w:sz w:val="24"/>
          <w:szCs w:val="24"/>
        </w:rPr>
        <w:t xml:space="preserve"> = </w:t>
      </w:r>
      <w:r w:rsidR="00BC376A">
        <w:rPr>
          <w:sz w:val="24"/>
          <w:szCs w:val="24"/>
        </w:rPr>
        <w:t>22801.83</w:t>
      </w:r>
      <w:r w:rsidR="00005498">
        <w:rPr>
          <w:sz w:val="24"/>
          <w:szCs w:val="24"/>
        </w:rPr>
        <w:t xml:space="preserve">, </w:t>
      </w:r>
      <w:r w:rsidR="00BC376A" w:rsidRPr="00BC376A">
        <w:rPr>
          <w:i/>
          <w:iCs/>
          <w:sz w:val="24"/>
          <w:szCs w:val="24"/>
        </w:rPr>
        <w:t>p</w:t>
      </w:r>
      <w:r w:rsidR="00BC376A">
        <w:rPr>
          <w:sz w:val="24"/>
          <w:szCs w:val="24"/>
        </w:rPr>
        <w:t xml:space="preserve"> = .04, </w:t>
      </w:r>
      <w:r w:rsidR="00005498">
        <w:rPr>
          <w:rFonts w:eastAsia="Arial"/>
          <w:i/>
          <w:iCs/>
          <w:sz w:val="24"/>
          <w:szCs w:val="24"/>
        </w:rPr>
        <w:t>η</w:t>
      </w:r>
      <w:r w:rsidR="00005498">
        <w:rPr>
          <w:rFonts w:eastAsia="Arial"/>
          <w:sz w:val="24"/>
          <w:szCs w:val="24"/>
          <w:vertAlign w:val="superscript"/>
        </w:rPr>
        <w:t>2</w:t>
      </w:r>
      <w:r w:rsidR="00005498" w:rsidRPr="00786B25">
        <w:rPr>
          <w:rFonts w:eastAsia="Arial"/>
          <w:sz w:val="24"/>
          <w:szCs w:val="24"/>
          <w:vertAlign w:val="subscript"/>
        </w:rPr>
        <w:t>G</w:t>
      </w:r>
      <w:r w:rsidR="00005498">
        <w:rPr>
          <w:rFonts w:eastAsia="Arial"/>
          <w:sz w:val="24"/>
          <w:szCs w:val="24"/>
        </w:rPr>
        <w:t xml:space="preserve"> = .</w:t>
      </w:r>
      <w:bookmarkEnd w:id="17"/>
      <w:r w:rsidR="00BC376A">
        <w:rPr>
          <w:rFonts w:eastAsia="Arial"/>
          <w:sz w:val="24"/>
          <w:szCs w:val="24"/>
        </w:rPr>
        <w:t>01</w:t>
      </w:r>
      <w:r w:rsidR="00134515">
        <w:rPr>
          <w:sz w:val="24"/>
        </w:rPr>
        <w:t xml:space="preserve">. Across bins, predictive </w:t>
      </w:r>
      <w:r w:rsidR="0011288C">
        <w:rPr>
          <w:sz w:val="24"/>
        </w:rPr>
        <w:t xml:space="preserve">local </w:t>
      </w:r>
      <w:r w:rsidR="00134515">
        <w:rPr>
          <w:sz w:val="24"/>
        </w:rPr>
        <w:t xml:space="preserve">switch costs </w:t>
      </w:r>
      <w:r w:rsidR="0011288C">
        <w:rPr>
          <w:sz w:val="24"/>
        </w:rPr>
        <w:t>demonstrated a</w:t>
      </w:r>
      <w:r w:rsidR="00134515">
        <w:rPr>
          <w:sz w:val="24"/>
        </w:rPr>
        <w:t xml:space="preserve"> curvilinear</w:t>
      </w:r>
      <w:r w:rsidR="0011288C">
        <w:rPr>
          <w:sz w:val="24"/>
        </w:rPr>
        <w:t xml:space="preserve"> pattern</w:t>
      </w:r>
      <w:r w:rsidR="00134515">
        <w:rPr>
          <w:sz w:val="24"/>
        </w:rPr>
        <w:t xml:space="preserve">, </w:t>
      </w:r>
      <w:r w:rsidR="0011288C">
        <w:rPr>
          <w:sz w:val="24"/>
        </w:rPr>
        <w:t xml:space="preserve">with these costs </w:t>
      </w:r>
      <w:r w:rsidR="00134515">
        <w:rPr>
          <w:sz w:val="24"/>
        </w:rPr>
        <w:t xml:space="preserve">initially increasing until reaching bin 4, after which they began to reduce. Random </w:t>
      </w:r>
      <w:r w:rsidR="005814C6">
        <w:rPr>
          <w:sz w:val="24"/>
        </w:rPr>
        <w:t xml:space="preserve">local </w:t>
      </w:r>
      <w:r w:rsidR="00134515">
        <w:rPr>
          <w:sz w:val="24"/>
        </w:rPr>
        <w:t>switch costs</w:t>
      </w:r>
      <w:r w:rsidR="005814C6">
        <w:rPr>
          <w:sz w:val="24"/>
        </w:rPr>
        <w:t>, however,</w:t>
      </w:r>
      <w:r w:rsidR="00134515">
        <w:rPr>
          <w:sz w:val="24"/>
        </w:rPr>
        <w:t xml:space="preserve"> decreased across all bins. </w:t>
      </w:r>
      <w:commentRangeStart w:id="18"/>
      <w:r w:rsidR="00F46FA8">
        <w:rPr>
          <w:sz w:val="24"/>
        </w:rPr>
        <w:t>For global costs</w:t>
      </w:r>
      <w:commentRangeEnd w:id="18"/>
      <w:r w:rsidR="001D4CE0">
        <w:rPr>
          <w:rStyle w:val="CommentReference"/>
        </w:rPr>
        <w:commentReference w:id="18"/>
      </w:r>
      <w:r w:rsidR="00F46FA8">
        <w:rPr>
          <w:sz w:val="24"/>
        </w:rPr>
        <w:t xml:space="preserve">, </w:t>
      </w:r>
      <w:r w:rsidR="00961251">
        <w:rPr>
          <w:sz w:val="24"/>
        </w:rPr>
        <w:t xml:space="preserve">switch </w:t>
      </w:r>
      <w:r w:rsidR="00D21ED0">
        <w:rPr>
          <w:sz w:val="24"/>
        </w:rPr>
        <w:t xml:space="preserve">costs </w:t>
      </w:r>
      <w:r w:rsidR="00134515">
        <w:rPr>
          <w:sz w:val="24"/>
        </w:rPr>
        <w:t xml:space="preserve">were lower for random switching vs. predictive switching </w:t>
      </w:r>
      <w:r w:rsidR="00134515" w:rsidRPr="00C75F7A">
        <w:rPr>
          <w:i/>
          <w:iCs/>
          <w:sz w:val="24"/>
          <w:szCs w:val="24"/>
        </w:rPr>
        <w:t>F</w:t>
      </w:r>
      <w:r w:rsidR="00134515" w:rsidRPr="00C75F7A">
        <w:rPr>
          <w:sz w:val="24"/>
          <w:szCs w:val="24"/>
        </w:rPr>
        <w:t>(</w:t>
      </w:r>
      <w:r w:rsidR="0068160A">
        <w:rPr>
          <w:sz w:val="24"/>
          <w:szCs w:val="24"/>
        </w:rPr>
        <w:t>1</w:t>
      </w:r>
      <w:r w:rsidR="00134515" w:rsidRPr="00C75F7A">
        <w:rPr>
          <w:sz w:val="24"/>
          <w:szCs w:val="24"/>
        </w:rPr>
        <w:t xml:space="preserve">, </w:t>
      </w:r>
      <w:r w:rsidR="0068160A">
        <w:rPr>
          <w:sz w:val="24"/>
          <w:szCs w:val="24"/>
        </w:rPr>
        <w:t>88</w:t>
      </w:r>
      <w:r w:rsidR="00134515" w:rsidRPr="00C75F7A">
        <w:rPr>
          <w:sz w:val="24"/>
          <w:szCs w:val="24"/>
        </w:rPr>
        <w:t>) =</w:t>
      </w:r>
      <w:r w:rsidR="0068160A">
        <w:rPr>
          <w:sz w:val="24"/>
          <w:szCs w:val="24"/>
        </w:rPr>
        <w:t xml:space="preserve"> 11.98</w:t>
      </w:r>
      <w:r w:rsidR="00134515" w:rsidRPr="00C75F7A">
        <w:rPr>
          <w:sz w:val="24"/>
          <w:szCs w:val="24"/>
        </w:rPr>
        <w:t xml:space="preserve">, </w:t>
      </w:r>
      <w:r w:rsidR="00134515" w:rsidRPr="00C75F7A">
        <w:rPr>
          <w:i/>
          <w:iCs/>
          <w:sz w:val="24"/>
          <w:szCs w:val="24"/>
        </w:rPr>
        <w:t>MSE</w:t>
      </w:r>
      <w:r w:rsidR="00134515">
        <w:rPr>
          <w:sz w:val="24"/>
          <w:szCs w:val="24"/>
        </w:rPr>
        <w:t xml:space="preserve"> = </w:t>
      </w:r>
      <w:r w:rsidR="0068160A">
        <w:rPr>
          <w:sz w:val="24"/>
          <w:szCs w:val="24"/>
        </w:rPr>
        <w:t>101258.12</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287370">
        <w:rPr>
          <w:rFonts w:eastAsia="Arial"/>
          <w:sz w:val="24"/>
          <w:szCs w:val="24"/>
        </w:rPr>
        <w:t>42</w:t>
      </w:r>
      <w:r w:rsidR="00134515">
        <w:rPr>
          <w:sz w:val="24"/>
        </w:rPr>
        <w:t xml:space="preserve">, and switch costs </w:t>
      </w:r>
      <w:r w:rsidR="00961251">
        <w:rPr>
          <w:sz w:val="24"/>
        </w:rPr>
        <w:t>increased across bins</w:t>
      </w:r>
      <w:r w:rsidR="009A399E">
        <w:rPr>
          <w:sz w:val="24"/>
        </w:rPr>
        <w:t>.</w:t>
      </w:r>
      <w:r w:rsidR="00134515">
        <w:rPr>
          <w:sz w:val="24"/>
        </w:rPr>
        <w:t xml:space="preserve"> </w:t>
      </w:r>
      <w:r w:rsidR="00134515" w:rsidRPr="00C75F7A">
        <w:rPr>
          <w:i/>
          <w:iCs/>
          <w:sz w:val="24"/>
          <w:szCs w:val="24"/>
        </w:rPr>
        <w:t>F</w:t>
      </w:r>
      <w:r w:rsidR="00134515" w:rsidRPr="00C75F7A">
        <w:rPr>
          <w:sz w:val="24"/>
          <w:szCs w:val="24"/>
        </w:rPr>
        <w:t>(</w:t>
      </w:r>
      <w:r w:rsidR="0068160A">
        <w:rPr>
          <w:sz w:val="24"/>
          <w:szCs w:val="24"/>
        </w:rPr>
        <w:t>5</w:t>
      </w:r>
      <w:r w:rsidR="00134515" w:rsidRPr="00C75F7A">
        <w:rPr>
          <w:sz w:val="24"/>
          <w:szCs w:val="24"/>
        </w:rPr>
        <w:t xml:space="preserve">, </w:t>
      </w:r>
      <w:r w:rsidR="0068160A">
        <w:rPr>
          <w:sz w:val="24"/>
          <w:szCs w:val="24"/>
        </w:rPr>
        <w:t>440</w:t>
      </w:r>
      <w:r w:rsidR="00134515" w:rsidRPr="00C75F7A">
        <w:rPr>
          <w:sz w:val="24"/>
          <w:szCs w:val="24"/>
        </w:rPr>
        <w:t xml:space="preserve">) = </w:t>
      </w:r>
      <w:r w:rsidR="0068160A">
        <w:rPr>
          <w:sz w:val="24"/>
          <w:szCs w:val="24"/>
        </w:rPr>
        <w:t>212.70</w:t>
      </w:r>
      <w:r w:rsidR="00134515" w:rsidRPr="00C75F7A">
        <w:rPr>
          <w:sz w:val="24"/>
          <w:szCs w:val="24"/>
        </w:rPr>
        <w:t xml:space="preserve">, </w:t>
      </w:r>
      <w:r w:rsidR="00134515" w:rsidRPr="00C75F7A">
        <w:rPr>
          <w:i/>
          <w:iCs/>
          <w:sz w:val="24"/>
          <w:szCs w:val="24"/>
        </w:rPr>
        <w:t>MSE</w:t>
      </w:r>
      <w:r w:rsidR="00134515">
        <w:rPr>
          <w:sz w:val="24"/>
          <w:szCs w:val="24"/>
        </w:rPr>
        <w:t xml:space="preserve"> = </w:t>
      </w:r>
      <w:r w:rsidR="0068160A">
        <w:rPr>
          <w:sz w:val="24"/>
          <w:szCs w:val="24"/>
        </w:rPr>
        <w:t>73267.43</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68160A">
        <w:rPr>
          <w:rFonts w:eastAsia="Arial"/>
          <w:sz w:val="24"/>
          <w:szCs w:val="24"/>
        </w:rPr>
        <w:t>01</w:t>
      </w:r>
      <w:r w:rsidR="00134515">
        <w:rPr>
          <w:sz w:val="24"/>
        </w:rPr>
        <w:t>.</w:t>
      </w:r>
      <w:r w:rsidR="00961251">
        <w:rPr>
          <w:sz w:val="24"/>
        </w:rPr>
        <w:t xml:space="preserve"> </w:t>
      </w:r>
      <w:r w:rsidR="00EF0A2C">
        <w:rPr>
          <w:sz w:val="24"/>
        </w:rPr>
        <w:t xml:space="preserve">A </w:t>
      </w:r>
      <w:r w:rsidR="00961251">
        <w:rPr>
          <w:sz w:val="24"/>
        </w:rPr>
        <w:t>significant Bi</w:t>
      </w:r>
      <w:r w:rsidR="00961251" w:rsidRPr="00961251">
        <w:rPr>
          <w:sz w:val="24"/>
        </w:rPr>
        <w:t>n × Presentation interaction</w:t>
      </w:r>
      <w:r w:rsidR="00961251">
        <w:rPr>
          <w:sz w:val="24"/>
        </w:rPr>
        <w:t xml:space="preserve"> </w:t>
      </w:r>
      <w:r w:rsidR="009A399E">
        <w:rPr>
          <w:sz w:val="24"/>
        </w:rPr>
        <w:t>confirmed</w:t>
      </w:r>
      <w:r w:rsidR="00961251">
        <w:rPr>
          <w:sz w:val="24"/>
        </w:rPr>
        <w:t xml:space="preserve"> that these increases were greater for alternating runs</w:t>
      </w:r>
      <w:r w:rsidR="00D21ED0">
        <w:rPr>
          <w:sz w:val="24"/>
        </w:rPr>
        <w:t xml:space="preserve"> switching</w:t>
      </w:r>
      <w:r w:rsidR="00961251">
        <w:rPr>
          <w:sz w:val="24"/>
        </w:rPr>
        <w:t xml:space="preserve"> versus random switching, </w:t>
      </w:r>
      <w:r w:rsidR="00EF0A2C" w:rsidRPr="00C75F7A">
        <w:rPr>
          <w:i/>
          <w:iCs/>
          <w:sz w:val="24"/>
          <w:szCs w:val="24"/>
        </w:rPr>
        <w:t>F</w:t>
      </w:r>
      <w:r w:rsidR="00EF0A2C" w:rsidRPr="00C75F7A">
        <w:rPr>
          <w:sz w:val="24"/>
          <w:szCs w:val="24"/>
        </w:rPr>
        <w:t>(</w:t>
      </w:r>
      <w:r w:rsidR="0068160A">
        <w:rPr>
          <w:sz w:val="24"/>
          <w:szCs w:val="24"/>
        </w:rPr>
        <w:t>5</w:t>
      </w:r>
      <w:r w:rsidR="00EF0A2C" w:rsidRPr="00C75F7A">
        <w:rPr>
          <w:sz w:val="24"/>
          <w:szCs w:val="24"/>
        </w:rPr>
        <w:t xml:space="preserve">, </w:t>
      </w:r>
      <w:r w:rsidR="0068160A">
        <w:rPr>
          <w:sz w:val="24"/>
          <w:szCs w:val="24"/>
        </w:rPr>
        <w:t>440</w:t>
      </w:r>
      <w:r w:rsidR="00EF0A2C" w:rsidRPr="00C75F7A">
        <w:rPr>
          <w:sz w:val="24"/>
          <w:szCs w:val="24"/>
        </w:rPr>
        <w:t xml:space="preserve">) = </w:t>
      </w:r>
      <w:r w:rsidR="0068160A">
        <w:rPr>
          <w:sz w:val="24"/>
          <w:szCs w:val="24"/>
        </w:rPr>
        <w:t>2.99</w:t>
      </w:r>
      <w:r w:rsidR="00EF0A2C" w:rsidRPr="00C75F7A">
        <w:rPr>
          <w:sz w:val="24"/>
          <w:szCs w:val="24"/>
        </w:rPr>
        <w:t xml:space="preserve">, </w:t>
      </w:r>
      <w:r w:rsidR="00EF0A2C" w:rsidRPr="00C75F7A">
        <w:rPr>
          <w:i/>
          <w:iCs/>
          <w:sz w:val="24"/>
          <w:szCs w:val="24"/>
        </w:rPr>
        <w:t>MSE</w:t>
      </w:r>
      <w:r w:rsidR="00EF0A2C">
        <w:rPr>
          <w:sz w:val="24"/>
          <w:szCs w:val="24"/>
        </w:rPr>
        <w:t xml:space="preserve"> = </w:t>
      </w:r>
      <w:r w:rsidR="0068160A">
        <w:rPr>
          <w:sz w:val="24"/>
          <w:szCs w:val="24"/>
        </w:rPr>
        <w:t>11810.54</w:t>
      </w:r>
      <w:r w:rsidR="00EF0A2C">
        <w:rPr>
          <w:sz w:val="24"/>
          <w:szCs w:val="24"/>
        </w:rPr>
        <w:t xml:space="preserve">, </w:t>
      </w:r>
      <w:r w:rsidR="0068160A" w:rsidRPr="0068160A">
        <w:rPr>
          <w:i/>
          <w:iCs/>
          <w:sz w:val="24"/>
          <w:szCs w:val="24"/>
        </w:rPr>
        <w:t>p</w:t>
      </w:r>
      <w:r w:rsidR="0068160A">
        <w:rPr>
          <w:sz w:val="24"/>
          <w:szCs w:val="24"/>
        </w:rPr>
        <w:t xml:space="preserve"> = .01, </w:t>
      </w:r>
      <w:r w:rsidR="00EF0A2C">
        <w:rPr>
          <w:rFonts w:eastAsia="Arial"/>
          <w:i/>
          <w:iCs/>
          <w:sz w:val="24"/>
          <w:szCs w:val="24"/>
        </w:rPr>
        <w:t>η</w:t>
      </w:r>
      <w:r w:rsidR="00EF0A2C">
        <w:rPr>
          <w:rFonts w:eastAsia="Arial"/>
          <w:sz w:val="24"/>
          <w:szCs w:val="24"/>
          <w:vertAlign w:val="superscript"/>
        </w:rPr>
        <w:t>2</w:t>
      </w:r>
      <w:r w:rsidR="00EF0A2C" w:rsidRPr="00786B25">
        <w:rPr>
          <w:rFonts w:eastAsia="Arial"/>
          <w:sz w:val="24"/>
          <w:szCs w:val="24"/>
          <w:vertAlign w:val="subscript"/>
        </w:rPr>
        <w:t>G</w:t>
      </w:r>
      <w:r w:rsidR="00EF0A2C">
        <w:rPr>
          <w:rFonts w:eastAsia="Arial"/>
          <w:sz w:val="24"/>
          <w:szCs w:val="24"/>
        </w:rPr>
        <w:t xml:space="preserve"> </w:t>
      </w:r>
      <w:r w:rsidR="0068160A">
        <w:rPr>
          <w:rFonts w:eastAsia="Arial"/>
          <w:sz w:val="24"/>
          <w:szCs w:val="24"/>
        </w:rPr>
        <w:t>&lt; .001</w:t>
      </w:r>
      <w:r w:rsidR="00EF0A2C">
        <w:rPr>
          <w:sz w:val="24"/>
        </w:rPr>
        <w:t>.</w:t>
      </w:r>
      <w:r w:rsidR="00344C54">
        <w:rPr>
          <w:sz w:val="24"/>
        </w:rPr>
        <w:t xml:space="preserve"> </w:t>
      </w:r>
      <w:r w:rsidR="006805C9">
        <w:rPr>
          <w:sz w:val="24"/>
        </w:rPr>
        <w:t>Viewed</w:t>
      </w:r>
      <w:r w:rsidR="00747353">
        <w:rPr>
          <w:sz w:val="24"/>
        </w:rPr>
        <w:t xml:space="preserve"> together, local and global costs demonstrated a dissociation, such that</w:t>
      </w:r>
      <w:r w:rsidR="00CC46E3">
        <w:rPr>
          <w:sz w:val="24"/>
        </w:rPr>
        <w:t xml:space="preserve"> regardless of presentation sequence,</w:t>
      </w:r>
      <w:r w:rsidR="00747353">
        <w:rPr>
          <w:sz w:val="24"/>
        </w:rPr>
        <w:t xml:space="preserve"> local costs decreased </w:t>
      </w:r>
      <w:r w:rsidR="00344C54">
        <w:rPr>
          <w:sz w:val="24"/>
        </w:rPr>
        <w:t>between the first and last bins, while global costs showed sharp increases.</w:t>
      </w:r>
    </w:p>
    <w:p w14:paraId="3C53ADEE" w14:textId="2D76B1A1" w:rsidR="006A1826" w:rsidRPr="006B24C2" w:rsidRDefault="006A1826" w:rsidP="00F02CC9">
      <w:pPr>
        <w:spacing w:line="480" w:lineRule="auto"/>
        <w:rPr>
          <w:sz w:val="24"/>
        </w:rPr>
      </w:pPr>
      <w:r w:rsidRPr="006A1826">
        <w:rPr>
          <w:b/>
          <w:bCs/>
          <w:sz w:val="24"/>
        </w:rPr>
        <w:lastRenderedPageBreak/>
        <w:t>Ex-Gaussian Distribution of RTs</w:t>
      </w:r>
    </w:p>
    <w:p w14:paraId="4692A1A0" w14:textId="21C265BC" w:rsidR="0077407F" w:rsidRDefault="007569D7" w:rsidP="007569D7">
      <w:pPr>
        <w:spacing w:line="480" w:lineRule="auto"/>
        <w:ind w:firstLine="720"/>
        <w:rPr>
          <w:sz w:val="24"/>
        </w:rPr>
      </w:pPr>
      <w:r>
        <w:rPr>
          <w:sz w:val="24"/>
        </w:rPr>
        <w:t>Table</w:t>
      </w:r>
      <w:r w:rsidR="0077407F">
        <w:rPr>
          <w:sz w:val="24"/>
        </w:rPr>
        <w:t>s</w:t>
      </w:r>
      <w:r>
        <w:rPr>
          <w:sz w:val="24"/>
        </w:rPr>
        <w:t xml:space="preserve"> </w:t>
      </w:r>
      <w:r w:rsidR="00E65C36">
        <w:rPr>
          <w:sz w:val="24"/>
        </w:rPr>
        <w:t>3</w:t>
      </w:r>
      <w:r>
        <w:rPr>
          <w:sz w:val="24"/>
        </w:rPr>
        <w:t xml:space="preserve"> </w:t>
      </w:r>
      <w:r w:rsidR="0077407F">
        <w:rPr>
          <w:sz w:val="24"/>
        </w:rPr>
        <w:t xml:space="preserve">and </w:t>
      </w:r>
      <w:r w:rsidR="00E65C36">
        <w:rPr>
          <w:sz w:val="24"/>
        </w:rPr>
        <w:t>4</w:t>
      </w:r>
      <w:r w:rsidR="0077407F">
        <w:rPr>
          <w:sz w:val="24"/>
        </w:rPr>
        <w:t xml:space="preserve"> report ex-Gaussian parameters as functions of trial type and switch cost, respectively. Starting with trial types, </w:t>
      </w:r>
      <w:r w:rsidR="00E427AD">
        <w:rPr>
          <w:sz w:val="24"/>
        </w:rPr>
        <w:t>each of the three</w:t>
      </w:r>
      <w:r w:rsidR="00E65C36">
        <w:rPr>
          <w:sz w:val="24"/>
        </w:rPr>
        <w:t xml:space="preserve"> ex-Gaussian parameters were </w:t>
      </w:r>
      <w:r w:rsidR="00E427AD">
        <w:rPr>
          <w:sz w:val="24"/>
        </w:rPr>
        <w:t>lowest</w:t>
      </w:r>
      <w:r w:rsidR="00E65C36">
        <w:rPr>
          <w:sz w:val="24"/>
        </w:rPr>
        <w:t xml:space="preserve"> for pure trials relative to </w:t>
      </w:r>
      <w:r w:rsidR="00E427AD">
        <w:rPr>
          <w:sz w:val="24"/>
        </w:rPr>
        <w:t xml:space="preserve">both </w:t>
      </w:r>
      <w:r w:rsidR="00E65C36">
        <w:rPr>
          <w:sz w:val="24"/>
        </w:rPr>
        <w:t>switch and non-switch trials</w:t>
      </w:r>
      <w:r w:rsidR="00E427AD">
        <w:rPr>
          <w:sz w:val="24"/>
        </w:rPr>
        <w:t xml:space="preserve">. This was confirmed by significant main effects of </w:t>
      </w:r>
    </w:p>
    <w:p w14:paraId="70952E42" w14:textId="7E6D0FD6" w:rsidR="002D4E15" w:rsidRDefault="002D4E15" w:rsidP="002D4E15">
      <w:pPr>
        <w:spacing w:line="480" w:lineRule="auto"/>
        <w:jc w:val="center"/>
        <w:rPr>
          <w:b/>
          <w:bCs/>
          <w:sz w:val="24"/>
        </w:rPr>
      </w:pPr>
      <w:r>
        <w:rPr>
          <w:b/>
          <w:bCs/>
          <w:sz w:val="24"/>
        </w:rPr>
        <w:t>General Discussion</w:t>
      </w:r>
    </w:p>
    <w:p w14:paraId="390577AF" w14:textId="08E289FF" w:rsidR="002D4E15" w:rsidRDefault="00735B80" w:rsidP="00735B80">
      <w:pPr>
        <w:spacing w:line="480" w:lineRule="auto"/>
        <w:ind w:firstLine="720"/>
        <w:rPr>
          <w:sz w:val="24"/>
        </w:rPr>
      </w:pPr>
      <w:r>
        <w:rPr>
          <w:sz w:val="24"/>
        </w:rPr>
        <w:t xml:space="preserve">The goal of the present study was to </w:t>
      </w:r>
      <w:r w:rsidR="006D7F4A">
        <w:rPr>
          <w:sz w:val="24"/>
        </w:rPr>
        <w:t xml:space="preserve">assess the effects of switch trial presentation sequence on error rates and RTs. </w:t>
      </w:r>
      <w:r w:rsidR="00C15B1F">
        <w:rPr>
          <w:sz w:val="24"/>
        </w:rPr>
        <w:t>Overall</w:t>
      </w:r>
      <w:r w:rsidR="006D7F4A">
        <w:rPr>
          <w:sz w:val="24"/>
        </w:rPr>
        <w:t xml:space="preserve">,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r w:rsidRPr="008B3802">
        <w:rPr>
          <w:sz w:val="24"/>
        </w:rPr>
        <w:t xml:space="preserve">Jersild,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r>
        <w:rPr>
          <w:sz w:val="24"/>
        </w:rPr>
        <w:lastRenderedPageBreak/>
        <w:t xml:space="preserve">Monsell,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9"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9"/>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77777777" w:rsidR="00484ABA" w:rsidRPr="00D043F4" w:rsidRDefault="00484ABA" w:rsidP="00484ABA">
      <w:pPr>
        <w:spacing w:after="160" w:line="259" w:lineRule="auto"/>
        <w:rPr>
          <w:i/>
          <w:iCs/>
          <w:sz w:val="24"/>
        </w:rPr>
      </w:pPr>
      <w:r w:rsidRPr="00D043F4">
        <w:rPr>
          <w:i/>
          <w:iCs/>
          <w:sz w:val="24"/>
        </w:rPr>
        <w:t>Ex-Gaussian Parameters as a Function of Trial Type.</w:t>
      </w:r>
    </w:p>
    <w:tbl>
      <w:tblPr>
        <w:tblStyle w:val="TableGrid"/>
        <w:tblW w:w="0" w:type="auto"/>
        <w:tblLook w:val="04A0" w:firstRow="1" w:lastRow="0" w:firstColumn="1" w:lastColumn="0" w:noHBand="0" w:noVBand="1"/>
      </w:tblPr>
      <w:tblGrid>
        <w:gridCol w:w="1530"/>
        <w:gridCol w:w="2785"/>
        <w:gridCol w:w="1295"/>
        <w:gridCol w:w="1870"/>
      </w:tblGrid>
      <w:tr w:rsidR="00484ABA" w14:paraId="4C3A5BDA" w14:textId="77777777" w:rsidTr="00E65182">
        <w:tc>
          <w:tcPr>
            <w:tcW w:w="1530" w:type="dxa"/>
            <w:tcBorders>
              <w:left w:val="nil"/>
              <w:bottom w:val="single" w:sz="4" w:space="0" w:color="auto"/>
              <w:right w:val="nil"/>
            </w:tcBorders>
          </w:tcPr>
          <w:p w14:paraId="4A1B2479" w14:textId="77777777" w:rsidR="00484ABA" w:rsidRDefault="00484ABA" w:rsidP="00E65182">
            <w:pPr>
              <w:spacing w:after="160" w:line="259" w:lineRule="auto"/>
              <w:rPr>
                <w:sz w:val="24"/>
              </w:rPr>
            </w:pPr>
            <w:r>
              <w:rPr>
                <w:sz w:val="24"/>
              </w:rPr>
              <w:t>Measure</w:t>
            </w:r>
          </w:p>
        </w:tc>
        <w:tc>
          <w:tcPr>
            <w:tcW w:w="2785" w:type="dxa"/>
            <w:tcBorders>
              <w:left w:val="nil"/>
              <w:bottom w:val="single" w:sz="4" w:space="0" w:color="auto"/>
              <w:right w:val="nil"/>
            </w:tcBorders>
          </w:tcPr>
          <w:p w14:paraId="0E530592" w14:textId="77777777" w:rsidR="00484ABA" w:rsidRDefault="00484ABA"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484ABA" w:rsidRPr="00527F50" w:rsidRDefault="00484ABA"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484ABA" w:rsidRPr="00527F50" w:rsidRDefault="00484ABA" w:rsidP="00E65182">
            <w:pPr>
              <w:spacing w:after="160" w:line="259" w:lineRule="auto"/>
              <w:jc w:val="center"/>
              <w:rPr>
                <w:i/>
                <w:iCs/>
                <w:sz w:val="24"/>
              </w:rPr>
            </w:pPr>
            <w:r w:rsidRPr="00527F50">
              <w:rPr>
                <w:i/>
                <w:iCs/>
                <w:sz w:val="24"/>
              </w:rPr>
              <w:t>± 95% CI</w:t>
            </w:r>
          </w:p>
        </w:tc>
      </w:tr>
      <w:tr w:rsidR="00484ABA" w14:paraId="1F8722C8" w14:textId="77777777" w:rsidTr="00E65182">
        <w:tc>
          <w:tcPr>
            <w:tcW w:w="1530" w:type="dxa"/>
            <w:tcBorders>
              <w:top w:val="single" w:sz="4" w:space="0" w:color="auto"/>
              <w:left w:val="nil"/>
              <w:bottom w:val="nil"/>
              <w:right w:val="nil"/>
            </w:tcBorders>
          </w:tcPr>
          <w:p w14:paraId="75E29A7A" w14:textId="77777777" w:rsidR="00484ABA" w:rsidRDefault="00484ABA" w:rsidP="00E65182">
            <w:pPr>
              <w:spacing w:after="160" w:line="259" w:lineRule="auto"/>
              <w:rPr>
                <w:sz w:val="24"/>
              </w:rPr>
            </w:pPr>
            <w:r>
              <w:rPr>
                <w:sz w:val="24"/>
              </w:rPr>
              <w:t>Mu</w:t>
            </w:r>
          </w:p>
        </w:tc>
        <w:tc>
          <w:tcPr>
            <w:tcW w:w="2785" w:type="dxa"/>
            <w:tcBorders>
              <w:top w:val="single" w:sz="4" w:space="0" w:color="auto"/>
              <w:left w:val="nil"/>
              <w:bottom w:val="nil"/>
              <w:right w:val="nil"/>
            </w:tcBorders>
          </w:tcPr>
          <w:p w14:paraId="114D23D3" w14:textId="77777777" w:rsidR="00484ABA" w:rsidRDefault="00484ABA" w:rsidP="00E65182">
            <w:pPr>
              <w:spacing w:after="160" w:line="259" w:lineRule="auto"/>
              <w:rPr>
                <w:sz w:val="24"/>
              </w:rPr>
            </w:pPr>
            <w:r>
              <w:rPr>
                <w:sz w:val="24"/>
              </w:rPr>
              <w:t>Pure</w:t>
            </w:r>
          </w:p>
        </w:tc>
        <w:tc>
          <w:tcPr>
            <w:tcW w:w="1295" w:type="dxa"/>
            <w:tcBorders>
              <w:top w:val="single" w:sz="4" w:space="0" w:color="auto"/>
              <w:left w:val="nil"/>
              <w:bottom w:val="nil"/>
              <w:right w:val="nil"/>
            </w:tcBorders>
          </w:tcPr>
          <w:p w14:paraId="5763FF89" w14:textId="77777777" w:rsidR="00484ABA" w:rsidRDefault="00484ABA" w:rsidP="00E65182">
            <w:pPr>
              <w:spacing w:after="160" w:line="259" w:lineRule="auto"/>
              <w:jc w:val="center"/>
              <w:rPr>
                <w:sz w:val="24"/>
              </w:rPr>
            </w:pPr>
            <w:r>
              <w:rPr>
                <w:sz w:val="24"/>
              </w:rPr>
              <w:t>452.56</w:t>
            </w:r>
          </w:p>
        </w:tc>
        <w:tc>
          <w:tcPr>
            <w:tcW w:w="1870" w:type="dxa"/>
            <w:tcBorders>
              <w:top w:val="single" w:sz="4" w:space="0" w:color="auto"/>
              <w:left w:val="nil"/>
              <w:bottom w:val="nil"/>
              <w:right w:val="nil"/>
            </w:tcBorders>
          </w:tcPr>
          <w:p w14:paraId="324F1937" w14:textId="77777777" w:rsidR="00484ABA" w:rsidRDefault="00484ABA" w:rsidP="00E65182">
            <w:pPr>
              <w:spacing w:after="160" w:line="259" w:lineRule="auto"/>
              <w:jc w:val="center"/>
              <w:rPr>
                <w:sz w:val="24"/>
              </w:rPr>
            </w:pPr>
            <w:r>
              <w:rPr>
                <w:sz w:val="24"/>
              </w:rPr>
              <w:t>14.46</w:t>
            </w:r>
          </w:p>
        </w:tc>
      </w:tr>
      <w:tr w:rsidR="00484ABA" w14:paraId="359FA5F5" w14:textId="77777777" w:rsidTr="00E65182">
        <w:tc>
          <w:tcPr>
            <w:tcW w:w="1530" w:type="dxa"/>
            <w:tcBorders>
              <w:top w:val="nil"/>
              <w:left w:val="nil"/>
              <w:bottom w:val="nil"/>
              <w:right w:val="nil"/>
            </w:tcBorders>
          </w:tcPr>
          <w:p w14:paraId="1E4E174B"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34E05A69"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1DF93089" w14:textId="77777777" w:rsidR="00484ABA" w:rsidRDefault="00484ABA" w:rsidP="00E65182">
            <w:pPr>
              <w:spacing w:after="160" w:line="259" w:lineRule="auto"/>
              <w:jc w:val="center"/>
              <w:rPr>
                <w:sz w:val="24"/>
              </w:rPr>
            </w:pPr>
            <w:r>
              <w:rPr>
                <w:sz w:val="24"/>
              </w:rPr>
              <w:t>905.20</w:t>
            </w:r>
          </w:p>
        </w:tc>
        <w:tc>
          <w:tcPr>
            <w:tcW w:w="1870" w:type="dxa"/>
            <w:tcBorders>
              <w:top w:val="nil"/>
              <w:left w:val="nil"/>
              <w:bottom w:val="nil"/>
              <w:right w:val="nil"/>
            </w:tcBorders>
          </w:tcPr>
          <w:p w14:paraId="7BC7A8B2" w14:textId="77777777" w:rsidR="00484ABA" w:rsidRDefault="00484ABA" w:rsidP="00E65182">
            <w:pPr>
              <w:spacing w:after="160" w:line="259" w:lineRule="auto"/>
              <w:jc w:val="center"/>
              <w:rPr>
                <w:sz w:val="24"/>
              </w:rPr>
            </w:pPr>
            <w:r>
              <w:rPr>
                <w:sz w:val="24"/>
              </w:rPr>
              <w:t>40.68</w:t>
            </w:r>
          </w:p>
        </w:tc>
      </w:tr>
      <w:tr w:rsidR="00484ABA" w14:paraId="506F6C25" w14:textId="77777777" w:rsidTr="00E65182">
        <w:tc>
          <w:tcPr>
            <w:tcW w:w="1530" w:type="dxa"/>
            <w:tcBorders>
              <w:top w:val="nil"/>
              <w:left w:val="nil"/>
              <w:bottom w:val="nil"/>
              <w:right w:val="nil"/>
            </w:tcBorders>
          </w:tcPr>
          <w:p w14:paraId="48AE740E"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67A724EF"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1240DB97" w14:textId="77777777" w:rsidR="00484ABA" w:rsidRDefault="00484ABA" w:rsidP="00E65182">
            <w:pPr>
              <w:spacing w:after="160" w:line="259" w:lineRule="auto"/>
              <w:jc w:val="center"/>
              <w:rPr>
                <w:sz w:val="24"/>
              </w:rPr>
            </w:pPr>
            <w:r>
              <w:rPr>
                <w:sz w:val="24"/>
              </w:rPr>
              <w:t>938.47</w:t>
            </w:r>
          </w:p>
        </w:tc>
        <w:tc>
          <w:tcPr>
            <w:tcW w:w="1870" w:type="dxa"/>
            <w:tcBorders>
              <w:top w:val="nil"/>
              <w:left w:val="nil"/>
              <w:bottom w:val="nil"/>
              <w:right w:val="nil"/>
            </w:tcBorders>
          </w:tcPr>
          <w:p w14:paraId="5D34DF82" w14:textId="77777777" w:rsidR="00484ABA" w:rsidRDefault="00484ABA" w:rsidP="00E65182">
            <w:pPr>
              <w:spacing w:after="160" w:line="259" w:lineRule="auto"/>
              <w:jc w:val="center"/>
              <w:rPr>
                <w:sz w:val="24"/>
              </w:rPr>
            </w:pPr>
            <w:r>
              <w:rPr>
                <w:sz w:val="24"/>
              </w:rPr>
              <w:t>50.20</w:t>
            </w:r>
          </w:p>
        </w:tc>
      </w:tr>
      <w:tr w:rsidR="00484ABA" w14:paraId="10B903AC" w14:textId="77777777" w:rsidTr="00E65182">
        <w:tc>
          <w:tcPr>
            <w:tcW w:w="1530" w:type="dxa"/>
            <w:tcBorders>
              <w:top w:val="nil"/>
              <w:left w:val="nil"/>
              <w:bottom w:val="nil"/>
              <w:right w:val="nil"/>
            </w:tcBorders>
          </w:tcPr>
          <w:p w14:paraId="5D94B330"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CAB19EC"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3B0E3246" w14:textId="77777777" w:rsidR="00484ABA" w:rsidRDefault="00484ABA" w:rsidP="00E65182">
            <w:pPr>
              <w:spacing w:after="160" w:line="259" w:lineRule="auto"/>
              <w:jc w:val="center"/>
              <w:rPr>
                <w:sz w:val="24"/>
              </w:rPr>
            </w:pPr>
            <w:r>
              <w:rPr>
                <w:sz w:val="24"/>
              </w:rPr>
              <w:t>782.17</w:t>
            </w:r>
          </w:p>
        </w:tc>
        <w:tc>
          <w:tcPr>
            <w:tcW w:w="1870" w:type="dxa"/>
            <w:tcBorders>
              <w:top w:val="nil"/>
              <w:left w:val="nil"/>
              <w:bottom w:val="nil"/>
              <w:right w:val="nil"/>
            </w:tcBorders>
          </w:tcPr>
          <w:p w14:paraId="2AAB8278" w14:textId="77777777" w:rsidR="00484ABA" w:rsidRDefault="00484ABA" w:rsidP="00E65182">
            <w:pPr>
              <w:spacing w:after="160" w:line="259" w:lineRule="auto"/>
              <w:jc w:val="center"/>
              <w:rPr>
                <w:sz w:val="24"/>
              </w:rPr>
            </w:pPr>
            <w:r>
              <w:rPr>
                <w:sz w:val="24"/>
              </w:rPr>
              <w:t>31.36</w:t>
            </w:r>
          </w:p>
        </w:tc>
      </w:tr>
      <w:tr w:rsidR="00484ABA" w14:paraId="05BFBA76" w14:textId="77777777" w:rsidTr="00E65182">
        <w:tc>
          <w:tcPr>
            <w:tcW w:w="1530" w:type="dxa"/>
            <w:tcBorders>
              <w:top w:val="nil"/>
              <w:left w:val="nil"/>
              <w:bottom w:val="nil"/>
              <w:right w:val="nil"/>
            </w:tcBorders>
          </w:tcPr>
          <w:p w14:paraId="24CE9B4D"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528AD32"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nil"/>
              <w:right w:val="nil"/>
            </w:tcBorders>
          </w:tcPr>
          <w:p w14:paraId="248910F0" w14:textId="77777777" w:rsidR="00484ABA" w:rsidRDefault="00484ABA" w:rsidP="00E65182">
            <w:pPr>
              <w:spacing w:after="160" w:line="259" w:lineRule="auto"/>
              <w:jc w:val="center"/>
              <w:rPr>
                <w:sz w:val="24"/>
              </w:rPr>
            </w:pPr>
            <w:r>
              <w:rPr>
                <w:sz w:val="24"/>
              </w:rPr>
              <w:t>752.59</w:t>
            </w:r>
          </w:p>
        </w:tc>
        <w:tc>
          <w:tcPr>
            <w:tcW w:w="1870" w:type="dxa"/>
            <w:tcBorders>
              <w:top w:val="nil"/>
              <w:left w:val="nil"/>
              <w:bottom w:val="nil"/>
              <w:right w:val="nil"/>
            </w:tcBorders>
          </w:tcPr>
          <w:p w14:paraId="395B7C63" w14:textId="77777777" w:rsidR="00484ABA" w:rsidRDefault="00484ABA" w:rsidP="00E65182">
            <w:pPr>
              <w:spacing w:after="160" w:line="259" w:lineRule="auto"/>
              <w:jc w:val="center"/>
              <w:rPr>
                <w:sz w:val="24"/>
              </w:rPr>
            </w:pPr>
            <w:r>
              <w:rPr>
                <w:sz w:val="24"/>
              </w:rPr>
              <w:t>38.82</w:t>
            </w:r>
          </w:p>
        </w:tc>
      </w:tr>
      <w:tr w:rsidR="00484ABA" w14:paraId="5A9B6679" w14:textId="77777777" w:rsidTr="00E65182">
        <w:tc>
          <w:tcPr>
            <w:tcW w:w="1530" w:type="dxa"/>
            <w:tcBorders>
              <w:top w:val="nil"/>
              <w:left w:val="nil"/>
              <w:bottom w:val="nil"/>
              <w:right w:val="nil"/>
            </w:tcBorders>
          </w:tcPr>
          <w:p w14:paraId="2760E1D6" w14:textId="77777777" w:rsidR="00484ABA" w:rsidRDefault="00484ABA" w:rsidP="00E65182">
            <w:pPr>
              <w:spacing w:after="160" w:line="259" w:lineRule="auto"/>
              <w:rPr>
                <w:sz w:val="24"/>
              </w:rPr>
            </w:pPr>
            <w:r>
              <w:rPr>
                <w:sz w:val="24"/>
              </w:rPr>
              <w:t>Sigma</w:t>
            </w:r>
          </w:p>
        </w:tc>
        <w:tc>
          <w:tcPr>
            <w:tcW w:w="2785" w:type="dxa"/>
            <w:tcBorders>
              <w:top w:val="nil"/>
              <w:left w:val="nil"/>
              <w:bottom w:val="nil"/>
              <w:right w:val="nil"/>
            </w:tcBorders>
          </w:tcPr>
          <w:p w14:paraId="4AC4A595" w14:textId="77777777" w:rsidR="00484ABA" w:rsidRDefault="00484ABA" w:rsidP="00E65182">
            <w:pPr>
              <w:spacing w:after="160" w:line="259" w:lineRule="auto"/>
              <w:rPr>
                <w:sz w:val="24"/>
              </w:rPr>
            </w:pPr>
            <w:r>
              <w:rPr>
                <w:sz w:val="24"/>
              </w:rPr>
              <w:t>Pure</w:t>
            </w:r>
          </w:p>
        </w:tc>
        <w:tc>
          <w:tcPr>
            <w:tcW w:w="1295" w:type="dxa"/>
            <w:tcBorders>
              <w:top w:val="nil"/>
              <w:left w:val="nil"/>
              <w:bottom w:val="nil"/>
              <w:right w:val="nil"/>
            </w:tcBorders>
          </w:tcPr>
          <w:p w14:paraId="751132F9" w14:textId="77777777" w:rsidR="00484ABA" w:rsidRDefault="00484ABA" w:rsidP="00E65182">
            <w:pPr>
              <w:spacing w:after="160" w:line="259" w:lineRule="auto"/>
              <w:jc w:val="center"/>
              <w:rPr>
                <w:sz w:val="24"/>
              </w:rPr>
            </w:pPr>
            <w:r>
              <w:rPr>
                <w:sz w:val="24"/>
              </w:rPr>
              <w:t>42.29</w:t>
            </w:r>
          </w:p>
        </w:tc>
        <w:tc>
          <w:tcPr>
            <w:tcW w:w="1870" w:type="dxa"/>
            <w:tcBorders>
              <w:top w:val="nil"/>
              <w:left w:val="nil"/>
              <w:bottom w:val="nil"/>
              <w:right w:val="nil"/>
            </w:tcBorders>
          </w:tcPr>
          <w:p w14:paraId="2FDD5F3D" w14:textId="77777777" w:rsidR="00484ABA" w:rsidRDefault="00484ABA" w:rsidP="00E65182">
            <w:pPr>
              <w:spacing w:after="160" w:line="259" w:lineRule="auto"/>
              <w:jc w:val="center"/>
              <w:rPr>
                <w:sz w:val="24"/>
              </w:rPr>
            </w:pPr>
            <w:r>
              <w:rPr>
                <w:sz w:val="24"/>
              </w:rPr>
              <w:t>3.32</w:t>
            </w:r>
          </w:p>
        </w:tc>
      </w:tr>
      <w:tr w:rsidR="00484ABA" w14:paraId="02A5DD21" w14:textId="77777777" w:rsidTr="00E65182">
        <w:tc>
          <w:tcPr>
            <w:tcW w:w="1530" w:type="dxa"/>
            <w:tcBorders>
              <w:top w:val="nil"/>
              <w:left w:val="nil"/>
              <w:bottom w:val="nil"/>
              <w:right w:val="nil"/>
            </w:tcBorders>
          </w:tcPr>
          <w:p w14:paraId="16B71C75"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9CB6895"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5B77D8D2" w14:textId="77777777" w:rsidR="00484ABA" w:rsidRDefault="00484ABA" w:rsidP="00E65182">
            <w:pPr>
              <w:spacing w:after="160" w:line="259" w:lineRule="auto"/>
              <w:jc w:val="center"/>
              <w:rPr>
                <w:sz w:val="24"/>
              </w:rPr>
            </w:pPr>
            <w:r>
              <w:rPr>
                <w:sz w:val="24"/>
              </w:rPr>
              <w:t>121.77</w:t>
            </w:r>
          </w:p>
        </w:tc>
        <w:tc>
          <w:tcPr>
            <w:tcW w:w="1870" w:type="dxa"/>
            <w:tcBorders>
              <w:top w:val="nil"/>
              <w:left w:val="nil"/>
              <w:bottom w:val="nil"/>
              <w:right w:val="nil"/>
            </w:tcBorders>
          </w:tcPr>
          <w:p w14:paraId="1FC5CF13" w14:textId="77777777" w:rsidR="00484ABA" w:rsidRDefault="00484ABA" w:rsidP="00E65182">
            <w:pPr>
              <w:spacing w:after="160" w:line="259" w:lineRule="auto"/>
              <w:jc w:val="center"/>
              <w:rPr>
                <w:sz w:val="24"/>
              </w:rPr>
            </w:pPr>
            <w:r>
              <w:rPr>
                <w:sz w:val="24"/>
              </w:rPr>
              <w:t>18.50</w:t>
            </w:r>
          </w:p>
        </w:tc>
      </w:tr>
      <w:tr w:rsidR="00484ABA" w14:paraId="434E1C19" w14:textId="77777777" w:rsidTr="00E65182">
        <w:tc>
          <w:tcPr>
            <w:tcW w:w="1530" w:type="dxa"/>
            <w:tcBorders>
              <w:top w:val="nil"/>
              <w:left w:val="nil"/>
              <w:bottom w:val="nil"/>
              <w:right w:val="nil"/>
            </w:tcBorders>
          </w:tcPr>
          <w:p w14:paraId="3020EA92"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79D3A3A0"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473937FF" w14:textId="77777777" w:rsidR="00484ABA" w:rsidRDefault="00484ABA" w:rsidP="00E65182">
            <w:pPr>
              <w:spacing w:after="160" w:line="259" w:lineRule="auto"/>
              <w:jc w:val="center"/>
              <w:rPr>
                <w:sz w:val="24"/>
              </w:rPr>
            </w:pPr>
            <w:r>
              <w:rPr>
                <w:sz w:val="24"/>
              </w:rPr>
              <w:t>137.80</w:t>
            </w:r>
          </w:p>
        </w:tc>
        <w:tc>
          <w:tcPr>
            <w:tcW w:w="1870" w:type="dxa"/>
            <w:tcBorders>
              <w:top w:val="nil"/>
              <w:left w:val="nil"/>
              <w:bottom w:val="nil"/>
              <w:right w:val="nil"/>
            </w:tcBorders>
          </w:tcPr>
          <w:p w14:paraId="792609AD" w14:textId="77777777" w:rsidR="00484ABA" w:rsidRDefault="00484ABA" w:rsidP="00E65182">
            <w:pPr>
              <w:spacing w:after="160" w:line="259" w:lineRule="auto"/>
              <w:jc w:val="center"/>
              <w:rPr>
                <w:sz w:val="24"/>
              </w:rPr>
            </w:pPr>
            <w:r>
              <w:rPr>
                <w:sz w:val="24"/>
              </w:rPr>
              <w:t>17.97</w:t>
            </w:r>
          </w:p>
        </w:tc>
      </w:tr>
      <w:tr w:rsidR="00484ABA" w14:paraId="1B8EF231" w14:textId="77777777" w:rsidTr="00E65182">
        <w:tc>
          <w:tcPr>
            <w:tcW w:w="1530" w:type="dxa"/>
            <w:tcBorders>
              <w:top w:val="nil"/>
              <w:left w:val="nil"/>
              <w:bottom w:val="nil"/>
              <w:right w:val="nil"/>
            </w:tcBorders>
          </w:tcPr>
          <w:p w14:paraId="2698B470"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4B4EFFDC"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30BA663A" w14:textId="77777777" w:rsidR="00484ABA" w:rsidRDefault="00484ABA" w:rsidP="00E65182">
            <w:pPr>
              <w:spacing w:after="160" w:line="259" w:lineRule="auto"/>
              <w:jc w:val="center"/>
              <w:rPr>
                <w:sz w:val="24"/>
              </w:rPr>
            </w:pPr>
            <w:r>
              <w:rPr>
                <w:sz w:val="24"/>
              </w:rPr>
              <w:t>87.31</w:t>
            </w:r>
          </w:p>
        </w:tc>
        <w:tc>
          <w:tcPr>
            <w:tcW w:w="1870" w:type="dxa"/>
            <w:tcBorders>
              <w:top w:val="nil"/>
              <w:left w:val="nil"/>
              <w:bottom w:val="nil"/>
              <w:right w:val="nil"/>
            </w:tcBorders>
          </w:tcPr>
          <w:p w14:paraId="79F08799" w14:textId="77777777" w:rsidR="00484ABA" w:rsidRDefault="00484ABA" w:rsidP="00E65182">
            <w:pPr>
              <w:spacing w:after="160" w:line="259" w:lineRule="auto"/>
              <w:jc w:val="center"/>
              <w:rPr>
                <w:sz w:val="24"/>
              </w:rPr>
            </w:pPr>
            <w:r>
              <w:rPr>
                <w:sz w:val="24"/>
              </w:rPr>
              <w:t>17.96</w:t>
            </w:r>
          </w:p>
        </w:tc>
      </w:tr>
      <w:tr w:rsidR="00484ABA" w14:paraId="2483BAB1" w14:textId="77777777" w:rsidTr="00E65182">
        <w:tc>
          <w:tcPr>
            <w:tcW w:w="1530" w:type="dxa"/>
            <w:tcBorders>
              <w:top w:val="nil"/>
              <w:left w:val="nil"/>
              <w:bottom w:val="nil"/>
              <w:right w:val="nil"/>
            </w:tcBorders>
          </w:tcPr>
          <w:p w14:paraId="55EE1425"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987C12F"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nil"/>
              <w:right w:val="nil"/>
            </w:tcBorders>
          </w:tcPr>
          <w:p w14:paraId="580AF792" w14:textId="77777777" w:rsidR="00484ABA" w:rsidRDefault="00484ABA" w:rsidP="00E65182">
            <w:pPr>
              <w:spacing w:after="160" w:line="259" w:lineRule="auto"/>
              <w:jc w:val="center"/>
              <w:rPr>
                <w:sz w:val="24"/>
              </w:rPr>
            </w:pPr>
            <w:r>
              <w:rPr>
                <w:sz w:val="24"/>
              </w:rPr>
              <w:t>82.83</w:t>
            </w:r>
          </w:p>
        </w:tc>
        <w:tc>
          <w:tcPr>
            <w:tcW w:w="1870" w:type="dxa"/>
            <w:tcBorders>
              <w:top w:val="nil"/>
              <w:left w:val="nil"/>
              <w:bottom w:val="nil"/>
              <w:right w:val="nil"/>
            </w:tcBorders>
          </w:tcPr>
          <w:p w14:paraId="37C89187" w14:textId="77777777" w:rsidR="00484ABA" w:rsidRDefault="00484ABA" w:rsidP="00E65182">
            <w:pPr>
              <w:spacing w:after="160" w:line="259" w:lineRule="auto"/>
              <w:jc w:val="center"/>
              <w:rPr>
                <w:sz w:val="24"/>
              </w:rPr>
            </w:pPr>
            <w:r>
              <w:rPr>
                <w:sz w:val="24"/>
              </w:rPr>
              <w:t>21.55</w:t>
            </w:r>
          </w:p>
        </w:tc>
      </w:tr>
      <w:tr w:rsidR="00484ABA" w14:paraId="5F449DF9" w14:textId="77777777" w:rsidTr="00E65182">
        <w:tc>
          <w:tcPr>
            <w:tcW w:w="1530" w:type="dxa"/>
            <w:tcBorders>
              <w:top w:val="nil"/>
              <w:left w:val="nil"/>
              <w:bottom w:val="nil"/>
              <w:right w:val="nil"/>
            </w:tcBorders>
          </w:tcPr>
          <w:p w14:paraId="6C9DD930" w14:textId="77777777" w:rsidR="00484ABA" w:rsidRDefault="00484ABA" w:rsidP="00E65182">
            <w:pPr>
              <w:spacing w:after="160" w:line="259" w:lineRule="auto"/>
              <w:rPr>
                <w:sz w:val="24"/>
              </w:rPr>
            </w:pPr>
            <w:r>
              <w:rPr>
                <w:sz w:val="24"/>
              </w:rPr>
              <w:t>Tau</w:t>
            </w:r>
          </w:p>
        </w:tc>
        <w:tc>
          <w:tcPr>
            <w:tcW w:w="2785" w:type="dxa"/>
            <w:tcBorders>
              <w:top w:val="nil"/>
              <w:left w:val="nil"/>
              <w:bottom w:val="nil"/>
              <w:right w:val="nil"/>
            </w:tcBorders>
          </w:tcPr>
          <w:p w14:paraId="7EA1EBD0" w14:textId="77777777" w:rsidR="00484ABA" w:rsidRDefault="00484ABA"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484ABA" w:rsidRDefault="00484ABA"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484ABA" w:rsidRDefault="00484ABA" w:rsidP="00E65182">
            <w:pPr>
              <w:spacing w:after="160" w:line="259" w:lineRule="auto"/>
              <w:jc w:val="center"/>
              <w:rPr>
                <w:sz w:val="24"/>
              </w:rPr>
            </w:pPr>
            <w:r>
              <w:rPr>
                <w:sz w:val="24"/>
              </w:rPr>
              <w:t>28.29</w:t>
            </w:r>
          </w:p>
        </w:tc>
      </w:tr>
      <w:tr w:rsidR="00484ABA" w14:paraId="26CA6306" w14:textId="77777777" w:rsidTr="00E65182">
        <w:tc>
          <w:tcPr>
            <w:tcW w:w="1530" w:type="dxa"/>
            <w:tcBorders>
              <w:top w:val="nil"/>
              <w:left w:val="nil"/>
              <w:bottom w:val="nil"/>
              <w:right w:val="nil"/>
            </w:tcBorders>
          </w:tcPr>
          <w:p w14:paraId="666D4294"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8A021E7"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484ABA" w:rsidRDefault="00484ABA"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484ABA" w:rsidRDefault="00484ABA" w:rsidP="00E65182">
            <w:pPr>
              <w:spacing w:after="160" w:line="259" w:lineRule="auto"/>
              <w:jc w:val="center"/>
              <w:rPr>
                <w:sz w:val="24"/>
              </w:rPr>
            </w:pPr>
            <w:r>
              <w:rPr>
                <w:sz w:val="24"/>
              </w:rPr>
              <w:t>53.67</w:t>
            </w:r>
          </w:p>
        </w:tc>
      </w:tr>
      <w:tr w:rsidR="00484ABA" w14:paraId="2732B80D" w14:textId="77777777" w:rsidTr="00E65182">
        <w:tc>
          <w:tcPr>
            <w:tcW w:w="1530" w:type="dxa"/>
            <w:tcBorders>
              <w:top w:val="nil"/>
              <w:left w:val="nil"/>
              <w:bottom w:val="nil"/>
              <w:right w:val="nil"/>
            </w:tcBorders>
          </w:tcPr>
          <w:p w14:paraId="3D45AA48"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34A2627A"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484ABA" w:rsidRDefault="00484ABA"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484ABA" w:rsidRDefault="00484ABA" w:rsidP="00E65182">
            <w:pPr>
              <w:spacing w:after="160" w:line="259" w:lineRule="auto"/>
              <w:jc w:val="center"/>
              <w:rPr>
                <w:sz w:val="24"/>
              </w:rPr>
            </w:pPr>
            <w:r>
              <w:rPr>
                <w:sz w:val="24"/>
              </w:rPr>
              <w:t>53.02</w:t>
            </w:r>
          </w:p>
        </w:tc>
      </w:tr>
      <w:tr w:rsidR="00484ABA" w14:paraId="6BD4E14C" w14:textId="77777777" w:rsidTr="00E65182">
        <w:tc>
          <w:tcPr>
            <w:tcW w:w="1530" w:type="dxa"/>
            <w:tcBorders>
              <w:top w:val="nil"/>
              <w:left w:val="nil"/>
              <w:bottom w:val="nil"/>
              <w:right w:val="nil"/>
            </w:tcBorders>
          </w:tcPr>
          <w:p w14:paraId="5FCBA289"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2275D7A"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484ABA" w:rsidRDefault="00484ABA"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484ABA" w:rsidRDefault="00484ABA" w:rsidP="00E65182">
            <w:pPr>
              <w:spacing w:after="160" w:line="259" w:lineRule="auto"/>
              <w:jc w:val="center"/>
              <w:rPr>
                <w:sz w:val="24"/>
              </w:rPr>
            </w:pPr>
            <w:r>
              <w:rPr>
                <w:sz w:val="24"/>
              </w:rPr>
              <w:t>60.76</w:t>
            </w:r>
          </w:p>
        </w:tc>
      </w:tr>
      <w:tr w:rsidR="00484ABA" w14:paraId="2790EE6F" w14:textId="77777777" w:rsidTr="00E65182">
        <w:tc>
          <w:tcPr>
            <w:tcW w:w="1530" w:type="dxa"/>
            <w:tcBorders>
              <w:top w:val="nil"/>
              <w:left w:val="nil"/>
              <w:bottom w:val="single" w:sz="4" w:space="0" w:color="auto"/>
              <w:right w:val="nil"/>
            </w:tcBorders>
          </w:tcPr>
          <w:p w14:paraId="60D3FFD7" w14:textId="77777777" w:rsidR="00484ABA" w:rsidRDefault="00484ABA" w:rsidP="00E65182">
            <w:pPr>
              <w:spacing w:after="160" w:line="259" w:lineRule="auto"/>
              <w:rPr>
                <w:sz w:val="24"/>
              </w:rPr>
            </w:pPr>
          </w:p>
        </w:tc>
        <w:tc>
          <w:tcPr>
            <w:tcW w:w="2785" w:type="dxa"/>
            <w:tcBorders>
              <w:top w:val="nil"/>
              <w:left w:val="nil"/>
              <w:bottom w:val="single" w:sz="4" w:space="0" w:color="auto"/>
              <w:right w:val="nil"/>
            </w:tcBorders>
          </w:tcPr>
          <w:p w14:paraId="400AD637"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484ABA" w:rsidRDefault="00484ABA"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484ABA" w:rsidRDefault="00484ABA"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185BABB" w:rsidR="00484ABA" w:rsidRPr="00D043F4" w:rsidRDefault="00484ABA" w:rsidP="00484ABA">
      <w:pPr>
        <w:spacing w:after="160" w:line="259" w:lineRule="auto"/>
        <w:rPr>
          <w:i/>
          <w:iCs/>
          <w:sz w:val="24"/>
        </w:rPr>
      </w:pPr>
      <w:r w:rsidRPr="00D043F4">
        <w:rPr>
          <w:i/>
          <w:iCs/>
          <w:sz w:val="24"/>
        </w:rPr>
        <w:t xml:space="preserve">Ex-Gaussian Parameters as </w:t>
      </w:r>
      <w:r w:rsidR="00E14C0A">
        <w:rPr>
          <w:i/>
          <w:iCs/>
          <w:sz w:val="24"/>
        </w:rPr>
        <w:t>Functions of Switch Cost and Presentation</w:t>
      </w:r>
      <w:r w:rsidRPr="00D043F4">
        <w:rPr>
          <w:i/>
          <w:iCs/>
          <w:sz w:val="24"/>
        </w:rPr>
        <w:t>.</w:t>
      </w:r>
    </w:p>
    <w:tbl>
      <w:tblPr>
        <w:tblStyle w:val="TableGrid"/>
        <w:tblW w:w="0" w:type="auto"/>
        <w:tblLook w:val="04A0" w:firstRow="1" w:lastRow="0" w:firstColumn="1" w:lastColumn="0" w:noHBand="0" w:noVBand="1"/>
      </w:tblPr>
      <w:tblGrid>
        <w:gridCol w:w="1530"/>
        <w:gridCol w:w="2785"/>
        <w:gridCol w:w="1295"/>
        <w:gridCol w:w="1295"/>
        <w:gridCol w:w="1870"/>
      </w:tblGrid>
      <w:tr w:rsidR="00484ABA" w14:paraId="32FE5478" w14:textId="77777777" w:rsidTr="00A30E3D">
        <w:tc>
          <w:tcPr>
            <w:tcW w:w="1530" w:type="dxa"/>
            <w:tcBorders>
              <w:left w:val="nil"/>
              <w:bottom w:val="single" w:sz="4" w:space="0" w:color="auto"/>
              <w:right w:val="nil"/>
            </w:tcBorders>
          </w:tcPr>
          <w:p w14:paraId="770987C8" w14:textId="77777777" w:rsidR="00484ABA" w:rsidRDefault="00484ABA" w:rsidP="00E65182">
            <w:pPr>
              <w:spacing w:after="160" w:line="259" w:lineRule="auto"/>
              <w:rPr>
                <w:sz w:val="24"/>
              </w:rPr>
            </w:pPr>
            <w:r>
              <w:rPr>
                <w:sz w:val="24"/>
              </w:rPr>
              <w:t>Measure</w:t>
            </w:r>
          </w:p>
        </w:tc>
        <w:tc>
          <w:tcPr>
            <w:tcW w:w="2785" w:type="dxa"/>
            <w:tcBorders>
              <w:left w:val="nil"/>
              <w:bottom w:val="single" w:sz="4" w:space="0" w:color="auto"/>
              <w:right w:val="nil"/>
            </w:tcBorders>
          </w:tcPr>
          <w:p w14:paraId="43AAF8B2" w14:textId="65C6B500" w:rsidR="00484ABA" w:rsidRDefault="00484ABA"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484ABA" w:rsidRPr="00484ABA" w:rsidRDefault="00484ABA"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484ABA" w:rsidRPr="00527F50" w:rsidRDefault="00484ABA"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484ABA" w:rsidRPr="00527F50" w:rsidRDefault="00484ABA" w:rsidP="00E65182">
            <w:pPr>
              <w:spacing w:after="160" w:line="259" w:lineRule="auto"/>
              <w:jc w:val="center"/>
              <w:rPr>
                <w:i/>
                <w:iCs/>
                <w:sz w:val="24"/>
              </w:rPr>
            </w:pPr>
            <w:r w:rsidRPr="00527F50">
              <w:rPr>
                <w:i/>
                <w:iCs/>
                <w:sz w:val="24"/>
              </w:rPr>
              <w:t>± 95% CI</w:t>
            </w:r>
          </w:p>
        </w:tc>
      </w:tr>
      <w:tr w:rsidR="00484ABA" w14:paraId="2B692B92" w14:textId="77777777" w:rsidTr="00A30E3D">
        <w:tc>
          <w:tcPr>
            <w:tcW w:w="1530" w:type="dxa"/>
            <w:tcBorders>
              <w:top w:val="single" w:sz="4" w:space="0" w:color="auto"/>
              <w:left w:val="nil"/>
              <w:bottom w:val="nil"/>
              <w:right w:val="nil"/>
            </w:tcBorders>
          </w:tcPr>
          <w:p w14:paraId="61FB3FBB" w14:textId="77777777" w:rsidR="00484ABA" w:rsidRDefault="00484ABA" w:rsidP="00E65182">
            <w:pPr>
              <w:spacing w:after="160" w:line="259" w:lineRule="auto"/>
              <w:rPr>
                <w:sz w:val="24"/>
              </w:rPr>
            </w:pPr>
            <w:r>
              <w:rPr>
                <w:sz w:val="24"/>
              </w:rPr>
              <w:t>Mu</w:t>
            </w:r>
          </w:p>
        </w:tc>
        <w:tc>
          <w:tcPr>
            <w:tcW w:w="2785" w:type="dxa"/>
            <w:tcBorders>
              <w:top w:val="single" w:sz="4" w:space="0" w:color="auto"/>
              <w:left w:val="nil"/>
              <w:bottom w:val="nil"/>
              <w:right w:val="nil"/>
            </w:tcBorders>
          </w:tcPr>
          <w:p w14:paraId="7EC8D55A" w14:textId="3A20EBC2" w:rsidR="00484ABA" w:rsidRDefault="00484ABA" w:rsidP="00E65182">
            <w:pPr>
              <w:spacing w:after="160" w:line="259" w:lineRule="auto"/>
              <w:rPr>
                <w:sz w:val="24"/>
              </w:rPr>
            </w:pPr>
            <w:r>
              <w:rPr>
                <w:sz w:val="24"/>
              </w:rPr>
              <w:t>Alt Runs.</w:t>
            </w:r>
          </w:p>
        </w:tc>
        <w:tc>
          <w:tcPr>
            <w:tcW w:w="1295" w:type="dxa"/>
            <w:tcBorders>
              <w:top w:val="single" w:sz="4" w:space="0" w:color="auto"/>
              <w:left w:val="nil"/>
              <w:bottom w:val="nil"/>
              <w:right w:val="nil"/>
            </w:tcBorders>
          </w:tcPr>
          <w:p w14:paraId="0618CC40" w14:textId="224F721F" w:rsidR="00484ABA" w:rsidRDefault="00F12E1D" w:rsidP="00484ABA">
            <w:pPr>
              <w:spacing w:after="160" w:line="259" w:lineRule="auto"/>
              <w:rPr>
                <w:sz w:val="24"/>
              </w:rPr>
            </w:pPr>
            <w:r>
              <w:rPr>
                <w:sz w:val="24"/>
              </w:rPr>
              <w:t>Local</w:t>
            </w:r>
          </w:p>
        </w:tc>
        <w:tc>
          <w:tcPr>
            <w:tcW w:w="1295" w:type="dxa"/>
            <w:tcBorders>
              <w:top w:val="single" w:sz="4" w:space="0" w:color="auto"/>
              <w:left w:val="nil"/>
              <w:bottom w:val="nil"/>
              <w:right w:val="nil"/>
            </w:tcBorders>
          </w:tcPr>
          <w:p w14:paraId="79ADD787" w14:textId="6B2C25EA" w:rsidR="00484ABA" w:rsidRDefault="003A6048" w:rsidP="00E65182">
            <w:pPr>
              <w:spacing w:after="160" w:line="259" w:lineRule="auto"/>
              <w:jc w:val="center"/>
              <w:rPr>
                <w:sz w:val="24"/>
              </w:rPr>
            </w:pPr>
            <w:r>
              <w:rPr>
                <w:sz w:val="24"/>
              </w:rPr>
              <w:t>-123.03</w:t>
            </w:r>
          </w:p>
        </w:tc>
        <w:tc>
          <w:tcPr>
            <w:tcW w:w="1870" w:type="dxa"/>
            <w:tcBorders>
              <w:top w:val="single" w:sz="4" w:space="0" w:color="auto"/>
              <w:left w:val="nil"/>
              <w:bottom w:val="nil"/>
              <w:right w:val="nil"/>
            </w:tcBorders>
          </w:tcPr>
          <w:p w14:paraId="1D323D5F" w14:textId="188A95D2" w:rsidR="00484ABA" w:rsidRDefault="005832ED" w:rsidP="00E65182">
            <w:pPr>
              <w:spacing w:after="160" w:line="259" w:lineRule="auto"/>
              <w:jc w:val="center"/>
              <w:rPr>
                <w:sz w:val="24"/>
              </w:rPr>
            </w:pPr>
            <w:r>
              <w:rPr>
                <w:sz w:val="24"/>
              </w:rPr>
              <w:t>31.62</w:t>
            </w:r>
          </w:p>
        </w:tc>
      </w:tr>
      <w:tr w:rsidR="00484ABA" w14:paraId="26F79B1D" w14:textId="77777777" w:rsidTr="00A30E3D">
        <w:tc>
          <w:tcPr>
            <w:tcW w:w="1530" w:type="dxa"/>
            <w:tcBorders>
              <w:top w:val="nil"/>
              <w:left w:val="nil"/>
              <w:bottom w:val="nil"/>
              <w:right w:val="nil"/>
            </w:tcBorders>
          </w:tcPr>
          <w:p w14:paraId="1284C93A"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B28638E" w14:textId="6BC09A8B" w:rsidR="00484ABA" w:rsidRDefault="00484ABA" w:rsidP="00E65182">
            <w:pPr>
              <w:spacing w:after="160" w:line="259" w:lineRule="auto"/>
              <w:rPr>
                <w:sz w:val="24"/>
              </w:rPr>
            </w:pPr>
          </w:p>
        </w:tc>
        <w:tc>
          <w:tcPr>
            <w:tcW w:w="1295" w:type="dxa"/>
            <w:tcBorders>
              <w:top w:val="nil"/>
              <w:left w:val="nil"/>
              <w:bottom w:val="nil"/>
              <w:right w:val="nil"/>
            </w:tcBorders>
          </w:tcPr>
          <w:p w14:paraId="349E0686" w14:textId="61044FCE"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277FFBE1" w14:textId="647E31C5" w:rsidR="00484ABA" w:rsidRDefault="003A6048" w:rsidP="00E65182">
            <w:pPr>
              <w:spacing w:after="160" w:line="259" w:lineRule="auto"/>
              <w:jc w:val="center"/>
              <w:rPr>
                <w:sz w:val="24"/>
              </w:rPr>
            </w:pPr>
            <w:r>
              <w:rPr>
                <w:sz w:val="24"/>
              </w:rPr>
              <w:t>329.61</w:t>
            </w:r>
          </w:p>
        </w:tc>
        <w:tc>
          <w:tcPr>
            <w:tcW w:w="1870" w:type="dxa"/>
            <w:tcBorders>
              <w:top w:val="nil"/>
              <w:left w:val="nil"/>
              <w:bottom w:val="nil"/>
              <w:right w:val="nil"/>
            </w:tcBorders>
          </w:tcPr>
          <w:p w14:paraId="73EEB08A" w14:textId="286CBF07" w:rsidR="00484ABA" w:rsidRDefault="005832ED" w:rsidP="00E65182">
            <w:pPr>
              <w:spacing w:after="160" w:line="259" w:lineRule="auto"/>
              <w:jc w:val="center"/>
              <w:rPr>
                <w:sz w:val="24"/>
              </w:rPr>
            </w:pPr>
            <w:r>
              <w:rPr>
                <w:sz w:val="24"/>
              </w:rPr>
              <w:t>28.82</w:t>
            </w:r>
          </w:p>
        </w:tc>
      </w:tr>
      <w:tr w:rsidR="00484ABA" w14:paraId="142775A6" w14:textId="77777777" w:rsidTr="00484ABA">
        <w:tc>
          <w:tcPr>
            <w:tcW w:w="1530" w:type="dxa"/>
            <w:tcBorders>
              <w:top w:val="nil"/>
              <w:left w:val="nil"/>
              <w:bottom w:val="nil"/>
              <w:right w:val="nil"/>
            </w:tcBorders>
          </w:tcPr>
          <w:p w14:paraId="0406807B"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87B931A" w14:textId="1D87E8ED" w:rsidR="00484ABA" w:rsidRDefault="00484ABA" w:rsidP="00E65182">
            <w:pPr>
              <w:spacing w:after="160" w:line="259" w:lineRule="auto"/>
              <w:rPr>
                <w:sz w:val="24"/>
              </w:rPr>
            </w:pPr>
            <w:r>
              <w:rPr>
                <w:sz w:val="24"/>
              </w:rPr>
              <w:t>Random</w:t>
            </w:r>
          </w:p>
        </w:tc>
        <w:tc>
          <w:tcPr>
            <w:tcW w:w="1295" w:type="dxa"/>
            <w:tcBorders>
              <w:top w:val="nil"/>
              <w:left w:val="nil"/>
              <w:bottom w:val="nil"/>
              <w:right w:val="nil"/>
            </w:tcBorders>
          </w:tcPr>
          <w:p w14:paraId="4BF202C0" w14:textId="49630EC8"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07C70A91" w14:textId="7923CA41" w:rsidR="00484ABA" w:rsidRDefault="003A6048" w:rsidP="00E65182">
            <w:pPr>
              <w:spacing w:after="160" w:line="259" w:lineRule="auto"/>
              <w:jc w:val="center"/>
              <w:rPr>
                <w:sz w:val="24"/>
              </w:rPr>
            </w:pPr>
            <w:r>
              <w:rPr>
                <w:sz w:val="24"/>
              </w:rPr>
              <w:t>-</w:t>
            </w:r>
            <w:r w:rsidR="004C3BB2">
              <w:rPr>
                <w:sz w:val="24"/>
              </w:rPr>
              <w:t>185.88</w:t>
            </w:r>
          </w:p>
        </w:tc>
        <w:tc>
          <w:tcPr>
            <w:tcW w:w="1870" w:type="dxa"/>
            <w:tcBorders>
              <w:top w:val="nil"/>
              <w:left w:val="nil"/>
              <w:bottom w:val="nil"/>
              <w:right w:val="nil"/>
            </w:tcBorders>
          </w:tcPr>
          <w:p w14:paraId="79ED000A" w14:textId="40E3644F" w:rsidR="00484ABA" w:rsidRDefault="005832ED" w:rsidP="00E65182">
            <w:pPr>
              <w:spacing w:after="160" w:line="259" w:lineRule="auto"/>
              <w:jc w:val="center"/>
              <w:rPr>
                <w:sz w:val="24"/>
              </w:rPr>
            </w:pPr>
            <w:r>
              <w:rPr>
                <w:sz w:val="24"/>
              </w:rPr>
              <w:t>30.43</w:t>
            </w:r>
          </w:p>
        </w:tc>
      </w:tr>
      <w:tr w:rsidR="00484ABA" w14:paraId="518FC237" w14:textId="77777777" w:rsidTr="00A30E3D">
        <w:tc>
          <w:tcPr>
            <w:tcW w:w="1530" w:type="dxa"/>
            <w:tcBorders>
              <w:top w:val="nil"/>
              <w:left w:val="nil"/>
              <w:bottom w:val="nil"/>
              <w:right w:val="nil"/>
            </w:tcBorders>
          </w:tcPr>
          <w:p w14:paraId="48D91814"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4B7D88A3" w14:textId="21066F80" w:rsidR="00484ABA" w:rsidRDefault="00484ABA" w:rsidP="00E65182">
            <w:pPr>
              <w:spacing w:after="160" w:line="259" w:lineRule="auto"/>
              <w:rPr>
                <w:sz w:val="24"/>
              </w:rPr>
            </w:pPr>
          </w:p>
        </w:tc>
        <w:tc>
          <w:tcPr>
            <w:tcW w:w="1295" w:type="dxa"/>
            <w:tcBorders>
              <w:top w:val="nil"/>
              <w:left w:val="nil"/>
              <w:bottom w:val="nil"/>
              <w:right w:val="nil"/>
            </w:tcBorders>
          </w:tcPr>
          <w:p w14:paraId="70BE8E82" w14:textId="6B923DA7"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29EFB919" w14:textId="59A65FF6" w:rsidR="00484ABA" w:rsidRDefault="004C3BB2" w:rsidP="00E65182">
            <w:pPr>
              <w:spacing w:after="160" w:line="259" w:lineRule="auto"/>
              <w:jc w:val="center"/>
              <w:rPr>
                <w:sz w:val="24"/>
              </w:rPr>
            </w:pPr>
            <w:r>
              <w:rPr>
                <w:sz w:val="24"/>
              </w:rPr>
              <w:t>300.03</w:t>
            </w:r>
          </w:p>
        </w:tc>
        <w:tc>
          <w:tcPr>
            <w:tcW w:w="1870" w:type="dxa"/>
            <w:tcBorders>
              <w:top w:val="nil"/>
              <w:left w:val="nil"/>
              <w:bottom w:val="nil"/>
              <w:right w:val="nil"/>
            </w:tcBorders>
          </w:tcPr>
          <w:p w14:paraId="6C9CAC6D" w14:textId="090D8B9C" w:rsidR="00484ABA" w:rsidRDefault="005832ED" w:rsidP="00E65182">
            <w:pPr>
              <w:spacing w:after="160" w:line="259" w:lineRule="auto"/>
              <w:jc w:val="center"/>
              <w:rPr>
                <w:sz w:val="24"/>
              </w:rPr>
            </w:pPr>
            <w:r>
              <w:rPr>
                <w:sz w:val="24"/>
              </w:rPr>
              <w:t>35.76</w:t>
            </w:r>
          </w:p>
        </w:tc>
      </w:tr>
      <w:tr w:rsidR="00484ABA" w14:paraId="5777167D" w14:textId="77777777" w:rsidTr="00484ABA">
        <w:tc>
          <w:tcPr>
            <w:tcW w:w="1530" w:type="dxa"/>
            <w:tcBorders>
              <w:top w:val="nil"/>
              <w:left w:val="nil"/>
              <w:bottom w:val="nil"/>
              <w:right w:val="nil"/>
            </w:tcBorders>
          </w:tcPr>
          <w:p w14:paraId="131A921F" w14:textId="77777777" w:rsidR="00484ABA" w:rsidRDefault="00484ABA" w:rsidP="00484ABA">
            <w:pPr>
              <w:spacing w:after="160" w:line="259" w:lineRule="auto"/>
              <w:rPr>
                <w:sz w:val="24"/>
              </w:rPr>
            </w:pPr>
            <w:r>
              <w:rPr>
                <w:sz w:val="24"/>
              </w:rPr>
              <w:t>Sigma</w:t>
            </w:r>
          </w:p>
        </w:tc>
        <w:tc>
          <w:tcPr>
            <w:tcW w:w="2785" w:type="dxa"/>
            <w:tcBorders>
              <w:top w:val="nil"/>
              <w:left w:val="nil"/>
              <w:bottom w:val="nil"/>
              <w:right w:val="nil"/>
            </w:tcBorders>
          </w:tcPr>
          <w:p w14:paraId="7D647671" w14:textId="57EDE558" w:rsidR="00484ABA" w:rsidRDefault="00484ABA" w:rsidP="00484ABA">
            <w:pPr>
              <w:spacing w:after="160" w:line="259" w:lineRule="auto"/>
              <w:rPr>
                <w:sz w:val="24"/>
              </w:rPr>
            </w:pPr>
            <w:r>
              <w:rPr>
                <w:sz w:val="24"/>
              </w:rPr>
              <w:t>Alt Runs.</w:t>
            </w:r>
          </w:p>
        </w:tc>
        <w:tc>
          <w:tcPr>
            <w:tcW w:w="1295" w:type="dxa"/>
            <w:tcBorders>
              <w:top w:val="nil"/>
              <w:left w:val="nil"/>
              <w:bottom w:val="nil"/>
              <w:right w:val="nil"/>
            </w:tcBorders>
          </w:tcPr>
          <w:p w14:paraId="6D6908AC" w14:textId="26D7E9DB"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1220BC53" w14:textId="5DA7A530" w:rsidR="00484ABA" w:rsidRDefault="003A6048" w:rsidP="00484ABA">
            <w:pPr>
              <w:spacing w:after="160" w:line="259" w:lineRule="auto"/>
              <w:jc w:val="center"/>
              <w:rPr>
                <w:sz w:val="24"/>
              </w:rPr>
            </w:pPr>
            <w:r>
              <w:rPr>
                <w:sz w:val="24"/>
              </w:rPr>
              <w:t>-34.46</w:t>
            </w:r>
          </w:p>
        </w:tc>
        <w:tc>
          <w:tcPr>
            <w:tcW w:w="1870" w:type="dxa"/>
            <w:tcBorders>
              <w:top w:val="nil"/>
              <w:left w:val="nil"/>
              <w:bottom w:val="nil"/>
              <w:right w:val="nil"/>
            </w:tcBorders>
          </w:tcPr>
          <w:p w14:paraId="0CE56597" w14:textId="7036D2E6" w:rsidR="00484ABA" w:rsidRDefault="005832ED" w:rsidP="00484ABA">
            <w:pPr>
              <w:spacing w:after="160" w:line="259" w:lineRule="auto"/>
              <w:jc w:val="center"/>
              <w:rPr>
                <w:sz w:val="24"/>
              </w:rPr>
            </w:pPr>
            <w:r>
              <w:rPr>
                <w:sz w:val="24"/>
              </w:rPr>
              <w:t>20.19</w:t>
            </w:r>
          </w:p>
        </w:tc>
      </w:tr>
      <w:tr w:rsidR="00484ABA" w14:paraId="34EAC81B" w14:textId="77777777" w:rsidTr="00A30E3D">
        <w:tc>
          <w:tcPr>
            <w:tcW w:w="1530" w:type="dxa"/>
            <w:tcBorders>
              <w:top w:val="nil"/>
              <w:left w:val="nil"/>
              <w:bottom w:val="nil"/>
              <w:right w:val="nil"/>
            </w:tcBorders>
          </w:tcPr>
          <w:p w14:paraId="058080EC"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2DDE87C5" w14:textId="5C843BF8" w:rsidR="00484ABA" w:rsidRDefault="00484ABA" w:rsidP="00484ABA">
            <w:pPr>
              <w:spacing w:after="160" w:line="259" w:lineRule="auto"/>
              <w:rPr>
                <w:sz w:val="24"/>
              </w:rPr>
            </w:pPr>
          </w:p>
        </w:tc>
        <w:tc>
          <w:tcPr>
            <w:tcW w:w="1295" w:type="dxa"/>
            <w:tcBorders>
              <w:top w:val="nil"/>
              <w:left w:val="nil"/>
              <w:bottom w:val="nil"/>
              <w:right w:val="nil"/>
            </w:tcBorders>
          </w:tcPr>
          <w:p w14:paraId="1BDF30F8" w14:textId="5F308D22"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4D0B6695" w14:textId="5B69DEF9" w:rsidR="00484ABA" w:rsidRDefault="003A6048" w:rsidP="00484ABA">
            <w:pPr>
              <w:spacing w:after="160" w:line="259" w:lineRule="auto"/>
              <w:jc w:val="center"/>
              <w:rPr>
                <w:sz w:val="24"/>
              </w:rPr>
            </w:pPr>
            <w:r>
              <w:rPr>
                <w:sz w:val="24"/>
              </w:rPr>
              <w:t>45.02</w:t>
            </w:r>
          </w:p>
        </w:tc>
        <w:tc>
          <w:tcPr>
            <w:tcW w:w="1870" w:type="dxa"/>
            <w:tcBorders>
              <w:top w:val="nil"/>
              <w:left w:val="nil"/>
              <w:bottom w:val="nil"/>
              <w:right w:val="nil"/>
            </w:tcBorders>
          </w:tcPr>
          <w:p w14:paraId="496B500C" w14:textId="4648CA7C" w:rsidR="00484ABA" w:rsidRDefault="005832ED" w:rsidP="00484ABA">
            <w:pPr>
              <w:spacing w:after="160" w:line="259" w:lineRule="auto"/>
              <w:jc w:val="center"/>
              <w:rPr>
                <w:sz w:val="24"/>
              </w:rPr>
            </w:pPr>
            <w:r>
              <w:rPr>
                <w:sz w:val="24"/>
              </w:rPr>
              <w:t>17.84</w:t>
            </w:r>
          </w:p>
        </w:tc>
      </w:tr>
      <w:tr w:rsidR="00484ABA" w14:paraId="19968CDD" w14:textId="77777777" w:rsidTr="00484ABA">
        <w:tc>
          <w:tcPr>
            <w:tcW w:w="1530" w:type="dxa"/>
            <w:tcBorders>
              <w:top w:val="nil"/>
              <w:left w:val="nil"/>
              <w:bottom w:val="nil"/>
              <w:right w:val="nil"/>
            </w:tcBorders>
          </w:tcPr>
          <w:p w14:paraId="2E0B954B"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0D6B1DCA" w14:textId="31C765A5" w:rsidR="00484ABA" w:rsidRDefault="00484ABA" w:rsidP="00484ABA">
            <w:pPr>
              <w:spacing w:after="160" w:line="259" w:lineRule="auto"/>
              <w:rPr>
                <w:sz w:val="24"/>
              </w:rPr>
            </w:pPr>
            <w:r>
              <w:rPr>
                <w:sz w:val="24"/>
              </w:rPr>
              <w:t>Random</w:t>
            </w:r>
          </w:p>
        </w:tc>
        <w:tc>
          <w:tcPr>
            <w:tcW w:w="1295" w:type="dxa"/>
            <w:tcBorders>
              <w:top w:val="nil"/>
              <w:left w:val="nil"/>
              <w:bottom w:val="nil"/>
              <w:right w:val="nil"/>
            </w:tcBorders>
          </w:tcPr>
          <w:p w14:paraId="5D5E58D4" w14:textId="55244903"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6162830E" w14:textId="164E873D" w:rsidR="00484ABA" w:rsidRDefault="003A6048" w:rsidP="00484ABA">
            <w:pPr>
              <w:spacing w:after="160" w:line="259" w:lineRule="auto"/>
              <w:jc w:val="center"/>
              <w:rPr>
                <w:sz w:val="24"/>
              </w:rPr>
            </w:pPr>
            <w:r>
              <w:rPr>
                <w:sz w:val="24"/>
              </w:rPr>
              <w:t>-54.96</w:t>
            </w:r>
          </w:p>
        </w:tc>
        <w:tc>
          <w:tcPr>
            <w:tcW w:w="1870" w:type="dxa"/>
            <w:tcBorders>
              <w:top w:val="nil"/>
              <w:left w:val="nil"/>
              <w:bottom w:val="nil"/>
              <w:right w:val="nil"/>
            </w:tcBorders>
          </w:tcPr>
          <w:p w14:paraId="1B4AA487" w14:textId="6A51A71D" w:rsidR="00484ABA" w:rsidRDefault="005832ED" w:rsidP="00484ABA">
            <w:pPr>
              <w:spacing w:after="160" w:line="259" w:lineRule="auto"/>
              <w:jc w:val="center"/>
              <w:rPr>
                <w:sz w:val="24"/>
              </w:rPr>
            </w:pPr>
            <w:r>
              <w:rPr>
                <w:sz w:val="24"/>
              </w:rPr>
              <w:t>22.24</w:t>
            </w:r>
          </w:p>
        </w:tc>
      </w:tr>
      <w:tr w:rsidR="00484ABA" w14:paraId="181846F8" w14:textId="77777777" w:rsidTr="00A30E3D">
        <w:tc>
          <w:tcPr>
            <w:tcW w:w="1530" w:type="dxa"/>
            <w:tcBorders>
              <w:top w:val="nil"/>
              <w:left w:val="nil"/>
              <w:bottom w:val="nil"/>
              <w:right w:val="nil"/>
            </w:tcBorders>
          </w:tcPr>
          <w:p w14:paraId="3FA6A824"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778D4D35" w14:textId="499329BB" w:rsidR="00484ABA" w:rsidRDefault="00484ABA" w:rsidP="00484ABA">
            <w:pPr>
              <w:spacing w:after="160" w:line="259" w:lineRule="auto"/>
              <w:rPr>
                <w:sz w:val="24"/>
              </w:rPr>
            </w:pPr>
          </w:p>
        </w:tc>
        <w:tc>
          <w:tcPr>
            <w:tcW w:w="1295" w:type="dxa"/>
            <w:tcBorders>
              <w:top w:val="nil"/>
              <w:left w:val="nil"/>
              <w:bottom w:val="nil"/>
              <w:right w:val="nil"/>
            </w:tcBorders>
          </w:tcPr>
          <w:p w14:paraId="39A28D0E" w14:textId="09017BB0"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02D7EC2F" w14:textId="1951380C" w:rsidR="00484ABA" w:rsidRDefault="003A6048" w:rsidP="00484ABA">
            <w:pPr>
              <w:spacing w:after="160" w:line="259" w:lineRule="auto"/>
              <w:jc w:val="center"/>
              <w:rPr>
                <w:sz w:val="24"/>
              </w:rPr>
            </w:pPr>
            <w:r>
              <w:rPr>
                <w:sz w:val="24"/>
              </w:rPr>
              <w:t>40.55</w:t>
            </w:r>
          </w:p>
        </w:tc>
        <w:tc>
          <w:tcPr>
            <w:tcW w:w="1870" w:type="dxa"/>
            <w:tcBorders>
              <w:top w:val="nil"/>
              <w:left w:val="nil"/>
              <w:bottom w:val="nil"/>
              <w:right w:val="nil"/>
            </w:tcBorders>
          </w:tcPr>
          <w:p w14:paraId="308C795A" w14:textId="2BB92F84" w:rsidR="00484ABA" w:rsidRDefault="005832ED" w:rsidP="00484ABA">
            <w:pPr>
              <w:spacing w:after="160" w:line="259" w:lineRule="auto"/>
              <w:jc w:val="center"/>
              <w:rPr>
                <w:sz w:val="24"/>
              </w:rPr>
            </w:pPr>
            <w:r>
              <w:rPr>
                <w:sz w:val="24"/>
              </w:rPr>
              <w:t>22.00</w:t>
            </w:r>
          </w:p>
        </w:tc>
      </w:tr>
      <w:tr w:rsidR="00484ABA" w14:paraId="443E1DA9" w14:textId="77777777" w:rsidTr="00484ABA">
        <w:tc>
          <w:tcPr>
            <w:tcW w:w="1530" w:type="dxa"/>
            <w:tcBorders>
              <w:top w:val="nil"/>
              <w:left w:val="nil"/>
              <w:bottom w:val="nil"/>
              <w:right w:val="nil"/>
            </w:tcBorders>
          </w:tcPr>
          <w:p w14:paraId="76675755" w14:textId="77777777" w:rsidR="00484ABA" w:rsidRDefault="00484ABA" w:rsidP="00484ABA">
            <w:pPr>
              <w:spacing w:after="160" w:line="259" w:lineRule="auto"/>
              <w:rPr>
                <w:sz w:val="24"/>
              </w:rPr>
            </w:pPr>
            <w:r>
              <w:rPr>
                <w:sz w:val="24"/>
              </w:rPr>
              <w:t>Tau</w:t>
            </w:r>
          </w:p>
        </w:tc>
        <w:tc>
          <w:tcPr>
            <w:tcW w:w="2785" w:type="dxa"/>
            <w:tcBorders>
              <w:top w:val="nil"/>
              <w:left w:val="nil"/>
              <w:bottom w:val="nil"/>
              <w:right w:val="nil"/>
            </w:tcBorders>
          </w:tcPr>
          <w:p w14:paraId="758E3D67" w14:textId="0EBC4805" w:rsidR="00484ABA" w:rsidRDefault="00484ABA"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484ABA" w:rsidRDefault="003A6048"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484ABA" w:rsidRDefault="005832ED" w:rsidP="00484ABA">
            <w:pPr>
              <w:spacing w:after="160" w:line="259" w:lineRule="auto"/>
              <w:jc w:val="center"/>
              <w:rPr>
                <w:sz w:val="24"/>
              </w:rPr>
            </w:pPr>
            <w:r>
              <w:rPr>
                <w:sz w:val="24"/>
              </w:rPr>
              <w:t>37.36</w:t>
            </w:r>
          </w:p>
        </w:tc>
      </w:tr>
      <w:tr w:rsidR="00484ABA" w14:paraId="043187F2" w14:textId="77777777" w:rsidTr="00A30E3D">
        <w:tc>
          <w:tcPr>
            <w:tcW w:w="1530" w:type="dxa"/>
            <w:tcBorders>
              <w:top w:val="nil"/>
              <w:left w:val="nil"/>
              <w:bottom w:val="nil"/>
              <w:right w:val="nil"/>
            </w:tcBorders>
          </w:tcPr>
          <w:p w14:paraId="18102F5B"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3FF56B42" w14:textId="6823B092" w:rsidR="00484ABA" w:rsidRDefault="00484ABA" w:rsidP="00484ABA">
            <w:pPr>
              <w:spacing w:after="160" w:line="259" w:lineRule="auto"/>
              <w:rPr>
                <w:sz w:val="24"/>
              </w:rPr>
            </w:pPr>
          </w:p>
        </w:tc>
        <w:tc>
          <w:tcPr>
            <w:tcW w:w="1295" w:type="dxa"/>
            <w:tcBorders>
              <w:top w:val="nil"/>
              <w:left w:val="nil"/>
              <w:bottom w:val="nil"/>
              <w:right w:val="nil"/>
            </w:tcBorders>
          </w:tcPr>
          <w:p w14:paraId="02418274" w14:textId="5307A207"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484ABA" w:rsidRDefault="003A6048"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484ABA" w:rsidRDefault="005832ED" w:rsidP="00484ABA">
            <w:pPr>
              <w:spacing w:after="160" w:line="259" w:lineRule="auto"/>
              <w:jc w:val="center"/>
              <w:rPr>
                <w:sz w:val="24"/>
              </w:rPr>
            </w:pPr>
            <w:r>
              <w:rPr>
                <w:sz w:val="24"/>
              </w:rPr>
              <w:t>44.35</w:t>
            </w:r>
          </w:p>
        </w:tc>
      </w:tr>
      <w:tr w:rsidR="00484ABA" w14:paraId="1EADCAD4" w14:textId="77777777" w:rsidTr="00484ABA">
        <w:tc>
          <w:tcPr>
            <w:tcW w:w="1530" w:type="dxa"/>
            <w:tcBorders>
              <w:top w:val="nil"/>
              <w:left w:val="nil"/>
              <w:bottom w:val="nil"/>
              <w:right w:val="nil"/>
            </w:tcBorders>
          </w:tcPr>
          <w:p w14:paraId="7B38F007"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525D47AF" w14:textId="0D8252B6" w:rsidR="00484ABA" w:rsidRDefault="00484ABA"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484ABA" w:rsidRDefault="003A6048"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484ABA" w:rsidRDefault="005832ED" w:rsidP="00484ABA">
            <w:pPr>
              <w:spacing w:after="160" w:line="259" w:lineRule="auto"/>
              <w:jc w:val="center"/>
              <w:rPr>
                <w:sz w:val="24"/>
              </w:rPr>
            </w:pPr>
            <w:r>
              <w:rPr>
                <w:sz w:val="24"/>
              </w:rPr>
              <w:t>28.42</w:t>
            </w:r>
          </w:p>
        </w:tc>
      </w:tr>
      <w:tr w:rsidR="00484ABA" w14:paraId="5560DBF3" w14:textId="77777777" w:rsidTr="00484ABA">
        <w:tc>
          <w:tcPr>
            <w:tcW w:w="1530" w:type="dxa"/>
            <w:tcBorders>
              <w:top w:val="nil"/>
              <w:left w:val="nil"/>
              <w:bottom w:val="single" w:sz="4" w:space="0" w:color="auto"/>
              <w:right w:val="nil"/>
            </w:tcBorders>
          </w:tcPr>
          <w:p w14:paraId="0C4AE3B6" w14:textId="77777777" w:rsidR="00484ABA" w:rsidRDefault="00484ABA" w:rsidP="00484ABA">
            <w:pPr>
              <w:spacing w:after="160" w:line="259" w:lineRule="auto"/>
              <w:rPr>
                <w:sz w:val="24"/>
              </w:rPr>
            </w:pPr>
          </w:p>
        </w:tc>
        <w:tc>
          <w:tcPr>
            <w:tcW w:w="2785" w:type="dxa"/>
            <w:tcBorders>
              <w:top w:val="nil"/>
              <w:left w:val="nil"/>
              <w:bottom w:val="single" w:sz="4" w:space="0" w:color="auto"/>
              <w:right w:val="nil"/>
            </w:tcBorders>
          </w:tcPr>
          <w:p w14:paraId="300E758A" w14:textId="42764E70" w:rsidR="00484ABA" w:rsidRDefault="00484ABA"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484ABA" w:rsidRDefault="00F12E1D"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484ABA" w:rsidRDefault="003A6048"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484ABA" w:rsidRDefault="005832ED" w:rsidP="00484ABA">
            <w:pPr>
              <w:spacing w:after="160" w:line="259" w:lineRule="auto"/>
              <w:jc w:val="center"/>
              <w:rPr>
                <w:sz w:val="24"/>
              </w:rPr>
            </w:pPr>
            <w:r>
              <w:rPr>
                <w:sz w:val="24"/>
              </w:rPr>
              <w:t>36.00</w:t>
            </w:r>
          </w:p>
        </w:tc>
      </w:tr>
    </w:tbl>
    <w:p w14:paraId="1C8B8ADA" w14:textId="3DE8E6CD" w:rsidR="00A319AF" w:rsidRDefault="00A319AF">
      <w:pPr>
        <w:spacing w:after="160" w:line="259" w:lineRule="auto"/>
        <w:rPr>
          <w:sz w:val="24"/>
          <w:highlight w:val="green"/>
        </w:rPr>
      </w:pPr>
      <w:r>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k Maxwell" w:date="2022-03-22T10:35:00Z" w:initials="NM">
    <w:p w14:paraId="7D0ECBD2" w14:textId="081731DD" w:rsidR="0008765C" w:rsidRDefault="0008765C">
      <w:pPr>
        <w:pStyle w:val="CommentText"/>
      </w:pPr>
      <w:r>
        <w:rPr>
          <w:rStyle w:val="CommentReference"/>
        </w:rPr>
        <w:annotationRef/>
      </w:r>
      <w:r>
        <w:t>Should I just round this to zero?</w:t>
      </w:r>
    </w:p>
  </w:comment>
  <w:comment w:id="14" w:author="Nick Maxwell" w:date="2022-05-04T15:14:00Z" w:initials="NM">
    <w:p w14:paraId="4DA55067" w14:textId="2814379C" w:rsidR="003E5F00" w:rsidRDefault="003E5F00">
      <w:pPr>
        <w:pStyle w:val="CommentText"/>
      </w:pPr>
      <w:r>
        <w:rPr>
          <w:rStyle w:val="CommentReference"/>
        </w:rPr>
        <w:annotationRef/>
      </w:r>
      <w:r>
        <w:t>I tried modeling these two paragraphs after your 2015 paper.</w:t>
      </w:r>
    </w:p>
  </w:comment>
  <w:comment w:id="18" w:author="Nick Maxwell" w:date="2022-05-02T18:30:00Z" w:initials="NM">
    <w:p w14:paraId="4EA22159" w14:textId="248DAFCB" w:rsidR="001D4CE0" w:rsidRDefault="001D4CE0">
      <w:pPr>
        <w:pStyle w:val="CommentText"/>
      </w:pPr>
      <w:r>
        <w:rPr>
          <w:rStyle w:val="CommentReference"/>
        </w:rPr>
        <w:annotationRef/>
      </w:r>
      <w:r>
        <w:t>All comparisons come out significant, even though looking at the graph it doesn’t appear that way. I may need you to take a look at the data and see if I’m off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7D0ECBD2" w15:done="0"/>
  <w15:commentEx w15:paraId="4DA55067" w15:done="0"/>
  <w15:commentEx w15:paraId="4EA221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E424F5" w16cex:dateUtc="2022-03-22T15:35:00Z"/>
  <w16cex:commentExtensible w16cex:durableId="261D16DF" w16cex:dateUtc="2022-05-04T20:14:00Z"/>
  <w16cex:commentExtensible w16cex:durableId="261AA1C9" w16cex:dateUtc="2022-05-02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7D0ECBD2" w16cid:durableId="25E424F5"/>
  <w16cid:commentId w16cid:paraId="4DA55067" w16cid:durableId="261D16DF"/>
  <w16cid:commentId w16cid:paraId="4EA22159" w16cid:durableId="261AA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AD76" w14:textId="77777777" w:rsidR="00BF3BC6" w:rsidRDefault="00BF3BC6" w:rsidP="006C0CFD">
      <w:r>
        <w:separator/>
      </w:r>
    </w:p>
  </w:endnote>
  <w:endnote w:type="continuationSeparator" w:id="0">
    <w:p w14:paraId="529E1291" w14:textId="77777777" w:rsidR="00BF3BC6" w:rsidRDefault="00BF3BC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6EF69" w14:textId="77777777" w:rsidR="00BF3BC6" w:rsidRDefault="00BF3BC6" w:rsidP="006C0CFD">
      <w:r>
        <w:separator/>
      </w:r>
    </w:p>
  </w:footnote>
  <w:footnote w:type="continuationSeparator" w:id="0">
    <w:p w14:paraId="5718B13F" w14:textId="77777777" w:rsidR="00BF3BC6" w:rsidRDefault="00BF3BC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250B"/>
    <w:rsid w:val="00005498"/>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D0"/>
    <w:rsid w:val="000677F6"/>
    <w:rsid w:val="00071E46"/>
    <w:rsid w:val="00074376"/>
    <w:rsid w:val="00080800"/>
    <w:rsid w:val="00085717"/>
    <w:rsid w:val="0008587D"/>
    <w:rsid w:val="0008765C"/>
    <w:rsid w:val="00090106"/>
    <w:rsid w:val="00090863"/>
    <w:rsid w:val="00092C23"/>
    <w:rsid w:val="00094E7B"/>
    <w:rsid w:val="000A0443"/>
    <w:rsid w:val="000A3D21"/>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288C"/>
    <w:rsid w:val="00116BE8"/>
    <w:rsid w:val="0011730F"/>
    <w:rsid w:val="00117E0C"/>
    <w:rsid w:val="00122041"/>
    <w:rsid w:val="001239AF"/>
    <w:rsid w:val="00125B2D"/>
    <w:rsid w:val="001306BB"/>
    <w:rsid w:val="00134209"/>
    <w:rsid w:val="00134515"/>
    <w:rsid w:val="00135F5C"/>
    <w:rsid w:val="00136EF8"/>
    <w:rsid w:val="00140781"/>
    <w:rsid w:val="00142BE6"/>
    <w:rsid w:val="00145854"/>
    <w:rsid w:val="00146E5D"/>
    <w:rsid w:val="0015253C"/>
    <w:rsid w:val="00161DF2"/>
    <w:rsid w:val="00162266"/>
    <w:rsid w:val="001625AB"/>
    <w:rsid w:val="0016374A"/>
    <w:rsid w:val="00171113"/>
    <w:rsid w:val="00175CDF"/>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D4CE0"/>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87370"/>
    <w:rsid w:val="002901F9"/>
    <w:rsid w:val="00290B89"/>
    <w:rsid w:val="00292525"/>
    <w:rsid w:val="002930B3"/>
    <w:rsid w:val="0029560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00A9"/>
    <w:rsid w:val="003711D8"/>
    <w:rsid w:val="00371634"/>
    <w:rsid w:val="00371B37"/>
    <w:rsid w:val="00372F8B"/>
    <w:rsid w:val="003739CB"/>
    <w:rsid w:val="003741B6"/>
    <w:rsid w:val="00374DCC"/>
    <w:rsid w:val="003762B6"/>
    <w:rsid w:val="003805EA"/>
    <w:rsid w:val="00380E52"/>
    <w:rsid w:val="003814BE"/>
    <w:rsid w:val="00384C13"/>
    <w:rsid w:val="00385D1B"/>
    <w:rsid w:val="0039079F"/>
    <w:rsid w:val="00391DBC"/>
    <w:rsid w:val="00391FF8"/>
    <w:rsid w:val="003950D6"/>
    <w:rsid w:val="0039633A"/>
    <w:rsid w:val="003A3D0B"/>
    <w:rsid w:val="003A6048"/>
    <w:rsid w:val="003A77AF"/>
    <w:rsid w:val="003B5619"/>
    <w:rsid w:val="003B7898"/>
    <w:rsid w:val="003C289B"/>
    <w:rsid w:val="003D065E"/>
    <w:rsid w:val="003D7632"/>
    <w:rsid w:val="003D7DAA"/>
    <w:rsid w:val="003E0286"/>
    <w:rsid w:val="003E1813"/>
    <w:rsid w:val="003E3F3C"/>
    <w:rsid w:val="003E421C"/>
    <w:rsid w:val="003E4DA6"/>
    <w:rsid w:val="003E5F00"/>
    <w:rsid w:val="003E73CA"/>
    <w:rsid w:val="003F1610"/>
    <w:rsid w:val="003F1FE2"/>
    <w:rsid w:val="003F2E4C"/>
    <w:rsid w:val="003F52DD"/>
    <w:rsid w:val="003F64A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54122"/>
    <w:rsid w:val="0046090A"/>
    <w:rsid w:val="004612B1"/>
    <w:rsid w:val="0046346B"/>
    <w:rsid w:val="00463C44"/>
    <w:rsid w:val="00464CD1"/>
    <w:rsid w:val="00474FB6"/>
    <w:rsid w:val="00483949"/>
    <w:rsid w:val="00484ABA"/>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C3BB2"/>
    <w:rsid w:val="004E5E21"/>
    <w:rsid w:val="004E7DE1"/>
    <w:rsid w:val="004F23AB"/>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27F50"/>
    <w:rsid w:val="00532522"/>
    <w:rsid w:val="0053263F"/>
    <w:rsid w:val="00533654"/>
    <w:rsid w:val="00534402"/>
    <w:rsid w:val="00541114"/>
    <w:rsid w:val="00544BB4"/>
    <w:rsid w:val="00551D45"/>
    <w:rsid w:val="0055768B"/>
    <w:rsid w:val="00557A26"/>
    <w:rsid w:val="005725DE"/>
    <w:rsid w:val="005814C6"/>
    <w:rsid w:val="0058239B"/>
    <w:rsid w:val="005832ED"/>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046"/>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05C9"/>
    <w:rsid w:val="0068160A"/>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D7F4A"/>
    <w:rsid w:val="006E1254"/>
    <w:rsid w:val="006E569E"/>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58E6"/>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69D7"/>
    <w:rsid w:val="00757F1B"/>
    <w:rsid w:val="00765917"/>
    <w:rsid w:val="00767D39"/>
    <w:rsid w:val="00772C7A"/>
    <w:rsid w:val="0077407F"/>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6AAF"/>
    <w:rsid w:val="007F73ED"/>
    <w:rsid w:val="00802935"/>
    <w:rsid w:val="00804794"/>
    <w:rsid w:val="00814F2A"/>
    <w:rsid w:val="008157C1"/>
    <w:rsid w:val="00816640"/>
    <w:rsid w:val="00823A97"/>
    <w:rsid w:val="008309F0"/>
    <w:rsid w:val="0083282E"/>
    <w:rsid w:val="00834A60"/>
    <w:rsid w:val="00837C77"/>
    <w:rsid w:val="00841240"/>
    <w:rsid w:val="008448BB"/>
    <w:rsid w:val="00845854"/>
    <w:rsid w:val="00845ED9"/>
    <w:rsid w:val="00854157"/>
    <w:rsid w:val="00854C0B"/>
    <w:rsid w:val="00857217"/>
    <w:rsid w:val="008679BD"/>
    <w:rsid w:val="00867B6A"/>
    <w:rsid w:val="00871113"/>
    <w:rsid w:val="008759CB"/>
    <w:rsid w:val="00877635"/>
    <w:rsid w:val="008779E3"/>
    <w:rsid w:val="00877DA3"/>
    <w:rsid w:val="008831D1"/>
    <w:rsid w:val="00887054"/>
    <w:rsid w:val="008932B9"/>
    <w:rsid w:val="00893BFE"/>
    <w:rsid w:val="00897D5A"/>
    <w:rsid w:val="008A14C3"/>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29AD"/>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399E"/>
    <w:rsid w:val="009A6AEA"/>
    <w:rsid w:val="009A730A"/>
    <w:rsid w:val="009B186D"/>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22E92"/>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66F1E"/>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7E6"/>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5A5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376A"/>
    <w:rsid w:val="00BC4F5F"/>
    <w:rsid w:val="00BC57E3"/>
    <w:rsid w:val="00BC62E4"/>
    <w:rsid w:val="00BD30B1"/>
    <w:rsid w:val="00BD3821"/>
    <w:rsid w:val="00BD758E"/>
    <w:rsid w:val="00BE5A2E"/>
    <w:rsid w:val="00BF333D"/>
    <w:rsid w:val="00BF37FA"/>
    <w:rsid w:val="00BF3822"/>
    <w:rsid w:val="00BF3BC6"/>
    <w:rsid w:val="00BF3F7D"/>
    <w:rsid w:val="00BF471B"/>
    <w:rsid w:val="00BF60F4"/>
    <w:rsid w:val="00BF7C9F"/>
    <w:rsid w:val="00C01F18"/>
    <w:rsid w:val="00C02DB0"/>
    <w:rsid w:val="00C078F2"/>
    <w:rsid w:val="00C15B1F"/>
    <w:rsid w:val="00C15F19"/>
    <w:rsid w:val="00C173F3"/>
    <w:rsid w:val="00C224A2"/>
    <w:rsid w:val="00C237D9"/>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C46E3"/>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43F4"/>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128F"/>
    <w:rsid w:val="00DF3666"/>
    <w:rsid w:val="00E02677"/>
    <w:rsid w:val="00E0443B"/>
    <w:rsid w:val="00E064AD"/>
    <w:rsid w:val="00E06A88"/>
    <w:rsid w:val="00E10005"/>
    <w:rsid w:val="00E121BB"/>
    <w:rsid w:val="00E123AB"/>
    <w:rsid w:val="00E12C01"/>
    <w:rsid w:val="00E13253"/>
    <w:rsid w:val="00E13BF6"/>
    <w:rsid w:val="00E14C0A"/>
    <w:rsid w:val="00E15315"/>
    <w:rsid w:val="00E20980"/>
    <w:rsid w:val="00E20D9F"/>
    <w:rsid w:val="00E30E10"/>
    <w:rsid w:val="00E31D2C"/>
    <w:rsid w:val="00E3249E"/>
    <w:rsid w:val="00E34923"/>
    <w:rsid w:val="00E3518A"/>
    <w:rsid w:val="00E427AD"/>
    <w:rsid w:val="00E43F0A"/>
    <w:rsid w:val="00E45BCC"/>
    <w:rsid w:val="00E475A1"/>
    <w:rsid w:val="00E51CD7"/>
    <w:rsid w:val="00E6314B"/>
    <w:rsid w:val="00E65C36"/>
    <w:rsid w:val="00E66033"/>
    <w:rsid w:val="00E71703"/>
    <w:rsid w:val="00E7525E"/>
    <w:rsid w:val="00E814B8"/>
    <w:rsid w:val="00E82E82"/>
    <w:rsid w:val="00E836F5"/>
    <w:rsid w:val="00E85325"/>
    <w:rsid w:val="00E915A3"/>
    <w:rsid w:val="00E939A3"/>
    <w:rsid w:val="00E9515E"/>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0A2C"/>
    <w:rsid w:val="00EF6672"/>
    <w:rsid w:val="00F0022D"/>
    <w:rsid w:val="00F02CC9"/>
    <w:rsid w:val="00F04662"/>
    <w:rsid w:val="00F0759E"/>
    <w:rsid w:val="00F07608"/>
    <w:rsid w:val="00F101E2"/>
    <w:rsid w:val="00F12E1D"/>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172F"/>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7980</TotalTime>
  <Pages>28</Pages>
  <Words>5767</Words>
  <Characters>32877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830</cp:revision>
  <cp:lastPrinted>2021-12-09T19:35:00Z</cp:lastPrinted>
  <dcterms:created xsi:type="dcterms:W3CDTF">2019-07-24T18:36:00Z</dcterms:created>
  <dcterms:modified xsi:type="dcterms:W3CDTF">2022-05-04T20:14:00Z</dcterms:modified>
</cp:coreProperties>
</file>