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4" w:name="page3"/>
      <w:bookmarkEnd w:id="4"/>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5"/>
      <w:r w:rsidR="002258EE" w:rsidRPr="002258EE">
        <w:rPr>
          <w:sz w:val="24"/>
          <w:highlight w:val="yellow"/>
        </w:rPr>
        <w:t>USEFUL]</w:t>
      </w:r>
      <w:commentRangeEnd w:id="5"/>
      <w:r w:rsidR="008448BB">
        <w:rPr>
          <w:rStyle w:val="CommentReference"/>
        </w:rPr>
        <w:commentReference w:id="5"/>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61398E80"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 analyze RT</w:t>
      </w:r>
      <w:r w:rsidR="00C50472">
        <w:rPr>
          <w:sz w:val="24"/>
        </w:rPr>
        <w:t xml:space="preserve"> distributions</w:t>
      </w:r>
      <w:r w:rsidR="00090863">
        <w:rPr>
          <w:sz w:val="24"/>
        </w:rPr>
        <w:t xml:space="preserve"> using two types of analyses</w:t>
      </w:r>
      <w:r w:rsidR="0050688F">
        <w:rPr>
          <w:sz w:val="24"/>
        </w:rPr>
        <w:t xml:space="preserve">: Averaging RTs across participants and binning them via a </w:t>
      </w:r>
      <w:proofErr w:type="spellStart"/>
      <w:r w:rsidR="0050688F">
        <w:rPr>
          <w:sz w:val="24"/>
        </w:rPr>
        <w:t>Vincentile</w:t>
      </w:r>
      <w:proofErr w:type="spellEnd"/>
      <w:r w:rsidR="0050688F">
        <w:rPr>
          <w:sz w:val="24"/>
        </w:rPr>
        <w:t xml:space="preserve"> analysis and fitting individual RTs to an 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692C50">
        <w:rPr>
          <w:sz w:val="24"/>
        </w:rPr>
        <w:lastRenderedPageBreak/>
        <w:t xml:space="preserve">Vincentile analyses using four bins </w:t>
      </w:r>
      <w:r w:rsidR="00834A60">
        <w:rPr>
          <w:sz w:val="24"/>
        </w:rPr>
        <w:t xml:space="preserve">would first order a participants RTs from fastest to slowest. Next, the first 25% of the data would be averaged, followed by the second 25%, third the 25%, and the final 25%. </w:t>
      </w:r>
      <w:proofErr w:type="spellStart"/>
      <w:r w:rsidR="00834A60">
        <w:rPr>
          <w:sz w:val="24"/>
        </w:rPr>
        <w:t>Vincentiles</w:t>
      </w:r>
      <w:proofErr w:type="spellEnd"/>
      <w:r w:rsidR="00834A60">
        <w:rPr>
          <w:sz w:val="24"/>
        </w:rPr>
        <w:t xml:space="preserve"> are then averaged across participants.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Pr>
          <w:sz w:val="24"/>
        </w:rPr>
        <w:t>[EX-GAUSS HERE]</w:t>
      </w:r>
      <w:commentRangeEnd w:id="8"/>
      <w:r w:rsidR="000C6DCE">
        <w:rPr>
          <w:rStyle w:val="CommentReference"/>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9"/>
      <w:r>
        <w:rPr>
          <w:b/>
          <w:bCs/>
          <w:sz w:val="24"/>
        </w:rPr>
        <w:t>Alternating Runs vs. Random Switching</w:t>
      </w:r>
      <w:commentRangeEnd w:id="9"/>
      <w:r>
        <w:rPr>
          <w:rStyle w:val="CommentReference"/>
        </w:rPr>
        <w:commentReference w:id="9"/>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6FEB2E8"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w:t>
      </w:r>
      <w:r w:rsidR="008E1C19">
        <w:rPr>
          <w:sz w:val="24"/>
        </w:rPr>
        <w:lastRenderedPageBreak/>
        <w:t>credit</w:t>
      </w:r>
      <w:r>
        <w:rPr>
          <w:sz w:val="24"/>
        </w:rPr>
        <w:t xml:space="preserve">. </w:t>
      </w:r>
      <w:r w:rsidR="005F2B3A">
        <w:rPr>
          <w:sz w:val="24"/>
        </w:rPr>
        <w:t xml:space="preserve">Data from </w:t>
      </w:r>
      <w:r w:rsidR="00AD207B">
        <w:rPr>
          <w:sz w:val="24"/>
        </w:rPr>
        <w:t>11</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2DD7BDF6" w:rsidR="00F02CC9" w:rsidRPr="003268DB" w:rsidRDefault="008D7E9F" w:rsidP="00CB5A82">
      <w:pPr>
        <w:spacing w:line="480" w:lineRule="auto"/>
        <w:ind w:firstLine="720"/>
        <w:rPr>
          <w:sz w:val="24"/>
        </w:rPr>
      </w:pPr>
      <w:r>
        <w:rPr>
          <w:sz w:val="24"/>
        </w:rPr>
        <w:t xml:space="preserve">A series of </w:t>
      </w:r>
      <w:r w:rsidR="000F1660">
        <w:rPr>
          <w:sz w:val="24"/>
        </w:rPr>
        <w:t>letter-number</w:t>
      </w:r>
      <w:r>
        <w:rPr>
          <w:sz w:val="24"/>
        </w:rPr>
        <w:t xml:space="preserve"> stimulus pairs (e.g., A 15) were </w:t>
      </w:r>
      <w:r w:rsidR="00D67620">
        <w:rPr>
          <w:sz w:val="24"/>
        </w:rPr>
        <w:t xml:space="preserve">randomly </w:t>
      </w:r>
      <w:r w:rsidR="00F34652">
        <w:rPr>
          <w:sz w:val="24"/>
        </w:rPr>
        <w:t>generated</w:t>
      </w:r>
      <w:r w:rsidR="00D67620">
        <w:rPr>
          <w:sz w:val="24"/>
        </w:rPr>
        <w:t xml:space="preserve"> using the following process.</w:t>
      </w:r>
      <w:r w:rsidR="00DE3205">
        <w:rPr>
          <w:sz w:val="24"/>
        </w:rPr>
        <w:t xml:space="preserve"> </w:t>
      </w:r>
      <w:r w:rsidR="00D67620">
        <w:rPr>
          <w:sz w:val="24"/>
        </w:rPr>
        <w:t xml:space="preserve">First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5B4F66AB"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(Pure Blocks) or </w:t>
      </w:r>
      <w:r w:rsidR="00610945">
        <w:rPr>
          <w:sz w:val="24"/>
        </w:rPr>
        <w:t xml:space="preserve">as a function of </w:t>
      </w:r>
      <w:r w:rsidR="00423011">
        <w:rPr>
          <w:sz w:val="24"/>
        </w:rPr>
        <w:t xml:space="preserve">trial (Switch Blocks).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w:t>
      </w:r>
      <w:r w:rsidR="00D00B0B">
        <w:rPr>
          <w:sz w:val="24"/>
        </w:rPr>
        <w:lastRenderedPageBreak/>
        <w:t xml:space="preserve">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p>
    <w:p w14:paraId="038FE67B" w14:textId="6B83073E" w:rsidR="00162266"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Participants </w:t>
      </w:r>
      <w:r w:rsidR="00DC27A1">
        <w:rPr>
          <w:sz w:val="24"/>
        </w:rPr>
        <w:t xml:space="preserve">first completed a set of 10 practice trials which corresponded to the first pure block and received verbal feedback on their performance. Following completion of the initial practice trials, participants </w:t>
      </w:r>
      <w:r w:rsidR="00525188">
        <w:rPr>
          <w:sz w:val="24"/>
        </w:rPr>
        <w:t xml:space="preserve">were presented with </w:t>
      </w:r>
      <w:r w:rsidR="00DC27A1">
        <w:rPr>
          <w:sz w:val="24"/>
        </w:rPr>
        <w:t xml:space="preserve">the first of </w:t>
      </w:r>
      <w:r>
        <w:rPr>
          <w:sz w:val="24"/>
        </w:rPr>
        <w:t xml:space="preserve">two pure blocks in which they completed </w:t>
      </w:r>
      <w:r w:rsidR="005A30CD">
        <w:rPr>
          <w:sz w:val="24"/>
        </w:rPr>
        <w:t>either</w:t>
      </w:r>
      <w:r>
        <w:rPr>
          <w:sz w:val="24"/>
        </w:rPr>
        <w:t xml:space="preserve"> the CV or OE task. These </w:t>
      </w:r>
      <w:r w:rsidR="005A30CD">
        <w:rPr>
          <w:sz w:val="24"/>
        </w:rPr>
        <w:t xml:space="preserve">pure </w:t>
      </w:r>
      <w:r>
        <w:rPr>
          <w:sz w:val="24"/>
        </w:rPr>
        <w:t xml:space="preserve">blocks each contained 96 trials, with one 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r w:rsidR="005A30CD">
        <w:rPr>
          <w:sz w:val="24"/>
        </w:rPr>
        <w:t>After completing the two</w:t>
      </w:r>
      <w:r w:rsidR="00525188">
        <w:rPr>
          <w:sz w:val="24"/>
        </w:rPr>
        <w:t xml:space="preserve"> pure blocks, participants began the </w:t>
      </w:r>
      <w:r w:rsidR="00162266">
        <w:rPr>
          <w:sz w:val="24"/>
        </w:rPr>
        <w:t xml:space="preserve">two </w:t>
      </w:r>
      <w:r w:rsidR="00525188">
        <w:rPr>
          <w:sz w:val="24"/>
        </w:rPr>
        <w:t>switch blocks.</w:t>
      </w:r>
      <w:r w:rsidR="00162266">
        <w:rPr>
          <w:sz w:val="24"/>
        </w:rPr>
        <w:t xml:space="preserve"> In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5A30CD">
        <w:rPr>
          <w:sz w:val="24"/>
        </w:rPr>
        <w:t>is</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contained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w:t>
      </w:r>
      <w:r w:rsidR="00162266">
        <w:rPr>
          <w:sz w:val="24"/>
        </w:rPr>
        <w:lastRenderedPageBreak/>
        <w:t>the</w:t>
      </w:r>
      <w:r w:rsidR="00092C23">
        <w:rPr>
          <w:sz w:val="24"/>
        </w:rPr>
        <w:t>se</w:t>
      </w:r>
      <w:r w:rsidR="00162266">
        <w:rPr>
          <w:sz w:val="24"/>
        </w:rPr>
        <w:t xml:space="preserve"> two presentation modes.</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Block presentation was randomized across participants; however, f</w:t>
      </w:r>
      <w:r w:rsidR="00037E56">
        <w:rPr>
          <w:sz w:val="24"/>
        </w:rPr>
        <w:t xml:space="preserve">ollowing the design of Huff et al. (2015), 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p>
    <w:p w14:paraId="7D57EB28" w14:textId="32B68BA1"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using E-Prime 3.0 software </w:t>
      </w:r>
      <w:r w:rsidR="003B5619" w:rsidRPr="003B5619">
        <w:rPr>
          <w:sz w:val="24"/>
          <w:highlight w:val="cyan"/>
        </w:rPr>
        <w:t>[CITE]</w:t>
      </w:r>
      <w:r w:rsidR="003B5619">
        <w:rPr>
          <w:sz w:val="24"/>
        </w:rPr>
        <w:t xml:space="preserve">, and </w:t>
      </w:r>
      <w:r w:rsidR="00501B19">
        <w:rPr>
          <w:sz w:val="24"/>
        </w:rPr>
        <w:t xml:space="preserve">stimuli were presented in </w:t>
      </w:r>
      <w:r w:rsidR="00501B19" w:rsidRPr="00501B19">
        <w:rPr>
          <w:sz w:val="24"/>
          <w:highlight w:val="yellow"/>
        </w:rPr>
        <w:t>XX</w:t>
      </w:r>
      <w:r w:rsidR="00501B19">
        <w:rPr>
          <w:sz w:val="24"/>
        </w:rPr>
        <w:t xml:space="preserve">-point Courier New font. All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59F2BC8C"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significanc</w:t>
      </w:r>
      <w:r>
        <w:rPr>
          <w:sz w:val="24"/>
        </w:rPr>
        <w:t xml:space="preserve">e </w:t>
      </w:r>
      <w:r w:rsidR="00BD30B1" w:rsidRPr="00BD30B1">
        <w:rPr>
          <w:sz w:val="24"/>
        </w:rPr>
        <w:t>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w:t>
      </w:r>
      <w:r w:rsidR="009C0A59" w:rsidRPr="009C0A59">
        <w:rPr>
          <w:sz w:val="24"/>
          <w:szCs w:val="24"/>
        </w:rPr>
        <w:lastRenderedPageBreak/>
        <w:t xml:space="preserve">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D37C017" w:rsidR="00F02CC9" w:rsidRDefault="00B379D9" w:rsidP="00B379D9">
      <w:pPr>
        <w:spacing w:line="480" w:lineRule="auto"/>
        <w:ind w:firstLine="720"/>
        <w:rPr>
          <w:sz w:val="24"/>
        </w:rPr>
      </w:pPr>
      <w:r>
        <w:rPr>
          <w:sz w:val="24"/>
        </w:rPr>
        <w:t xml:space="preserve">Mean error rates as a function of </w:t>
      </w:r>
      <w:r w:rsidR="00D616C3">
        <w:rPr>
          <w:sz w:val="24"/>
        </w:rPr>
        <w:t xml:space="preserve">trial type are displayed in Figure </w:t>
      </w:r>
      <w:r w:rsidR="00D616C3" w:rsidRPr="00D616C3">
        <w:rPr>
          <w:sz w:val="24"/>
          <w:highlight w:val="green"/>
        </w:rPr>
        <w:t>X</w:t>
      </w:r>
      <w:r w:rsidR="007D2A01">
        <w:rPr>
          <w:sz w:val="24"/>
        </w:rPr>
        <w:t xml:space="preserve"> (top panel)</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random switch trials</w:t>
      </w:r>
      <w:r w:rsidR="004A4C0F" w:rsidRPr="001E1782">
        <w:rPr>
          <w:sz w:val="24"/>
          <w:highlight w:val="yellow"/>
        </w:rPr>
        <w:t xml:space="preserve"> </w:t>
      </w:r>
      <w:r w:rsidR="004A4C0F" w:rsidRPr="00767D39">
        <w:rPr>
          <w:sz w:val="24"/>
        </w:rPr>
        <w:t>(</w:t>
      </w:r>
      <w:r w:rsidR="0022199A" w:rsidRPr="00767D39">
        <w:rPr>
          <w:sz w:val="24"/>
        </w:rPr>
        <w:t>5.17%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r w:rsidR="00D32D4E" w:rsidRPr="00C75F7A">
        <w:rPr>
          <w:i/>
          <w:iCs/>
          <w:sz w:val="24"/>
          <w:szCs w:val="24"/>
        </w:rPr>
        <w:t>F</w:t>
      </w:r>
      <w:r w:rsidR="00D32D4E" w:rsidRPr="00C75F7A">
        <w:rPr>
          <w:sz w:val="24"/>
          <w:szCs w:val="24"/>
        </w:rPr>
        <w:t>(</w:t>
      </w:r>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4"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4"/>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141DA8FD"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r w:rsidR="001A6A2D">
        <w:rPr>
          <w:sz w:val="24"/>
        </w:rPr>
        <w:t xml:space="preserve"> (Figure </w:t>
      </w:r>
      <w:r w:rsidR="00AF6481" w:rsidRPr="00AF6481">
        <w:rPr>
          <w:sz w:val="24"/>
          <w:highlight w:val="green"/>
        </w:rPr>
        <w:t>X</w:t>
      </w:r>
      <w:r w:rsidR="00AF6481">
        <w:rPr>
          <w:sz w:val="24"/>
        </w:rPr>
        <w:t>, bottom panel). Overall, [TYPE OF ANALYSIS]</w:t>
      </w:r>
    </w:p>
    <w:p w14:paraId="313CFDCF" w14:textId="3A67D0C5" w:rsidR="00C454D8" w:rsidRDefault="00C454D8" w:rsidP="00F02CC9">
      <w:pPr>
        <w:spacing w:line="480" w:lineRule="auto"/>
        <w:rPr>
          <w:b/>
          <w:bCs/>
          <w:sz w:val="24"/>
        </w:rPr>
      </w:pPr>
      <w:commentRangeStart w:id="15"/>
      <w:r w:rsidRPr="00C454D8">
        <w:rPr>
          <w:b/>
          <w:bCs/>
          <w:sz w:val="24"/>
        </w:rPr>
        <w:t>Mean RTs</w:t>
      </w:r>
      <w:commentRangeEnd w:id="15"/>
      <w:r w:rsidR="001D3A95">
        <w:rPr>
          <w:rStyle w:val="CommentReference"/>
        </w:rPr>
        <w:commentReference w:id="15"/>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lastRenderedPageBreak/>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E121BB">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2]"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14A96F05" w:rsidR="00AD3BD3" w:rsidRDefault="00AD3BD3">
      <w:pPr>
        <w:pStyle w:val="CommentText"/>
      </w:pPr>
      <w:r>
        <w:rPr>
          <w:rStyle w:val="CommentReference"/>
        </w:rPr>
        <w:annotationRef/>
      </w:r>
      <w:r>
        <w:t>Ex-</w:t>
      </w:r>
      <w:proofErr w:type="spellStart"/>
      <w:r>
        <w:t>guass</w:t>
      </w:r>
      <w:proofErr w:type="spellEnd"/>
      <w:r>
        <w:t xml:space="preserve"> in table</w:t>
      </w:r>
      <w:r w:rsidR="00FB7C07">
        <w:t>? (bar chart looks whack when you take out the older 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2]"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5"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6CE81035" w15:done="0"/>
  <w15:commentEx w15:paraId="2C418A94" w15:done="0"/>
  <w15:commentEx w15:paraId="205D7E95" w15:paraIdParent="2C418A94" w15:done="0"/>
  <w15:commentEx w15:paraId="21DC59F1" w15:done="0"/>
  <w15:commentEx w15:paraId="64EA3AAC"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F0C6" w14:textId="77777777" w:rsidR="00AF04DD" w:rsidRDefault="00AF04DD" w:rsidP="006C0CFD">
      <w:r>
        <w:separator/>
      </w:r>
    </w:p>
  </w:endnote>
  <w:endnote w:type="continuationSeparator" w:id="0">
    <w:p w14:paraId="42A4EAA9" w14:textId="77777777" w:rsidR="00AF04DD" w:rsidRDefault="00AF04D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C8BD" w14:textId="77777777" w:rsidR="00AF04DD" w:rsidRDefault="00AF04DD" w:rsidP="006C0CFD">
      <w:r>
        <w:separator/>
      </w:r>
    </w:p>
  </w:footnote>
  <w:footnote w:type="continuationSeparator" w:id="0">
    <w:p w14:paraId="7B90FADB" w14:textId="77777777" w:rsidR="00AF04DD" w:rsidRDefault="00AF04D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A942" w14:textId="1CE15D6F" w:rsidR="001A483D" w:rsidRDefault="001A483D">
    <w:pPr>
      <w:pStyle w:val="Header"/>
    </w:pPr>
  </w:p>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holas Maxwell [2]">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5743"/>
    <w:rsid w:val="00090863"/>
    <w:rsid w:val="00092C23"/>
    <w:rsid w:val="00094E7B"/>
    <w:rsid w:val="000B5AB6"/>
    <w:rsid w:val="000C6DCE"/>
    <w:rsid w:val="000F1660"/>
    <w:rsid w:val="00107BB8"/>
    <w:rsid w:val="001306BB"/>
    <w:rsid w:val="00146E5D"/>
    <w:rsid w:val="0015253C"/>
    <w:rsid w:val="00161DF2"/>
    <w:rsid w:val="00162266"/>
    <w:rsid w:val="001625AB"/>
    <w:rsid w:val="001A483D"/>
    <w:rsid w:val="001A6A2D"/>
    <w:rsid w:val="001D3A95"/>
    <w:rsid w:val="001E1782"/>
    <w:rsid w:val="001F7176"/>
    <w:rsid w:val="002153D2"/>
    <w:rsid w:val="00221336"/>
    <w:rsid w:val="0022199A"/>
    <w:rsid w:val="002233F5"/>
    <w:rsid w:val="002258EE"/>
    <w:rsid w:val="0023471C"/>
    <w:rsid w:val="00236C9B"/>
    <w:rsid w:val="0024023D"/>
    <w:rsid w:val="0026067B"/>
    <w:rsid w:val="0026280B"/>
    <w:rsid w:val="002702BD"/>
    <w:rsid w:val="00296CBD"/>
    <w:rsid w:val="002A47DC"/>
    <w:rsid w:val="002C5405"/>
    <w:rsid w:val="002C603A"/>
    <w:rsid w:val="002D4E15"/>
    <w:rsid w:val="002E3587"/>
    <w:rsid w:val="002E4EDD"/>
    <w:rsid w:val="002F4CC8"/>
    <w:rsid w:val="003075AB"/>
    <w:rsid w:val="00310DEA"/>
    <w:rsid w:val="003268DB"/>
    <w:rsid w:val="00332940"/>
    <w:rsid w:val="00374DCC"/>
    <w:rsid w:val="00380E52"/>
    <w:rsid w:val="003B5619"/>
    <w:rsid w:val="003D065E"/>
    <w:rsid w:val="003F1610"/>
    <w:rsid w:val="003F7F82"/>
    <w:rsid w:val="0041487E"/>
    <w:rsid w:val="00423011"/>
    <w:rsid w:val="00451539"/>
    <w:rsid w:val="00490D12"/>
    <w:rsid w:val="004947B0"/>
    <w:rsid w:val="004A3808"/>
    <w:rsid w:val="004A4C0F"/>
    <w:rsid w:val="004A6944"/>
    <w:rsid w:val="00501B19"/>
    <w:rsid w:val="00504B2E"/>
    <w:rsid w:val="0050688F"/>
    <w:rsid w:val="00521552"/>
    <w:rsid w:val="00525188"/>
    <w:rsid w:val="005869CA"/>
    <w:rsid w:val="00587B5C"/>
    <w:rsid w:val="005A30CD"/>
    <w:rsid w:val="005D56E1"/>
    <w:rsid w:val="005F2B3A"/>
    <w:rsid w:val="005F2D9A"/>
    <w:rsid w:val="006018AD"/>
    <w:rsid w:val="00610945"/>
    <w:rsid w:val="00615090"/>
    <w:rsid w:val="00616238"/>
    <w:rsid w:val="006255DD"/>
    <w:rsid w:val="00635AED"/>
    <w:rsid w:val="0065136C"/>
    <w:rsid w:val="006709FD"/>
    <w:rsid w:val="00692C50"/>
    <w:rsid w:val="006A1826"/>
    <w:rsid w:val="006A2E1D"/>
    <w:rsid w:val="006A3DC8"/>
    <w:rsid w:val="006A63B6"/>
    <w:rsid w:val="006C0CFD"/>
    <w:rsid w:val="006E5A90"/>
    <w:rsid w:val="00701580"/>
    <w:rsid w:val="00705B42"/>
    <w:rsid w:val="00710371"/>
    <w:rsid w:val="0073480E"/>
    <w:rsid w:val="00745276"/>
    <w:rsid w:val="00753787"/>
    <w:rsid w:val="00767D39"/>
    <w:rsid w:val="00786477"/>
    <w:rsid w:val="00787255"/>
    <w:rsid w:val="00791DCC"/>
    <w:rsid w:val="007A4F79"/>
    <w:rsid w:val="007D1FEA"/>
    <w:rsid w:val="007D2A01"/>
    <w:rsid w:val="007E3F63"/>
    <w:rsid w:val="007E6011"/>
    <w:rsid w:val="007E6B52"/>
    <w:rsid w:val="00834A60"/>
    <w:rsid w:val="008448BB"/>
    <w:rsid w:val="00854157"/>
    <w:rsid w:val="008759CB"/>
    <w:rsid w:val="00877DA3"/>
    <w:rsid w:val="00897D5A"/>
    <w:rsid w:val="008A5D93"/>
    <w:rsid w:val="008C0DC2"/>
    <w:rsid w:val="008D7E9F"/>
    <w:rsid w:val="008E1C19"/>
    <w:rsid w:val="008F0E8D"/>
    <w:rsid w:val="009211B2"/>
    <w:rsid w:val="00946C99"/>
    <w:rsid w:val="00977EFF"/>
    <w:rsid w:val="00983672"/>
    <w:rsid w:val="009939A5"/>
    <w:rsid w:val="009A730A"/>
    <w:rsid w:val="009C0A59"/>
    <w:rsid w:val="009C192B"/>
    <w:rsid w:val="009D16BD"/>
    <w:rsid w:val="009F2885"/>
    <w:rsid w:val="009F6900"/>
    <w:rsid w:val="00A03499"/>
    <w:rsid w:val="00A61677"/>
    <w:rsid w:val="00A65F38"/>
    <w:rsid w:val="00A84B48"/>
    <w:rsid w:val="00A858C7"/>
    <w:rsid w:val="00A940EB"/>
    <w:rsid w:val="00A964F3"/>
    <w:rsid w:val="00AA050A"/>
    <w:rsid w:val="00AB4760"/>
    <w:rsid w:val="00AD0038"/>
    <w:rsid w:val="00AD207B"/>
    <w:rsid w:val="00AD3BD3"/>
    <w:rsid w:val="00AE0291"/>
    <w:rsid w:val="00AE116D"/>
    <w:rsid w:val="00AF04DD"/>
    <w:rsid w:val="00AF5F5B"/>
    <w:rsid w:val="00AF6481"/>
    <w:rsid w:val="00B01D32"/>
    <w:rsid w:val="00B07BA8"/>
    <w:rsid w:val="00B2218E"/>
    <w:rsid w:val="00B379D9"/>
    <w:rsid w:val="00B611B2"/>
    <w:rsid w:val="00B71B1E"/>
    <w:rsid w:val="00B811AA"/>
    <w:rsid w:val="00B86C8C"/>
    <w:rsid w:val="00B93A1C"/>
    <w:rsid w:val="00B967A1"/>
    <w:rsid w:val="00BA7389"/>
    <w:rsid w:val="00BB45BC"/>
    <w:rsid w:val="00BB5C53"/>
    <w:rsid w:val="00BD30B1"/>
    <w:rsid w:val="00BF471B"/>
    <w:rsid w:val="00C01F18"/>
    <w:rsid w:val="00C15F19"/>
    <w:rsid w:val="00C173F3"/>
    <w:rsid w:val="00C224A2"/>
    <w:rsid w:val="00C454D8"/>
    <w:rsid w:val="00C50472"/>
    <w:rsid w:val="00C56D89"/>
    <w:rsid w:val="00C742ED"/>
    <w:rsid w:val="00C85448"/>
    <w:rsid w:val="00CB5A82"/>
    <w:rsid w:val="00CB780D"/>
    <w:rsid w:val="00CE3BDA"/>
    <w:rsid w:val="00CF5159"/>
    <w:rsid w:val="00CF5602"/>
    <w:rsid w:val="00CF7D5D"/>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C27A1"/>
    <w:rsid w:val="00DE3205"/>
    <w:rsid w:val="00E10005"/>
    <w:rsid w:val="00E121BB"/>
    <w:rsid w:val="00E66033"/>
    <w:rsid w:val="00E915A3"/>
    <w:rsid w:val="00E939A3"/>
    <w:rsid w:val="00EA0718"/>
    <w:rsid w:val="00EA326D"/>
    <w:rsid w:val="00ED2719"/>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594D"/>
    <w:rsid w:val="00FB7C07"/>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11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204</cp:revision>
  <cp:lastPrinted>2021-12-09T19:35:00Z</cp:lastPrinted>
  <dcterms:created xsi:type="dcterms:W3CDTF">2019-07-24T18:36:00Z</dcterms:created>
  <dcterms:modified xsi:type="dcterms:W3CDTF">2021-12-12T22:39:00Z</dcterms:modified>
</cp:coreProperties>
</file>