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53719A2" w14:textId="4B11CE36" w:rsidR="006C0CFD" w:rsidRPr="006A2E1D" w:rsidRDefault="006C0CFD" w:rsidP="006A2E1D">
      <w:pPr>
        <w:spacing w:line="480" w:lineRule="auto"/>
        <w:jc w:val="center"/>
        <w:rPr>
          <w:sz w:val="24"/>
          <w:szCs w:val="24"/>
        </w:rPr>
      </w:pPr>
      <w:bookmarkStart w:id="4" w:name="page3"/>
      <w:bookmarkEnd w:id="4"/>
      <w:r w:rsidRPr="006A2E1D">
        <w:rPr>
          <w:sz w:val="24"/>
          <w:szCs w:val="24"/>
          <w:highlight w:val="yellow"/>
        </w:rPr>
        <w:lastRenderedPageBreak/>
        <w:t>[INSERT TITLE HERE]</w:t>
      </w:r>
    </w:p>
    <w:p w14:paraId="100F4522" w14:textId="14ADCD1C" w:rsidR="00B71B1E" w:rsidRDefault="00AF5F5B" w:rsidP="00AF5F5B">
      <w:pPr>
        <w:spacing w:line="480" w:lineRule="auto"/>
        <w:ind w:firstLine="720"/>
        <w:rPr>
          <w:sz w:val="24"/>
          <w:highlight w:val="yellow"/>
        </w:rPr>
      </w:pPr>
      <w:r w:rsidRPr="00AF5F5B">
        <w:rPr>
          <w:sz w:val="24"/>
        </w:rPr>
        <w:t>Task switching is commonly used</w:t>
      </w:r>
      <w:r w:rsidR="00877DA3">
        <w:rPr>
          <w:sz w:val="24"/>
        </w:rPr>
        <w:t xml:space="preserve"> by researchers</w:t>
      </w:r>
      <w:r w:rsidRPr="00AF5F5B">
        <w:rPr>
          <w:sz w:val="24"/>
        </w:rPr>
        <w:t xml:space="preserve"> to</w:t>
      </w:r>
      <w:r w:rsidR="00877DA3">
        <w:rPr>
          <w:sz w:val="24"/>
        </w:rPr>
        <w:t xml:space="preserve"> empirically</w:t>
      </w:r>
      <w:r w:rsidRPr="00AF5F5B">
        <w:rPr>
          <w:sz w:val="24"/>
        </w:rPr>
        <w:t xml:space="preserve"> investigate cognitive control.</w:t>
      </w:r>
      <w:r>
        <w:rPr>
          <w:sz w:val="24"/>
        </w:rPr>
        <w:t xml:space="preserve"> In this paradigm, participants are presented with </w:t>
      </w:r>
      <w:r w:rsidR="00F30195">
        <w:rPr>
          <w:sz w:val="24"/>
        </w:rPr>
        <w:t>a pair of</w:t>
      </w:r>
      <w:r>
        <w:rPr>
          <w:sz w:val="24"/>
        </w:rPr>
        <w:t xml:space="preserve"> simple </w:t>
      </w:r>
      <w:r w:rsidR="00F30195">
        <w:rPr>
          <w:sz w:val="24"/>
        </w:rPr>
        <w:t>ye</w:t>
      </w:r>
      <w:r>
        <w:rPr>
          <w:sz w:val="24"/>
        </w:rPr>
        <w:t xml:space="preserve">t contrasting tasks and </w:t>
      </w:r>
      <w:r w:rsidR="00E915A3">
        <w:rPr>
          <w:sz w:val="24"/>
        </w:rPr>
        <w:t xml:space="preserve">must </w:t>
      </w:r>
      <w:r>
        <w:rPr>
          <w:sz w:val="24"/>
        </w:rPr>
        <w:t xml:space="preserve">alternate between completing </w:t>
      </w:r>
      <w:r w:rsidR="009211B2">
        <w:rPr>
          <w:sz w:val="24"/>
        </w:rPr>
        <w:t>them (i.e., performing an addition task on trial one but a subtraction task on trial two)</w:t>
      </w:r>
      <w:r>
        <w:rPr>
          <w:sz w:val="24"/>
        </w:rPr>
        <w:t>.</w:t>
      </w:r>
      <w:r w:rsidR="00877DA3">
        <w:rPr>
          <w:sz w:val="24"/>
        </w:rPr>
        <w:t xml:space="preserve"> </w:t>
      </w:r>
      <w:r w:rsidR="00877DA3" w:rsidRPr="00877DA3">
        <w:rPr>
          <w:sz w:val="24"/>
          <w:highlight w:val="yellow"/>
        </w:rPr>
        <w:t>[SENTENCE HERE?]</w:t>
      </w:r>
      <w:r>
        <w:rPr>
          <w:sz w:val="24"/>
        </w:rPr>
        <w:t xml:space="preserve"> </w:t>
      </w:r>
      <w:r w:rsidR="009211B2">
        <w:rPr>
          <w:sz w:val="24"/>
        </w:rPr>
        <w:t>Previous research has found that w</w:t>
      </w:r>
      <w:r>
        <w:rPr>
          <w:sz w:val="24"/>
        </w:rPr>
        <w:t xml:space="preserve">hen individuals are forced to alternate between tasks, their reaction times are </w:t>
      </w:r>
      <w:r w:rsidR="009211B2">
        <w:rPr>
          <w:sz w:val="24"/>
        </w:rPr>
        <w:t>slower,</w:t>
      </w:r>
      <w:r>
        <w:rPr>
          <w:sz w:val="24"/>
        </w:rPr>
        <w:t xml:space="preserve"> and they typically commit more errors relative to completing each task separately </w:t>
      </w:r>
      <w:r w:rsidRPr="00AF5F5B">
        <w:rPr>
          <w:sz w:val="24"/>
          <w:highlight w:val="cyan"/>
        </w:rPr>
        <w:t>[CITE]</w:t>
      </w:r>
      <w:r>
        <w:rPr>
          <w:sz w:val="24"/>
        </w:rPr>
        <w:t xml:space="preserve">.  </w:t>
      </w:r>
    </w:p>
    <w:p w14:paraId="41DD2565" w14:textId="170FE050" w:rsidR="008448BB" w:rsidRDefault="008448BB" w:rsidP="00AA050A">
      <w:pPr>
        <w:spacing w:line="480" w:lineRule="auto"/>
        <w:rPr>
          <w:sz w:val="24"/>
        </w:rPr>
      </w:pPr>
      <w:r>
        <w:rPr>
          <w:sz w:val="24"/>
        </w:rPr>
        <w:tab/>
      </w:r>
      <w:r w:rsidRPr="008448BB">
        <w:rPr>
          <w:sz w:val="24"/>
          <w:highlight w:val="yellow"/>
        </w:rPr>
        <w:t>[PARAGRAPH HERE ON VARIOUS TASK SWITCHING PARADIGMS?]</w:t>
      </w:r>
    </w:p>
    <w:p w14:paraId="571D1482" w14:textId="6EB4E497" w:rsidR="00F0022D" w:rsidRPr="00E939A3" w:rsidRDefault="00F0022D" w:rsidP="00AA050A">
      <w:pPr>
        <w:spacing w:line="480" w:lineRule="auto"/>
        <w:rPr>
          <w:sz w:val="24"/>
        </w:rPr>
      </w:pPr>
      <w:r>
        <w:rPr>
          <w:sz w:val="24"/>
        </w:rPr>
        <w:tab/>
      </w:r>
      <w:r w:rsidRPr="00F0022D">
        <w:rPr>
          <w:sz w:val="24"/>
          <w:highlight w:val="yellow"/>
        </w:rPr>
        <w:t>[STROOP]</w:t>
      </w:r>
    </w:p>
    <w:p w14:paraId="5A98E319" w14:textId="77777777" w:rsidR="00877DA3" w:rsidRDefault="00877DA3" w:rsidP="00877DA3">
      <w:pPr>
        <w:spacing w:line="480" w:lineRule="auto"/>
        <w:ind w:firstLine="720"/>
        <w:rPr>
          <w:sz w:val="24"/>
        </w:rPr>
      </w:pPr>
      <w:r w:rsidRPr="0065136C">
        <w:rPr>
          <w:sz w:val="24"/>
        </w:rPr>
        <w:t xml:space="preserve">While several task-switching paradigms </w:t>
      </w:r>
      <w:r>
        <w:rPr>
          <w:sz w:val="24"/>
        </w:rPr>
        <w:t xml:space="preserve">have been made available </w:t>
      </w:r>
      <w:r w:rsidRPr="00946C99">
        <w:rPr>
          <w:sz w:val="24"/>
          <w:highlight w:val="cyan"/>
        </w:rPr>
        <w:t>(see XXXX for a review)</w:t>
      </w:r>
      <w:r w:rsidRPr="0065136C">
        <w:rPr>
          <w:sz w:val="24"/>
        </w:rPr>
        <w:t xml:space="preserve">, </w:t>
      </w:r>
      <w:r>
        <w:rPr>
          <w:sz w:val="24"/>
        </w:rPr>
        <w:t xml:space="preserve">for the present study </w:t>
      </w:r>
      <w:r w:rsidRPr="0065136C">
        <w:rPr>
          <w:sz w:val="24"/>
        </w:rPr>
        <w:t>we ch</w:t>
      </w:r>
      <w:r>
        <w:rPr>
          <w:sz w:val="24"/>
        </w:rPr>
        <w:t>ose</w:t>
      </w:r>
      <w:r w:rsidRPr="0065136C">
        <w:rPr>
          <w:sz w:val="24"/>
        </w:rPr>
        <w:t xml:space="preserve"> to focus on </w:t>
      </w:r>
      <w:r>
        <w:rPr>
          <w:sz w:val="24"/>
        </w:rPr>
        <w:t>paradigms</w:t>
      </w:r>
      <w:r w:rsidRPr="0065136C">
        <w:rPr>
          <w:sz w:val="24"/>
        </w:rPr>
        <w:t xml:space="preserve"> which allow for a direct comparison of local and global switch costs </w:t>
      </w:r>
      <w:r w:rsidRPr="00310DEA">
        <w:rPr>
          <w:sz w:val="24"/>
          <w:highlight w:val="cyan"/>
        </w:rPr>
        <w:t>[CITE HERE]</w:t>
      </w:r>
      <w:r w:rsidRPr="0065136C">
        <w:rPr>
          <w:sz w:val="24"/>
        </w:rPr>
        <w:t>.</w:t>
      </w:r>
      <w:r>
        <w:rPr>
          <w:sz w:val="24"/>
        </w:rPr>
        <w:t xml:space="preserve"> These tasks present participants with blocks containing switch and non-switch trials interspersed within the same block (referred to as switch blocks) and pure blocks in which all trials use only one set of task instructions [CITE]. </w:t>
      </w:r>
      <w:r w:rsidRPr="008C0DC2">
        <w:rPr>
          <w:sz w:val="24"/>
          <w:highlight w:val="yellow"/>
        </w:rPr>
        <w:t>[EXPAND]</w:t>
      </w:r>
      <w:r>
        <w:rPr>
          <w:sz w:val="24"/>
          <w:highlight w:val="yellow"/>
        </w:rPr>
        <w:t xml:space="preserve"> </w:t>
      </w:r>
      <w:r>
        <w:rPr>
          <w:sz w:val="24"/>
        </w:rPr>
        <w:t xml:space="preserve">The </w:t>
      </w:r>
      <w:r>
        <w:rPr>
          <w:i/>
          <w:sz w:val="24"/>
        </w:rPr>
        <w:t>global switch cost</w:t>
      </w:r>
      <w:r>
        <w:rPr>
          <w:sz w:val="24"/>
        </w:rPr>
        <w:t xml:space="preserve"> refers to</w:t>
      </w:r>
      <w:proofErr w:type="gramStart"/>
      <w:r>
        <w:rPr>
          <w:sz w:val="24"/>
        </w:rPr>
        <w:t>…[</w:t>
      </w:r>
      <w:proofErr w:type="gramEnd"/>
      <w:r>
        <w:rPr>
          <w:sz w:val="24"/>
        </w:rPr>
        <w:t>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A796EBE" w14:textId="23E9F177" w:rsidR="00B71B1E" w:rsidRPr="00B71B1E" w:rsidRDefault="00D0742A" w:rsidP="00B71B1E">
      <w:pPr>
        <w:spacing w:line="480" w:lineRule="auto"/>
        <w:ind w:firstLine="720"/>
        <w:rPr>
          <w:sz w:val="24"/>
          <w:highlight w:val="yellow"/>
        </w:rPr>
      </w:pPr>
      <w:r w:rsidRPr="00D0742A">
        <w:rPr>
          <w:sz w:val="24"/>
        </w:rPr>
        <w:t>The Consonant-Vowel Odd-Even task (CVOE</w:t>
      </w:r>
      <w:r>
        <w:rPr>
          <w:sz w:val="24"/>
        </w:rPr>
        <w:t>;</w:t>
      </w:r>
      <w:r w:rsidRPr="00D0742A">
        <w:rPr>
          <w:sz w:val="24"/>
        </w:rPr>
        <w:t xml:space="preserve"> </w:t>
      </w:r>
      <w:proofErr w:type="spellStart"/>
      <w:r w:rsidRPr="00BB45BC">
        <w:rPr>
          <w:sz w:val="24"/>
          <w:highlight w:val="cyan"/>
        </w:rPr>
        <w:t>Minear</w:t>
      </w:r>
      <w:proofErr w:type="spellEnd"/>
      <w:r w:rsidRPr="00BB45BC">
        <w:rPr>
          <w:sz w:val="24"/>
          <w:highlight w:val="cyan"/>
        </w:rPr>
        <w:t xml:space="preserve"> &amp; Shah, 2008)</w:t>
      </w:r>
      <w:r w:rsidRPr="00D0742A">
        <w:rPr>
          <w:sz w:val="24"/>
        </w:rPr>
        <w:t xml:space="preserve"> is a simple task-switching paradigm that allows the measurement of both local and global task switching costs. In switch tasks such as the CVOE, individuals with mild cognitive impairment perform worse relative to younger and non-impaired adults on switch trials relative to a set of pure trials in which the task does not change. Additionally, work by </w:t>
      </w:r>
      <w:r w:rsidRPr="00BB45BC">
        <w:rPr>
          <w:sz w:val="24"/>
          <w:highlight w:val="cyan"/>
        </w:rPr>
        <w:t>Huff et al. (2015)</w:t>
      </w:r>
      <w:r w:rsidRPr="00D0742A">
        <w:rPr>
          <w:sz w:val="24"/>
        </w:rPr>
        <w:t xml:space="preserve"> has shown that global switch costs (switch trials compared to pure trials) increase as a function of age and AD</w:t>
      </w:r>
      <w:r w:rsidR="00045743">
        <w:rPr>
          <w:sz w:val="24"/>
        </w:rPr>
        <w:t xml:space="preserve">, </w:t>
      </w:r>
      <w:r w:rsidR="00045743">
        <w:rPr>
          <w:sz w:val="24"/>
        </w:rPr>
        <w:lastRenderedPageBreak/>
        <w:t xml:space="preserve">suggesting that…[EXPAND].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w:t>
      </w:r>
      <w:commentRangeStart w:id="5"/>
      <w:r w:rsidR="002258EE" w:rsidRPr="002258EE">
        <w:rPr>
          <w:sz w:val="24"/>
          <w:highlight w:val="yellow"/>
        </w:rPr>
        <w:t>USEFUL]</w:t>
      </w:r>
      <w:commentRangeEnd w:id="5"/>
      <w:r w:rsidR="008448BB">
        <w:rPr>
          <w:rStyle w:val="CommentReference"/>
        </w:rPr>
        <w:commentReference w:id="5"/>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commentRangeStart w:id="6"/>
      <w:commentRangeStart w:id="7"/>
      <w:r w:rsidRPr="00F84C0B">
        <w:rPr>
          <w:b/>
          <w:bCs/>
          <w:sz w:val="24"/>
        </w:rPr>
        <w:t>Distributional Analyses of RTs</w:t>
      </w:r>
      <w:commentRangeEnd w:id="6"/>
      <w:r w:rsidR="00D27CFE">
        <w:rPr>
          <w:rStyle w:val="CommentReference"/>
        </w:rPr>
        <w:commentReference w:id="6"/>
      </w:r>
      <w:commentRangeEnd w:id="7"/>
      <w:r w:rsidR="00521552">
        <w:rPr>
          <w:rStyle w:val="CommentReference"/>
        </w:rPr>
        <w:commentReference w:id="7"/>
      </w:r>
    </w:p>
    <w:p w14:paraId="49017B24" w14:textId="1D07AA93" w:rsidR="002233F5" w:rsidRDefault="002233F5" w:rsidP="006A2E1D">
      <w:pPr>
        <w:spacing w:line="480" w:lineRule="auto"/>
        <w:rPr>
          <w:sz w:val="24"/>
        </w:rPr>
      </w:pPr>
      <w:r w:rsidRPr="002233F5">
        <w:rPr>
          <w:sz w:val="24"/>
        </w:rPr>
        <w:tab/>
      </w:r>
      <w:r w:rsidR="0023471C">
        <w:rPr>
          <w:sz w:val="24"/>
        </w:rPr>
        <w:t>Researchers</w:t>
      </w:r>
      <w:r w:rsidR="00161DF2">
        <w:rPr>
          <w:sz w:val="24"/>
        </w:rPr>
        <w:t xml:space="preserve"> studying attentional systems </w:t>
      </w:r>
      <w:r w:rsidR="00B07BA8">
        <w:rPr>
          <w:sz w:val="24"/>
        </w:rPr>
        <w:t>commonly rely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w:t>
      </w:r>
      <w:proofErr w:type="gramStart"/>
      <w:r w:rsidR="0026067B">
        <w:rPr>
          <w:sz w:val="24"/>
        </w:rPr>
        <w:t>the majority of</w:t>
      </w:r>
      <w:proofErr w:type="gramEnd"/>
      <w:r w:rsidR="0026067B">
        <w:rPr>
          <w:sz w:val="24"/>
        </w:rPr>
        <w:t xml:space="preserve">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proofErr w:type="spellStart"/>
      <w:r w:rsidR="0026067B" w:rsidRPr="0026067B">
        <w:rPr>
          <w:sz w:val="24"/>
          <w:highlight w:val="cyan"/>
        </w:rPr>
        <w:t>Balota</w:t>
      </w:r>
      <w:proofErr w:type="spellEnd"/>
      <w:r w:rsidR="0026067B" w:rsidRPr="0026067B">
        <w:rPr>
          <w:sz w:val="24"/>
          <w:highlight w:val="cyan"/>
        </w:rPr>
        <w:t xml:space="preserve"> &amp; Yap, 2011</w:t>
      </w:r>
      <w:r w:rsidR="0026067B">
        <w:rPr>
          <w:sz w:val="24"/>
        </w:rPr>
        <w:t xml:space="preserve">, for a review). </w:t>
      </w:r>
      <w:r w:rsidR="00D20358" w:rsidRPr="00D20358">
        <w:rPr>
          <w:sz w:val="24"/>
          <w:highlight w:val="yellow"/>
        </w:rPr>
        <w:t>[TRANSITION SENTENCE – METHODS TO ACCOUNT FOR IT]</w:t>
      </w:r>
      <w:r w:rsidR="00D20358">
        <w:rPr>
          <w:sz w:val="24"/>
        </w:rPr>
        <w:t xml:space="preserve"> </w:t>
      </w:r>
      <w:r w:rsidR="00B07BA8">
        <w:rPr>
          <w:sz w:val="24"/>
        </w:rPr>
        <w:t xml:space="preserve">To account for this, </w:t>
      </w:r>
      <w:r w:rsidR="00161DF2">
        <w:rPr>
          <w:sz w:val="24"/>
        </w:rPr>
        <w:t>the present study included both Vincentile and ex-Gaussian analyses of RTs.</w:t>
      </w:r>
      <w:r w:rsidR="00692C50">
        <w:rPr>
          <w:sz w:val="24"/>
        </w:rPr>
        <w:t xml:space="preserve"> These analyses </w:t>
      </w:r>
      <w:r w:rsidR="00C85448">
        <w:rPr>
          <w:sz w:val="24"/>
        </w:rPr>
        <w:t xml:space="preserve">each </w:t>
      </w:r>
      <w:r w:rsidR="00692C50" w:rsidRPr="00C85448">
        <w:rPr>
          <w:sz w:val="24"/>
          <w:highlight w:val="yellow"/>
        </w:rPr>
        <w:t>[WHAT DO THEY DO?]</w:t>
      </w:r>
    </w:p>
    <w:p w14:paraId="62E5A3DE" w14:textId="23F8FBB0" w:rsidR="00692C50" w:rsidRDefault="00692C50" w:rsidP="006A2E1D">
      <w:pPr>
        <w:spacing w:line="480" w:lineRule="auto"/>
        <w:rPr>
          <w:sz w:val="24"/>
        </w:rPr>
      </w:pPr>
      <w:r>
        <w:rPr>
          <w:sz w:val="24"/>
        </w:rPr>
        <w:tab/>
        <w:t xml:space="preserve">First, the Vincentile analysis rank orders all RTs for each trial type at the participant level and </w:t>
      </w:r>
      <w:r w:rsidR="000C6DCE">
        <w:rPr>
          <w:sz w:val="24"/>
        </w:rPr>
        <w:t xml:space="preserve">then </w:t>
      </w:r>
      <w:r>
        <w:rPr>
          <w:sz w:val="24"/>
        </w:rPr>
        <w:t>bins the ordered data into groups of equal size. [AVERAGING PROCESS] For example, a Vincentile analyses using four bins [EXAMPLE]</w:t>
      </w:r>
    </w:p>
    <w:p w14:paraId="6F09EAA3" w14:textId="3ECB7807" w:rsidR="00692C50" w:rsidRPr="002233F5" w:rsidRDefault="00692C50" w:rsidP="006A2E1D">
      <w:pPr>
        <w:spacing w:line="480" w:lineRule="auto"/>
        <w:rPr>
          <w:sz w:val="24"/>
        </w:rPr>
      </w:pPr>
      <w:r>
        <w:rPr>
          <w:sz w:val="24"/>
        </w:rPr>
        <w:tab/>
      </w:r>
      <w:commentRangeStart w:id="8"/>
      <w:r>
        <w:rPr>
          <w:sz w:val="24"/>
        </w:rPr>
        <w:t>[EX-GAUSS HERE]</w:t>
      </w:r>
      <w:commentRangeEnd w:id="8"/>
      <w:r w:rsidR="000C6DCE">
        <w:rPr>
          <w:rStyle w:val="CommentReference"/>
        </w:rPr>
        <w:commentReference w:id="8"/>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56CE5183"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by</w:t>
      </w:r>
      <w:r w:rsidRPr="00D0742A">
        <w:rPr>
          <w:sz w:val="24"/>
        </w:rPr>
        <w:t xml:space="preserve"> incorporat</w:t>
      </w:r>
      <w:r>
        <w:rPr>
          <w:sz w:val="24"/>
        </w:rPr>
        <w:t xml:space="preserve">ing </w:t>
      </w:r>
      <w:r w:rsidRPr="00D0742A">
        <w:rPr>
          <w:sz w:val="24"/>
        </w:rPr>
        <w:t xml:space="preserve">both an alternating </w:t>
      </w:r>
      <w:r w:rsidRPr="00D0742A">
        <w:rPr>
          <w:sz w:val="24"/>
        </w:rPr>
        <w:lastRenderedPageBreak/>
        <w:t xml:space="preserve">runs switch task and a randomized switch task (i.e., CV, OE, OE, OE, CV, OE) in which no discernable pattern of task switching can be detected.  </w:t>
      </w:r>
    </w:p>
    <w:p w14:paraId="6B1321AA" w14:textId="3C2EA7DA" w:rsidR="00F02CC9" w:rsidRDefault="00FA164D" w:rsidP="00F02CC9">
      <w:pPr>
        <w:spacing w:line="480" w:lineRule="auto"/>
        <w:jc w:val="center"/>
        <w:rPr>
          <w:b/>
          <w:bCs/>
          <w:sz w:val="24"/>
        </w:rPr>
      </w:pPr>
      <w:commentRangeStart w:id="9"/>
      <w:r>
        <w:rPr>
          <w:b/>
          <w:bCs/>
          <w:sz w:val="24"/>
        </w:rPr>
        <w:t>Alternating Runs vs. Random Switching</w:t>
      </w:r>
      <w:commentRangeEnd w:id="9"/>
      <w:r>
        <w:rPr>
          <w:rStyle w:val="CommentReference"/>
        </w:rPr>
        <w:commentReference w:id="9"/>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36FEB2E8"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AD207B">
        <w:rPr>
          <w:sz w:val="24"/>
        </w:rPr>
        <w:t>11</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2DD7BDF6" w:rsidR="00F02CC9" w:rsidRPr="003268DB" w:rsidRDefault="008D7E9F" w:rsidP="00CB5A82">
      <w:pPr>
        <w:spacing w:line="480" w:lineRule="auto"/>
        <w:ind w:firstLine="720"/>
        <w:rPr>
          <w:sz w:val="24"/>
        </w:rPr>
      </w:pPr>
      <w:r>
        <w:rPr>
          <w:sz w:val="24"/>
        </w:rPr>
        <w:lastRenderedPageBreak/>
        <w:t xml:space="preserve">A series of </w:t>
      </w:r>
      <w:r w:rsidR="000F1660">
        <w:rPr>
          <w:sz w:val="24"/>
        </w:rPr>
        <w:t>letter-number</w:t>
      </w:r>
      <w:r>
        <w:rPr>
          <w:sz w:val="24"/>
        </w:rPr>
        <w:t xml:space="preserve"> stimulus pairs (e.g., A 15) were </w:t>
      </w:r>
      <w:r w:rsidR="00D67620">
        <w:rPr>
          <w:sz w:val="24"/>
        </w:rPr>
        <w:t xml:space="preserve">randomly </w:t>
      </w:r>
      <w:r w:rsidR="00F34652">
        <w:rPr>
          <w:sz w:val="24"/>
        </w:rPr>
        <w:t>generated</w:t>
      </w:r>
      <w:r w:rsidR="00D67620">
        <w:rPr>
          <w:sz w:val="24"/>
        </w:rPr>
        <w:t xml:space="preserve"> using the following process.</w:t>
      </w:r>
      <w:r w:rsidR="00DE3205">
        <w:rPr>
          <w:sz w:val="24"/>
        </w:rPr>
        <w:t xml:space="preserve"> </w:t>
      </w:r>
      <w:r w:rsidR="00D67620">
        <w:rPr>
          <w:sz w:val="24"/>
        </w:rPr>
        <w:t xml:space="preserve">First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0"/>
      <w:r>
        <w:rPr>
          <w:b/>
          <w:bCs/>
          <w:sz w:val="24"/>
        </w:rPr>
        <w:t>Procedure</w:t>
      </w:r>
      <w:commentRangeEnd w:id="10"/>
      <w:r w:rsidR="00F86144">
        <w:rPr>
          <w:rStyle w:val="CommentReference"/>
        </w:rPr>
        <w:commentReference w:id="10"/>
      </w:r>
    </w:p>
    <w:p w14:paraId="2C7CBD0F" w14:textId="5B4F66AB"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(Pure Blocks) or </w:t>
      </w:r>
      <w:r w:rsidR="00610945">
        <w:rPr>
          <w:sz w:val="24"/>
        </w:rPr>
        <w:t xml:space="preserve">as a function of </w:t>
      </w:r>
      <w:r w:rsidR="00423011">
        <w:rPr>
          <w:sz w:val="24"/>
        </w:rPr>
        <w:t xml:space="preserve">trial (Switch Blocks).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p>
    <w:p w14:paraId="038FE67B" w14:textId="6B83073E" w:rsidR="00162266"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Participants </w:t>
      </w:r>
      <w:r w:rsidR="00DC27A1">
        <w:rPr>
          <w:sz w:val="24"/>
        </w:rPr>
        <w:t xml:space="preserve">first completed a set of 10 practice trials which corresponded to the first pure block and received verbal feedback on their performance. Following completion of the initial practice trials, participants </w:t>
      </w:r>
      <w:r w:rsidR="00525188">
        <w:rPr>
          <w:sz w:val="24"/>
        </w:rPr>
        <w:t xml:space="preserve">were presented with </w:t>
      </w:r>
      <w:r w:rsidR="00DC27A1">
        <w:rPr>
          <w:sz w:val="24"/>
        </w:rPr>
        <w:t xml:space="preserve">the first of </w:t>
      </w:r>
      <w:r>
        <w:rPr>
          <w:sz w:val="24"/>
        </w:rPr>
        <w:t xml:space="preserve">two pure blocks in which </w:t>
      </w:r>
      <w:r>
        <w:rPr>
          <w:sz w:val="24"/>
        </w:rPr>
        <w:lastRenderedPageBreak/>
        <w:t xml:space="preserve">they completed </w:t>
      </w:r>
      <w:r w:rsidR="005A30CD">
        <w:rPr>
          <w:sz w:val="24"/>
        </w:rPr>
        <w:t>either</w:t>
      </w:r>
      <w:r>
        <w:rPr>
          <w:sz w:val="24"/>
        </w:rPr>
        <w:t xml:space="preserve"> the CV or OE task. These </w:t>
      </w:r>
      <w:r w:rsidR="005A30CD">
        <w:rPr>
          <w:sz w:val="24"/>
        </w:rPr>
        <w:t xml:space="preserve">pure </w:t>
      </w:r>
      <w:r>
        <w:rPr>
          <w:sz w:val="24"/>
        </w:rPr>
        <w:t xml:space="preserve">blocks each contained 96 trials, with one 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r w:rsidR="005A30CD">
        <w:rPr>
          <w:sz w:val="24"/>
        </w:rPr>
        <w:t>After completing the two</w:t>
      </w:r>
      <w:r w:rsidR="00525188">
        <w:rPr>
          <w:sz w:val="24"/>
        </w:rPr>
        <w:t xml:space="preserve"> pure blocks, participants began the </w:t>
      </w:r>
      <w:r w:rsidR="00162266">
        <w:rPr>
          <w:sz w:val="24"/>
        </w:rPr>
        <w:t xml:space="preserve">two </w:t>
      </w:r>
      <w:r w:rsidR="00525188">
        <w:rPr>
          <w:sz w:val="24"/>
        </w:rPr>
        <w:t>switch blocks.</w:t>
      </w:r>
      <w:r w:rsidR="00162266">
        <w:rPr>
          <w:sz w:val="24"/>
        </w:rPr>
        <w:t xml:space="preserve"> In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5A30CD">
        <w:rPr>
          <w:sz w:val="24"/>
        </w:rPr>
        <w:t>is</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contained 120 trials, </w:t>
      </w:r>
      <w:r w:rsidR="00701580">
        <w:rPr>
          <w:sz w:val="24"/>
        </w:rPr>
        <w:t xml:space="preserve">which consisted of </w:t>
      </w:r>
      <w:r w:rsidR="00162266" w:rsidRPr="00162266">
        <w:rPr>
          <w:sz w:val="24"/>
          <w:highlight w:val="yellow"/>
        </w:rPr>
        <w:t>xx</w:t>
      </w:r>
      <w:r w:rsidR="00162266">
        <w:rPr>
          <w:sz w:val="24"/>
        </w:rPr>
        <w:t xml:space="preserve"> switch trials (i.e., a CV trial followed by an OE trial) and </w:t>
      </w:r>
      <w:r w:rsidR="00162266" w:rsidRPr="00162266">
        <w:rPr>
          <w:sz w:val="24"/>
          <w:highlight w:val="yellow"/>
        </w:rPr>
        <w:t>xx</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Block presentation was randomized across participants; however, f</w:t>
      </w:r>
      <w:r w:rsidR="00037E56">
        <w:rPr>
          <w:sz w:val="24"/>
        </w:rPr>
        <w:t xml:space="preserve">ollowing the design of Huff et al. (2015), 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p>
    <w:p w14:paraId="7D57EB28" w14:textId="32B68BA1"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using E-Prime 3.0 software </w:t>
      </w:r>
      <w:r w:rsidR="003B5619" w:rsidRPr="003B5619">
        <w:rPr>
          <w:sz w:val="24"/>
          <w:highlight w:val="cyan"/>
        </w:rPr>
        <w:t>[CITE]</w:t>
      </w:r>
      <w:r w:rsidR="003B5619">
        <w:rPr>
          <w:sz w:val="24"/>
        </w:rPr>
        <w:t xml:space="preserve">, and </w:t>
      </w:r>
      <w:r w:rsidR="00501B19">
        <w:rPr>
          <w:sz w:val="24"/>
        </w:rPr>
        <w:lastRenderedPageBreak/>
        <w:t xml:space="preserve">stimuli were presented in </w:t>
      </w:r>
      <w:r w:rsidR="00501B19" w:rsidRPr="00501B19">
        <w:rPr>
          <w:sz w:val="24"/>
          <w:highlight w:val="yellow"/>
        </w:rPr>
        <w:t>XX</w:t>
      </w:r>
      <w:r w:rsidR="00501B19">
        <w:rPr>
          <w:sz w:val="24"/>
        </w:rPr>
        <w:t xml:space="preserve">-point Courier New font. All </w:t>
      </w:r>
      <w:r w:rsidR="00745276">
        <w:rPr>
          <w:sz w:val="24"/>
        </w:rPr>
        <w:t xml:space="preserve">participants were tested </w:t>
      </w:r>
      <w:commentRangeStart w:id="11"/>
      <w:r w:rsidR="00745276">
        <w:rPr>
          <w:sz w:val="24"/>
        </w:rPr>
        <w:t>individually in a laboratory setting</w:t>
      </w:r>
      <w:commentRangeEnd w:id="11"/>
      <w:r w:rsidR="00977EFF">
        <w:rPr>
          <w:rStyle w:val="CommentReference"/>
        </w:rPr>
        <w:commentReference w:id="11"/>
      </w:r>
      <w:r w:rsidR="00501B19">
        <w:rPr>
          <w:sz w:val="24"/>
        </w:rPr>
        <w:t>, and t</w:t>
      </w:r>
      <w:r w:rsidR="003B5619">
        <w:rPr>
          <w:sz w:val="24"/>
        </w:rPr>
        <w:t xml:space="preserve">he </w:t>
      </w:r>
      <w:r w:rsidR="00374DCC">
        <w:rPr>
          <w:sz w:val="24"/>
        </w:rPr>
        <w:t xml:space="preserve">total experiment took approximately </w:t>
      </w:r>
      <w:r w:rsidR="00501B19">
        <w:rPr>
          <w:sz w:val="24"/>
        </w:rPr>
        <w:t>2</w:t>
      </w:r>
      <w:r w:rsidR="00374DCC">
        <w:rPr>
          <w:sz w:val="24"/>
        </w:rPr>
        <w:t>0 minutes to complete.</w:t>
      </w:r>
    </w:p>
    <w:p w14:paraId="26609B76" w14:textId="79277C2E" w:rsidR="00F02CC9" w:rsidRDefault="00F02CC9" w:rsidP="00F02CC9">
      <w:pPr>
        <w:spacing w:line="480" w:lineRule="auto"/>
        <w:jc w:val="center"/>
        <w:rPr>
          <w:b/>
          <w:bCs/>
          <w:sz w:val="24"/>
        </w:rPr>
      </w:pPr>
      <w:commentRangeStart w:id="12"/>
      <w:commentRangeStart w:id="13"/>
      <w:r>
        <w:rPr>
          <w:b/>
          <w:bCs/>
          <w:sz w:val="24"/>
        </w:rPr>
        <w:t>Results</w:t>
      </w:r>
      <w:commentRangeEnd w:id="12"/>
      <w:r w:rsidR="00AD3BD3">
        <w:rPr>
          <w:rStyle w:val="CommentReference"/>
        </w:rPr>
        <w:commentReference w:id="12"/>
      </w:r>
      <w:commentRangeEnd w:id="13"/>
      <w:r w:rsidR="00B01D32">
        <w:rPr>
          <w:rStyle w:val="CommentReference"/>
        </w:rPr>
        <w:commentReference w:id="13"/>
      </w:r>
    </w:p>
    <w:p w14:paraId="1AA4819A" w14:textId="59F2BC8C"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significanc</w:t>
      </w:r>
      <w:r>
        <w:rPr>
          <w:sz w:val="24"/>
        </w:rPr>
        <w:t xml:space="preserve">e </w:t>
      </w:r>
      <w:r w:rsidR="00BD30B1" w:rsidRPr="00BD30B1">
        <w:rPr>
          <w:sz w:val="24"/>
        </w:rPr>
        <w:t>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proofErr w:type="spellStart"/>
      <w:r w:rsidR="00BD30B1" w:rsidRPr="00BD30B1">
        <w:rPr>
          <w:i/>
          <w:iCs/>
          <w:sz w:val="24"/>
        </w:rPr>
        <w:t>p</w:t>
      </w:r>
      <w:r w:rsidR="00BD30B1" w:rsidRPr="00BD30B1">
        <w:rPr>
          <w:sz w:val="24"/>
          <w:vertAlign w:val="subscript"/>
        </w:rPr>
        <w:t>BIC</w:t>
      </w:r>
      <w:proofErr w:type="spellEnd"/>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proofErr w:type="spellStart"/>
      <w:r w:rsidR="00BD30B1" w:rsidRPr="00BD30B1">
        <w:rPr>
          <w:i/>
          <w:iCs/>
          <w:sz w:val="24"/>
        </w:rPr>
        <w:t>p</w:t>
      </w:r>
      <w:r w:rsidR="00BD30B1" w:rsidRPr="00BD30B1">
        <w:rPr>
          <w:sz w:val="24"/>
          <w:vertAlign w:val="subscript"/>
        </w:rPr>
        <w:t>BIC</w:t>
      </w:r>
      <w:proofErr w:type="spellEnd"/>
      <w:r w:rsidR="00BD30B1" w:rsidRPr="00BD30B1">
        <w:rPr>
          <w:sz w:val="24"/>
          <w:vertAlign w:val="subscript"/>
        </w:rPr>
        <w:t xml:space="preserve"> </w:t>
      </w:r>
      <w:r w:rsidR="00BD30B1" w:rsidRPr="00BD30B1">
        <w:rPr>
          <w:sz w:val="24"/>
        </w:rPr>
        <w:t>estimate.</w:t>
      </w:r>
    </w:p>
    <w:p w14:paraId="399B8485" w14:textId="7EC218B2" w:rsidR="00587B5C" w:rsidRPr="00C454D8" w:rsidRDefault="00587B5C" w:rsidP="00BD30B1">
      <w:pPr>
        <w:spacing w:line="480" w:lineRule="auto"/>
        <w:rPr>
          <w:sz w:val="28"/>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as a function of trial type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mean RTs as a function of trial type</w:t>
      </w:r>
      <w:r w:rsidR="00FD14A8">
        <w:rPr>
          <w:sz w:val="24"/>
          <w:szCs w:val="24"/>
        </w:rPr>
        <w:t xml:space="preserve"> and switch cost</w:t>
      </w:r>
      <w:r w:rsidR="004A3808">
        <w:rPr>
          <w:sz w:val="24"/>
          <w:szCs w:val="24"/>
        </w:rPr>
        <w:t xml:space="preserve">. </w:t>
      </w:r>
      <w:r w:rsidR="009C0A59"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xml:space="preserve">% of nonswitch trials, and </w:t>
      </w:r>
      <w:r w:rsidR="009C0A59" w:rsidRPr="00B967A1">
        <w:rPr>
          <w:sz w:val="24"/>
          <w:szCs w:val="24"/>
          <w:highlight w:val="yellow"/>
        </w:rPr>
        <w:t>xx</w:t>
      </w:r>
      <w:r w:rsidR="009C0A59"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323013F0" w14:textId="2EA8189F" w:rsidR="00C454D8" w:rsidRPr="00C454D8" w:rsidRDefault="008759CB" w:rsidP="00F02CC9">
      <w:pPr>
        <w:spacing w:line="480" w:lineRule="auto"/>
        <w:rPr>
          <w:b/>
          <w:bCs/>
          <w:sz w:val="24"/>
        </w:rPr>
      </w:pPr>
      <w:r>
        <w:rPr>
          <w:b/>
          <w:bCs/>
          <w:sz w:val="24"/>
        </w:rPr>
        <w:t xml:space="preserve">Mean </w:t>
      </w:r>
      <w:r w:rsidR="00C454D8" w:rsidRPr="00C454D8">
        <w:rPr>
          <w:b/>
          <w:bCs/>
          <w:sz w:val="24"/>
        </w:rPr>
        <w:t>Error</w:t>
      </w:r>
      <w:r>
        <w:rPr>
          <w:b/>
          <w:bCs/>
          <w:sz w:val="24"/>
        </w:rPr>
        <w:t xml:space="preserve"> Rates</w:t>
      </w:r>
    </w:p>
    <w:p w14:paraId="6B7CCFB2" w14:textId="1D37C017" w:rsidR="00F02CC9" w:rsidRDefault="00B379D9" w:rsidP="00B379D9">
      <w:pPr>
        <w:spacing w:line="480" w:lineRule="auto"/>
        <w:ind w:firstLine="720"/>
        <w:rPr>
          <w:sz w:val="24"/>
        </w:rPr>
      </w:pPr>
      <w:r>
        <w:rPr>
          <w:sz w:val="24"/>
        </w:rPr>
        <w:lastRenderedPageBreak/>
        <w:t xml:space="preserve">Mean error rates as a function of </w:t>
      </w:r>
      <w:r w:rsidR="00D616C3">
        <w:rPr>
          <w:sz w:val="24"/>
        </w:rPr>
        <w:t xml:space="preserve">trial type are displayed in Figure </w:t>
      </w:r>
      <w:r w:rsidR="00D616C3" w:rsidRPr="00D616C3">
        <w:rPr>
          <w:sz w:val="24"/>
          <w:highlight w:val="green"/>
        </w:rPr>
        <w:t>X</w:t>
      </w:r>
      <w:r w:rsidR="007D2A01">
        <w:rPr>
          <w:sz w:val="24"/>
        </w:rPr>
        <w:t xml:space="preserve"> (top panel)</w:t>
      </w:r>
      <w:r w:rsidR="00D616C3">
        <w:rPr>
          <w:sz w:val="24"/>
        </w:rPr>
        <w:t xml:space="preserve">. Overall, error rates were </w:t>
      </w:r>
      <w:r w:rsidR="0022199A">
        <w:rPr>
          <w:sz w:val="24"/>
        </w:rPr>
        <w:t>highest</w:t>
      </w:r>
      <w:r w:rsidR="00D616C3">
        <w:rPr>
          <w:sz w:val="24"/>
        </w:rPr>
        <w:t xml:space="preserve"> for </w:t>
      </w:r>
      <w:r w:rsidR="0022199A">
        <w:rPr>
          <w:sz w:val="24"/>
        </w:rPr>
        <w:t>alternating runs switch</w:t>
      </w:r>
      <w:r w:rsidR="004A4C0F">
        <w:rPr>
          <w:sz w:val="24"/>
        </w:rPr>
        <w:t xml:space="preserve"> trials (</w:t>
      </w:r>
      <w:r w:rsidR="0022199A">
        <w:rPr>
          <w:sz w:val="24"/>
        </w:rPr>
        <w:t>6.12%</w:t>
      </w:r>
      <w:r w:rsidR="004A4C0F">
        <w:rPr>
          <w:sz w:val="24"/>
        </w:rPr>
        <w:t xml:space="preserve">), followed by </w:t>
      </w:r>
      <w:r w:rsidR="0022199A">
        <w:rPr>
          <w:sz w:val="24"/>
        </w:rPr>
        <w:t>random switch trials</w:t>
      </w:r>
      <w:r w:rsidR="004A4C0F" w:rsidRPr="001E1782">
        <w:rPr>
          <w:sz w:val="24"/>
          <w:highlight w:val="yellow"/>
        </w:rPr>
        <w:t xml:space="preserve"> </w:t>
      </w:r>
      <w:r w:rsidR="004A4C0F" w:rsidRPr="00767D39">
        <w:rPr>
          <w:sz w:val="24"/>
        </w:rPr>
        <w:t>(</w:t>
      </w:r>
      <w:r w:rsidR="0022199A" w:rsidRPr="00767D39">
        <w:rPr>
          <w:sz w:val="24"/>
        </w:rPr>
        <w:t>5.17%</w:t>
      </w:r>
      <w:r w:rsidR="004A4C0F" w:rsidRPr="00767D39">
        <w:rPr>
          <w:sz w:val="24"/>
        </w:rPr>
        <w:t xml:space="preserve">), </w:t>
      </w:r>
      <w:r w:rsidR="00767D39" w:rsidRPr="00767D39">
        <w:rPr>
          <w:sz w:val="24"/>
        </w:rPr>
        <w:t>alternating runs nonswitch trials</w:t>
      </w:r>
      <w:r w:rsidR="004A4C0F" w:rsidRPr="00767D39">
        <w:rPr>
          <w:sz w:val="24"/>
        </w:rPr>
        <w:t xml:space="preserve"> (</w:t>
      </w:r>
      <w:r w:rsidR="00767D39" w:rsidRPr="00767D39">
        <w:rPr>
          <w:sz w:val="24"/>
        </w:rPr>
        <w:t>3.49%</w:t>
      </w:r>
      <w:r w:rsidR="004A4C0F" w:rsidRPr="00767D39">
        <w:rPr>
          <w:sz w:val="24"/>
        </w:rPr>
        <w:t xml:space="preserve">), </w:t>
      </w:r>
      <w:r w:rsidR="00767D39" w:rsidRPr="00767D39">
        <w:rPr>
          <w:sz w:val="24"/>
        </w:rPr>
        <w:t>pure trials</w:t>
      </w:r>
      <w:r w:rsidR="004A4C0F" w:rsidRPr="00767D39">
        <w:rPr>
          <w:sz w:val="24"/>
        </w:rPr>
        <w:t xml:space="preserve"> (</w:t>
      </w:r>
      <w:r w:rsidR="00767D39" w:rsidRPr="00767D39">
        <w:rPr>
          <w:sz w:val="24"/>
        </w:rPr>
        <w:t>3.25%</w:t>
      </w:r>
      <w:r w:rsidR="004A4C0F" w:rsidRPr="00767D39">
        <w:rPr>
          <w:sz w:val="24"/>
        </w:rPr>
        <w:t xml:space="preserve">), and </w:t>
      </w:r>
      <w:r w:rsidR="00767D39" w:rsidRPr="00767D39">
        <w:rPr>
          <w:sz w:val="24"/>
        </w:rPr>
        <w:t>random nonswitch trials</w:t>
      </w:r>
      <w:r w:rsidR="004A4C0F" w:rsidRPr="00767D39">
        <w:rPr>
          <w:sz w:val="24"/>
        </w:rPr>
        <w:t xml:space="preserve"> (</w:t>
      </w:r>
      <w:r w:rsidR="00767D39" w:rsidRPr="00767D39">
        <w:rPr>
          <w:sz w:val="24"/>
        </w:rPr>
        <w:t>3.01%</w:t>
      </w:r>
      <w:r w:rsidR="004A4C0F" w:rsidRPr="00767D39">
        <w:rPr>
          <w:sz w:val="24"/>
        </w:rPr>
        <w:t>).</w:t>
      </w:r>
      <w:r w:rsidR="004A4C0F">
        <w:rPr>
          <w:sz w:val="24"/>
        </w:rPr>
        <w:t xml:space="preserve"> A one-way repeated measures ANOVA confirmed the presence of a significant main effect</w:t>
      </w:r>
      <w:r w:rsidR="00BB5C53">
        <w:rPr>
          <w:sz w:val="24"/>
        </w:rPr>
        <w:t xml:space="preserve"> of trial type,</w:t>
      </w:r>
      <w:r w:rsidR="004A4C0F">
        <w:rPr>
          <w:sz w:val="24"/>
        </w:rPr>
        <w:t xml:space="preserve"> </w:t>
      </w:r>
      <w:proofErr w:type="gramStart"/>
      <w:r w:rsidR="00D32D4E" w:rsidRPr="00C75F7A">
        <w:rPr>
          <w:i/>
          <w:iCs/>
          <w:sz w:val="24"/>
          <w:szCs w:val="24"/>
        </w:rPr>
        <w:t>F</w:t>
      </w:r>
      <w:r w:rsidR="00D32D4E" w:rsidRPr="00C75F7A">
        <w:rPr>
          <w:sz w:val="24"/>
          <w:szCs w:val="24"/>
        </w:rPr>
        <w:t>(</w:t>
      </w:r>
      <w:proofErr w:type="gramEnd"/>
      <w:r w:rsidR="00BB5C53">
        <w:rPr>
          <w:sz w:val="24"/>
          <w:szCs w:val="24"/>
        </w:rPr>
        <w:t>4</w:t>
      </w:r>
      <w:r w:rsidR="00D32D4E" w:rsidRPr="00C75F7A">
        <w:rPr>
          <w:sz w:val="24"/>
          <w:szCs w:val="24"/>
        </w:rPr>
        <w:t xml:space="preserve">, </w:t>
      </w:r>
      <w:r w:rsidR="00BB5C53">
        <w:rPr>
          <w:sz w:val="24"/>
          <w:szCs w:val="24"/>
        </w:rPr>
        <w:t>352</w:t>
      </w:r>
      <w:r w:rsidR="00D32D4E" w:rsidRPr="00C75F7A">
        <w:rPr>
          <w:sz w:val="24"/>
          <w:szCs w:val="24"/>
        </w:rPr>
        <w:t xml:space="preserve">) = </w:t>
      </w:r>
      <w:r w:rsidR="00BB5C53">
        <w:rPr>
          <w:sz w:val="24"/>
          <w:szCs w:val="24"/>
        </w:rPr>
        <w:t>20.29</w:t>
      </w:r>
      <w:r w:rsidR="00D32D4E" w:rsidRPr="00C75F7A">
        <w:rPr>
          <w:sz w:val="24"/>
          <w:szCs w:val="24"/>
        </w:rPr>
        <w:t xml:space="preserve">, </w:t>
      </w:r>
      <w:r w:rsidR="00D32D4E" w:rsidRPr="00C75F7A">
        <w:rPr>
          <w:i/>
          <w:iCs/>
          <w:sz w:val="24"/>
          <w:szCs w:val="24"/>
        </w:rPr>
        <w:t>MSE</w:t>
      </w:r>
      <w:bookmarkStart w:id="14" w:name="_Hlk57712466"/>
      <w:r w:rsidR="0022199A">
        <w:rPr>
          <w:sz w:val="24"/>
          <w:szCs w:val="24"/>
        </w:rPr>
        <w:t xml:space="preserve"> = 8.16</w:t>
      </w:r>
      <w:r w:rsidR="00D32D4E">
        <w:rPr>
          <w:sz w:val="24"/>
          <w:szCs w:val="24"/>
        </w:rPr>
        <w:t xml:space="preserve">,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bookmarkEnd w:id="14"/>
      <w:r w:rsidR="00D32D4E">
        <w:rPr>
          <w:rFonts w:eastAsia="Arial"/>
          <w:sz w:val="24"/>
          <w:szCs w:val="24"/>
        </w:rPr>
        <w:t xml:space="preserve"> = .</w:t>
      </w:r>
      <w:r w:rsidR="00BB5C53">
        <w:rPr>
          <w:rFonts w:eastAsia="Arial"/>
          <w:sz w:val="24"/>
          <w:szCs w:val="24"/>
        </w:rPr>
        <w:t>09</w:t>
      </w:r>
      <w:r w:rsidR="00D32D4E" w:rsidRPr="00C75F7A">
        <w:rPr>
          <w:sz w:val="24"/>
          <w:szCs w:val="24"/>
        </w:rPr>
        <w:t>.</w:t>
      </w:r>
      <w:r w:rsidR="00767D39">
        <w:rPr>
          <w:sz w:val="24"/>
          <w:szCs w:val="24"/>
        </w:rPr>
        <w:t>, and p</w:t>
      </w:r>
      <w:r w:rsidR="00D32D4E">
        <w:rPr>
          <w:sz w:val="24"/>
          <w:szCs w:val="24"/>
        </w:rPr>
        <w:t xml:space="preserve">ost-hoc </w:t>
      </w:r>
      <w:r w:rsidR="00D32D4E">
        <w:rPr>
          <w:i/>
          <w:iCs/>
          <w:sz w:val="24"/>
          <w:szCs w:val="24"/>
        </w:rPr>
        <w:t>t</w:t>
      </w:r>
      <w:r w:rsidR="00D32D4E">
        <w:rPr>
          <w:sz w:val="24"/>
          <w:szCs w:val="24"/>
        </w:rPr>
        <w:t>-tests revealed that</w:t>
      </w:r>
      <w:r w:rsidR="00767D39">
        <w:rPr>
          <w:sz w:val="24"/>
        </w:rPr>
        <w:t xml:space="preserve"> this effect was driven by differences between the switch trials and the nonswitch and pure trials </w:t>
      </w:r>
      <w:r w:rsidR="00767D39" w:rsidRPr="00767D39">
        <w:rPr>
          <w:sz w:val="24"/>
          <w:highlight w:val="yellow"/>
        </w:rPr>
        <w:t>[STATS]</w:t>
      </w:r>
      <w:r w:rsidR="00767D39">
        <w:rPr>
          <w:sz w:val="24"/>
        </w:rPr>
        <w:t xml:space="preserve">. Switch trial error rates did not differ as a function of presentation type </w:t>
      </w:r>
      <w:r w:rsidR="00767D39" w:rsidRPr="00767D39">
        <w:rPr>
          <w:sz w:val="24"/>
          <w:highlight w:val="yellow"/>
        </w:rPr>
        <w:t>[STATS]</w:t>
      </w:r>
      <w:r w:rsidR="00767D39">
        <w:rPr>
          <w:sz w:val="24"/>
        </w:rPr>
        <w:t xml:space="preserve">, and no differences were detected between pure trials and nonswitch trials, regardless of type </w:t>
      </w:r>
      <w:r w:rsidR="00767D39" w:rsidRPr="00767D39">
        <w:rPr>
          <w:sz w:val="24"/>
          <w:highlight w:val="yellow"/>
        </w:rPr>
        <w:t>[STATS]</w:t>
      </w:r>
    </w:p>
    <w:p w14:paraId="32489F6A" w14:textId="141DA8FD" w:rsidR="001D3A95" w:rsidRDefault="0041487E" w:rsidP="0041487E">
      <w:pPr>
        <w:spacing w:line="480" w:lineRule="auto"/>
        <w:ind w:firstLine="720"/>
        <w:rPr>
          <w:sz w:val="24"/>
        </w:rPr>
      </w:pPr>
      <w:r w:rsidRPr="0041487E">
        <w:rPr>
          <w:sz w:val="24"/>
        </w:rPr>
        <w:t xml:space="preserve">Next, we compared differences in </w:t>
      </w:r>
      <w:r w:rsidR="001D3A95" w:rsidRPr="0041487E">
        <w:rPr>
          <w:sz w:val="24"/>
        </w:rPr>
        <w:t>[LOCAL AND GLOBAL SWITCH COSTS]</w:t>
      </w:r>
      <w:r w:rsidR="001A6A2D">
        <w:rPr>
          <w:sz w:val="24"/>
        </w:rPr>
        <w:t xml:space="preserve"> (Figure </w:t>
      </w:r>
      <w:r w:rsidR="00AF6481" w:rsidRPr="00AF6481">
        <w:rPr>
          <w:sz w:val="24"/>
          <w:highlight w:val="green"/>
        </w:rPr>
        <w:t>X</w:t>
      </w:r>
      <w:r w:rsidR="00AF6481">
        <w:rPr>
          <w:sz w:val="24"/>
        </w:rPr>
        <w:t>, bottom panel). Overall, [TYPE OF ANALYSIS]</w:t>
      </w:r>
    </w:p>
    <w:p w14:paraId="313CFDCF" w14:textId="3A67D0C5" w:rsidR="00C454D8" w:rsidRDefault="00C454D8" w:rsidP="00F02CC9">
      <w:pPr>
        <w:spacing w:line="480" w:lineRule="auto"/>
        <w:rPr>
          <w:b/>
          <w:bCs/>
          <w:sz w:val="24"/>
        </w:rPr>
      </w:pPr>
      <w:commentRangeStart w:id="15"/>
      <w:r w:rsidRPr="00C454D8">
        <w:rPr>
          <w:b/>
          <w:bCs/>
          <w:sz w:val="24"/>
        </w:rPr>
        <w:t>Mean RTs</w:t>
      </w:r>
      <w:commentRangeEnd w:id="15"/>
      <w:r w:rsidR="001D3A95">
        <w:rPr>
          <w:rStyle w:val="CommentReference"/>
        </w:rPr>
        <w:commentReference w:id="15"/>
      </w:r>
    </w:p>
    <w:p w14:paraId="3BC0DD20" w14:textId="6DEBB880" w:rsidR="00C454D8" w:rsidRDefault="00C454D8" w:rsidP="00F02CC9">
      <w:pPr>
        <w:spacing w:line="480" w:lineRule="auto"/>
        <w:rPr>
          <w:sz w:val="24"/>
        </w:rPr>
      </w:pPr>
      <w:r>
        <w:rPr>
          <w:sz w:val="24"/>
        </w:rPr>
        <w:t>[ANOVAS]</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lastRenderedPageBreak/>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E121BB">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k Maxwell" w:date="2021-12-07T13:36:00Z" w:initials="NM">
    <w:p w14:paraId="6CE81035" w14:textId="1FF3E929" w:rsidR="008448BB" w:rsidRDefault="008448BB">
      <w:pPr>
        <w:pStyle w:val="CommentText"/>
      </w:pPr>
      <w:r>
        <w:rPr>
          <w:rStyle w:val="CommentReference"/>
        </w:rPr>
        <w:annotationRef/>
      </w:r>
      <w:r>
        <w:t>Talk about aging effects</w:t>
      </w:r>
    </w:p>
  </w:comment>
  <w:comment w:id="6" w:author="Nick Maxwell" w:date="2021-12-07T13:49:00Z" w:initials="NM">
    <w:p w14:paraId="2C418A94" w14:textId="5B2C8725" w:rsidR="00D27CFE" w:rsidRDefault="00D27CFE">
      <w:pPr>
        <w:pStyle w:val="CommentText"/>
      </w:pPr>
      <w:r>
        <w:rPr>
          <w:rStyle w:val="CommentReference"/>
        </w:rPr>
        <w:annotationRef/>
      </w:r>
      <w:r>
        <w:t>Plot the costs!</w:t>
      </w:r>
    </w:p>
  </w:comment>
  <w:comment w:id="7" w:author="Nicholas Maxwell" w:date="2021-12-08T10:59:00Z" w:initials="NM">
    <w:p w14:paraId="205D7E95" w14:textId="3FCCC85B" w:rsidR="00521552" w:rsidRDefault="00521552">
      <w:pPr>
        <w:pStyle w:val="CommentText"/>
      </w:pPr>
      <w:r>
        <w:rPr>
          <w:rStyle w:val="CommentReference"/>
        </w:rPr>
        <w:annotationRef/>
      </w:r>
      <w:r>
        <w:t>Okay, need to figure out how!</w:t>
      </w:r>
    </w:p>
  </w:comment>
  <w:comment w:id="8"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9" w:author="Nicholas Maxwell" w:date="2021-12-08T10:59:00Z" w:initials="NM">
    <w:p w14:paraId="64EA3AAC" w14:textId="77D358BD" w:rsidR="00FA164D" w:rsidRDefault="00FA164D">
      <w:pPr>
        <w:pStyle w:val="CommentText"/>
      </w:pPr>
      <w:r>
        <w:rPr>
          <w:rStyle w:val="CommentReference"/>
        </w:rPr>
        <w:annotationRef/>
      </w:r>
      <w:r>
        <w:t xml:space="preserve">Feel free to come up w/ a better header here. </w:t>
      </w:r>
    </w:p>
  </w:comment>
  <w:comment w:id="10" w:author="Nicholas Maxwell" w:date="2021-12-08T15:00:00Z" w:initials="NM">
    <w:p w14:paraId="386838CD" w14:textId="6B5437FC" w:rsidR="00F86144" w:rsidRDefault="00F86144">
      <w:pPr>
        <w:pStyle w:val="CommentText"/>
      </w:pPr>
      <w:r>
        <w:rPr>
          <w:rStyle w:val="CommentReference"/>
        </w:rPr>
        <w:annotationRef/>
      </w:r>
      <w:r>
        <w:t xml:space="preserve">Do we want to mention the </w:t>
      </w:r>
      <w:proofErr w:type="spellStart"/>
      <w:r>
        <w:t>MoCA</w:t>
      </w:r>
      <w:proofErr w:type="spellEnd"/>
      <w:r>
        <w:t xml:space="preserve"> since we aren’t reporting the older adults?</w:t>
      </w:r>
    </w:p>
  </w:comment>
  <w:comment w:id="11"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2" w:author="Nick Maxwell" w:date="2021-12-07T16:15:00Z" w:initials="NM">
    <w:p w14:paraId="61B6AECF" w14:textId="14A96F05" w:rsidR="00AD3BD3" w:rsidRDefault="00AD3BD3">
      <w:pPr>
        <w:pStyle w:val="CommentText"/>
      </w:pPr>
      <w:r>
        <w:rPr>
          <w:rStyle w:val="CommentReference"/>
        </w:rPr>
        <w:annotationRef/>
      </w:r>
      <w:r>
        <w:t>Ex-</w:t>
      </w:r>
      <w:proofErr w:type="spellStart"/>
      <w:r>
        <w:t>guass</w:t>
      </w:r>
      <w:proofErr w:type="spellEnd"/>
      <w:r>
        <w:t xml:space="preserve"> in table</w:t>
      </w:r>
      <w:r w:rsidR="00FB7C07">
        <w:t>? (bar chart looks whack when you take out the older 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3" w:author="Nicholas"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5"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3C1A6A" w15:done="0"/>
  <w15:commentEx w15:paraId="6C2BD28D" w15:done="0"/>
  <w15:commentEx w15:paraId="2FED75D7" w15:done="0"/>
  <w15:commentEx w15:paraId="6CE81035" w15:done="0"/>
  <w15:commentEx w15:paraId="2C418A94" w15:done="0"/>
  <w15:commentEx w15:paraId="205D7E95" w15:paraIdParent="2C418A94" w15:done="0"/>
  <w15:commentEx w15:paraId="21DC59F1" w15:done="0"/>
  <w15:commentEx w15:paraId="64EA3AAC" w15:done="0"/>
  <w15:commentEx w15:paraId="386838CD" w15:done="0"/>
  <w15:commentEx w15:paraId="55D7EF24" w15:done="0"/>
  <w15:commentEx w15:paraId="56B31A32" w15:done="0"/>
  <w15:commentEx w15:paraId="1269FD83"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59E1F1" w16cex:dateUtc="2021-12-07T19:36:00Z"/>
  <w16cex:commentExtensible w16cex:durableId="2559E4E3" w16cex:dateUtc="2021-12-07T19:49:00Z"/>
  <w16cex:commentExtensible w16cex:durableId="255B0EAF" w16cex:dateUtc="2021-12-08T16:59:00Z"/>
  <w16cex:commentExtensible w16cex:durableId="255CA54C" w16cex:dateUtc="2021-12-09T21:54:00Z"/>
  <w16cex:commentExtensible w16cex:durableId="255B0E90" w16cex:dateUtc="2021-12-08T16:59: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3C1A6A" w16cid:durableId="255C94B8"/>
  <w16cid:commentId w16cid:paraId="6C2BD28D" w16cid:durableId="255AF580"/>
  <w16cid:commentId w16cid:paraId="2FED75D7" w16cid:durableId="255C9BB3"/>
  <w16cid:commentId w16cid:paraId="6CE81035" w16cid:durableId="2559E1F1"/>
  <w16cid:commentId w16cid:paraId="2C418A94" w16cid:durableId="2559E4E3"/>
  <w16cid:commentId w16cid:paraId="205D7E95" w16cid:durableId="255B0EAF"/>
  <w16cid:commentId w16cid:paraId="21DC59F1" w16cid:durableId="255CA54C"/>
  <w16cid:commentId w16cid:paraId="64EA3AAC" w16cid:durableId="255B0E90"/>
  <w16cid:commentId w16cid:paraId="386838CD" w16cid:durableId="255B470F"/>
  <w16cid:commentId w16cid:paraId="55D7EF24" w16cid:durableId="255C90C4"/>
  <w16cid:commentId w16cid:paraId="56B31A32" w16cid:durableId="255A071D"/>
  <w16cid:commentId w16cid:paraId="1269FD83" w16cid:durableId="255AF4A2"/>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886DD" w14:textId="77777777" w:rsidR="00FE6156" w:rsidRDefault="00FE6156" w:rsidP="006C0CFD">
      <w:r>
        <w:separator/>
      </w:r>
    </w:p>
  </w:endnote>
  <w:endnote w:type="continuationSeparator" w:id="0">
    <w:p w14:paraId="007F4FD4" w14:textId="77777777" w:rsidR="00FE6156" w:rsidRDefault="00FE6156"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411E3" w14:textId="77777777" w:rsidR="00FE6156" w:rsidRDefault="00FE6156" w:rsidP="006C0CFD">
      <w:r>
        <w:separator/>
      </w:r>
    </w:p>
  </w:footnote>
  <w:footnote w:type="continuationSeparator" w:id="0">
    <w:p w14:paraId="6312B401" w14:textId="77777777" w:rsidR="00FE6156" w:rsidRDefault="00FE6156"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CA942" w14:textId="1CE15D6F" w:rsidR="001A483D" w:rsidRDefault="001A483D">
    <w:pPr>
      <w:pStyle w:val="Header"/>
    </w:pPr>
  </w:p>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holas">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7C4E"/>
    <w:rsid w:val="00022776"/>
    <w:rsid w:val="00035E61"/>
    <w:rsid w:val="00037E56"/>
    <w:rsid w:val="00045743"/>
    <w:rsid w:val="00092C23"/>
    <w:rsid w:val="00094E7B"/>
    <w:rsid w:val="000B5AB6"/>
    <w:rsid w:val="000C6DCE"/>
    <w:rsid w:val="000F1660"/>
    <w:rsid w:val="001306BB"/>
    <w:rsid w:val="00146E5D"/>
    <w:rsid w:val="0015253C"/>
    <w:rsid w:val="00161DF2"/>
    <w:rsid w:val="00162266"/>
    <w:rsid w:val="001625AB"/>
    <w:rsid w:val="001A483D"/>
    <w:rsid w:val="001A6A2D"/>
    <w:rsid w:val="001D3A95"/>
    <w:rsid w:val="001E1782"/>
    <w:rsid w:val="001F7176"/>
    <w:rsid w:val="002153D2"/>
    <w:rsid w:val="00221336"/>
    <w:rsid w:val="0022199A"/>
    <w:rsid w:val="002233F5"/>
    <w:rsid w:val="002258EE"/>
    <w:rsid w:val="0023471C"/>
    <w:rsid w:val="0024023D"/>
    <w:rsid w:val="0026067B"/>
    <w:rsid w:val="0026280B"/>
    <w:rsid w:val="002702BD"/>
    <w:rsid w:val="00296CBD"/>
    <w:rsid w:val="002A47DC"/>
    <w:rsid w:val="002C5405"/>
    <w:rsid w:val="002C603A"/>
    <w:rsid w:val="002D4E15"/>
    <w:rsid w:val="002E3587"/>
    <w:rsid w:val="002E4EDD"/>
    <w:rsid w:val="002F4CC8"/>
    <w:rsid w:val="003075AB"/>
    <w:rsid w:val="00310DEA"/>
    <w:rsid w:val="003268DB"/>
    <w:rsid w:val="00332940"/>
    <w:rsid w:val="00374DCC"/>
    <w:rsid w:val="00380E52"/>
    <w:rsid w:val="003B5619"/>
    <w:rsid w:val="003D065E"/>
    <w:rsid w:val="003F1610"/>
    <w:rsid w:val="003F7F82"/>
    <w:rsid w:val="0041487E"/>
    <w:rsid w:val="00423011"/>
    <w:rsid w:val="00451539"/>
    <w:rsid w:val="00490D12"/>
    <w:rsid w:val="004947B0"/>
    <w:rsid w:val="004A3808"/>
    <w:rsid w:val="004A4C0F"/>
    <w:rsid w:val="004A6944"/>
    <w:rsid w:val="00501B19"/>
    <w:rsid w:val="00504B2E"/>
    <w:rsid w:val="00521552"/>
    <w:rsid w:val="00525188"/>
    <w:rsid w:val="005869CA"/>
    <w:rsid w:val="00587B5C"/>
    <w:rsid w:val="005A30CD"/>
    <w:rsid w:val="005D56E1"/>
    <w:rsid w:val="005F2B3A"/>
    <w:rsid w:val="005F2D9A"/>
    <w:rsid w:val="006018AD"/>
    <w:rsid w:val="00610945"/>
    <w:rsid w:val="00615090"/>
    <w:rsid w:val="00616238"/>
    <w:rsid w:val="006255DD"/>
    <w:rsid w:val="00635AED"/>
    <w:rsid w:val="0065136C"/>
    <w:rsid w:val="006709FD"/>
    <w:rsid w:val="00692C50"/>
    <w:rsid w:val="006A1826"/>
    <w:rsid w:val="006A2E1D"/>
    <w:rsid w:val="006A3DC8"/>
    <w:rsid w:val="006A63B6"/>
    <w:rsid w:val="006C0CFD"/>
    <w:rsid w:val="006E5A90"/>
    <w:rsid w:val="00701580"/>
    <w:rsid w:val="00705B42"/>
    <w:rsid w:val="00710371"/>
    <w:rsid w:val="0073480E"/>
    <w:rsid w:val="00745276"/>
    <w:rsid w:val="00753787"/>
    <w:rsid w:val="00767D39"/>
    <w:rsid w:val="00786477"/>
    <w:rsid w:val="00787255"/>
    <w:rsid w:val="00791DCC"/>
    <w:rsid w:val="007A4F79"/>
    <w:rsid w:val="007D1FEA"/>
    <w:rsid w:val="007D2A01"/>
    <w:rsid w:val="007E3F63"/>
    <w:rsid w:val="007E6011"/>
    <w:rsid w:val="007E6B52"/>
    <w:rsid w:val="008448BB"/>
    <w:rsid w:val="00854157"/>
    <w:rsid w:val="008759CB"/>
    <w:rsid w:val="00877DA3"/>
    <w:rsid w:val="00897D5A"/>
    <w:rsid w:val="008A5D93"/>
    <w:rsid w:val="008C0DC2"/>
    <w:rsid w:val="008D7E9F"/>
    <w:rsid w:val="008E1C19"/>
    <w:rsid w:val="008F0E8D"/>
    <w:rsid w:val="009211B2"/>
    <w:rsid w:val="00946C99"/>
    <w:rsid w:val="00977EFF"/>
    <w:rsid w:val="00983672"/>
    <w:rsid w:val="009A730A"/>
    <w:rsid w:val="009C0A59"/>
    <w:rsid w:val="009C192B"/>
    <w:rsid w:val="009F2885"/>
    <w:rsid w:val="009F6900"/>
    <w:rsid w:val="00A03499"/>
    <w:rsid w:val="00A61677"/>
    <w:rsid w:val="00A65F38"/>
    <w:rsid w:val="00A84B48"/>
    <w:rsid w:val="00A858C7"/>
    <w:rsid w:val="00A940EB"/>
    <w:rsid w:val="00A964F3"/>
    <w:rsid w:val="00AA050A"/>
    <w:rsid w:val="00AB4760"/>
    <w:rsid w:val="00AD0038"/>
    <w:rsid w:val="00AD207B"/>
    <w:rsid w:val="00AD3BD3"/>
    <w:rsid w:val="00AE0291"/>
    <w:rsid w:val="00AE116D"/>
    <w:rsid w:val="00AF5F5B"/>
    <w:rsid w:val="00AF6481"/>
    <w:rsid w:val="00B01D32"/>
    <w:rsid w:val="00B07BA8"/>
    <w:rsid w:val="00B379D9"/>
    <w:rsid w:val="00B611B2"/>
    <w:rsid w:val="00B71B1E"/>
    <w:rsid w:val="00B811AA"/>
    <w:rsid w:val="00B86C8C"/>
    <w:rsid w:val="00B967A1"/>
    <w:rsid w:val="00BA7389"/>
    <w:rsid w:val="00BB45BC"/>
    <w:rsid w:val="00BB5C53"/>
    <w:rsid w:val="00BD30B1"/>
    <w:rsid w:val="00BF471B"/>
    <w:rsid w:val="00C01F18"/>
    <w:rsid w:val="00C15F19"/>
    <w:rsid w:val="00C173F3"/>
    <w:rsid w:val="00C224A2"/>
    <w:rsid w:val="00C454D8"/>
    <w:rsid w:val="00C56D89"/>
    <w:rsid w:val="00C742ED"/>
    <w:rsid w:val="00C85448"/>
    <w:rsid w:val="00CB5A82"/>
    <w:rsid w:val="00CB780D"/>
    <w:rsid w:val="00CE3BDA"/>
    <w:rsid w:val="00CF5159"/>
    <w:rsid w:val="00CF5602"/>
    <w:rsid w:val="00D00B0B"/>
    <w:rsid w:val="00D0742A"/>
    <w:rsid w:val="00D20358"/>
    <w:rsid w:val="00D216C9"/>
    <w:rsid w:val="00D26FAF"/>
    <w:rsid w:val="00D27CFE"/>
    <w:rsid w:val="00D31EE8"/>
    <w:rsid w:val="00D32D4E"/>
    <w:rsid w:val="00D41995"/>
    <w:rsid w:val="00D60757"/>
    <w:rsid w:val="00D616C3"/>
    <w:rsid w:val="00D67620"/>
    <w:rsid w:val="00D7141C"/>
    <w:rsid w:val="00D93521"/>
    <w:rsid w:val="00DC27A1"/>
    <w:rsid w:val="00DE3205"/>
    <w:rsid w:val="00E10005"/>
    <w:rsid w:val="00E121BB"/>
    <w:rsid w:val="00E66033"/>
    <w:rsid w:val="00E915A3"/>
    <w:rsid w:val="00E939A3"/>
    <w:rsid w:val="00EA0718"/>
    <w:rsid w:val="00EA326D"/>
    <w:rsid w:val="00ED2719"/>
    <w:rsid w:val="00EF6672"/>
    <w:rsid w:val="00F0022D"/>
    <w:rsid w:val="00F02CC9"/>
    <w:rsid w:val="00F101E2"/>
    <w:rsid w:val="00F2496D"/>
    <w:rsid w:val="00F30195"/>
    <w:rsid w:val="00F34652"/>
    <w:rsid w:val="00F34802"/>
    <w:rsid w:val="00F44499"/>
    <w:rsid w:val="00F52E06"/>
    <w:rsid w:val="00F63EB9"/>
    <w:rsid w:val="00F72FA5"/>
    <w:rsid w:val="00F842C6"/>
    <w:rsid w:val="00F84C0B"/>
    <w:rsid w:val="00F86144"/>
    <w:rsid w:val="00FA10D4"/>
    <w:rsid w:val="00FA118E"/>
    <w:rsid w:val="00FA164D"/>
    <w:rsid w:val="00FB594D"/>
    <w:rsid w:val="00FB7C07"/>
    <w:rsid w:val="00FD14A8"/>
    <w:rsid w:val="00FE592E"/>
    <w:rsid w:val="00FE6156"/>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2302</TotalTime>
  <Pages>11</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196</cp:revision>
  <cp:lastPrinted>2021-12-09T19:35:00Z</cp:lastPrinted>
  <dcterms:created xsi:type="dcterms:W3CDTF">2019-07-24T18:36:00Z</dcterms:created>
  <dcterms:modified xsi:type="dcterms:W3CDTF">2021-12-10T19:07:00Z</dcterms:modified>
</cp:coreProperties>
</file>