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100F4522" w14:textId="585CB887" w:rsidR="00B71B1E" w:rsidRPr="00C70F93" w:rsidRDefault="00AE354C" w:rsidP="00C70F93">
      <w:pPr>
        <w:spacing w:line="480" w:lineRule="auto"/>
        <w:ind w:firstLine="720"/>
        <w:rPr>
          <w:sz w:val="24"/>
        </w:rPr>
      </w:pPr>
      <w:r w:rsidRPr="00AE354C">
        <w:rPr>
          <w:sz w:val="24"/>
        </w:rPr>
        <w:t xml:space="preserve">The ability </w:t>
      </w:r>
      <w:r w:rsidR="00046229">
        <w:rPr>
          <w:sz w:val="24"/>
        </w:rPr>
        <w:t xml:space="preserve">for individuals </w:t>
      </w:r>
      <w:r w:rsidRPr="00AE354C">
        <w:rPr>
          <w:sz w:val="24"/>
        </w:rPr>
        <w:t xml:space="preserve">to </w:t>
      </w:r>
      <w:r>
        <w:rPr>
          <w:sz w:val="24"/>
        </w:rPr>
        <w:t xml:space="preserve">accurately </w:t>
      </w:r>
      <w:r w:rsidRPr="00AE354C">
        <w:rPr>
          <w:sz w:val="24"/>
        </w:rPr>
        <w:t xml:space="preserve">switch between </w:t>
      </w:r>
      <w:r w:rsidR="001D3E2E">
        <w:rPr>
          <w:sz w:val="24"/>
        </w:rPr>
        <w:t xml:space="preserve">multiple </w:t>
      </w:r>
      <w:r w:rsidRPr="00AE354C">
        <w:rPr>
          <w:sz w:val="24"/>
        </w:rPr>
        <w:t>task</w:t>
      </w:r>
      <w:r>
        <w:rPr>
          <w:sz w:val="24"/>
        </w:rPr>
        <w:t xml:space="preserve">s </w:t>
      </w:r>
      <w:r w:rsidRPr="00AE354C">
        <w:rPr>
          <w:sz w:val="24"/>
        </w:rPr>
        <w:t>is an important aspect of cognitive control</w:t>
      </w:r>
      <w:r w:rsidR="00046229">
        <w:rPr>
          <w:sz w:val="24"/>
        </w:rPr>
        <w:t xml:space="preserve">. </w:t>
      </w:r>
      <w:r w:rsidR="00046229" w:rsidRPr="00046229">
        <w:rPr>
          <w:sz w:val="24"/>
          <w:highlight w:val="yellow"/>
        </w:rPr>
        <w:t>[RAPIDLY CHANGING ENVIRONMENT]</w:t>
      </w:r>
      <w:r w:rsidRPr="00AE354C">
        <w:rPr>
          <w:sz w:val="24"/>
        </w:rPr>
        <w:t xml:space="preserve"> </w:t>
      </w:r>
      <w:r w:rsidR="00AC2ED2" w:rsidRPr="00AC2ED2">
        <w:rPr>
          <w:sz w:val="24"/>
          <w:highlight w:val="yellow"/>
        </w:rPr>
        <w:t>[</w:t>
      </w:r>
      <w:r w:rsidR="00C70F93">
        <w:rPr>
          <w:sz w:val="24"/>
          <w:highlight w:val="yellow"/>
        </w:rPr>
        <w:t>TRANSITION</w:t>
      </w:r>
      <w:r w:rsidR="00AC2ED2" w:rsidRPr="00AC2ED2">
        <w:rPr>
          <w:sz w:val="24"/>
          <w:highlight w:val="yellow"/>
        </w:rPr>
        <w:t>]</w:t>
      </w:r>
      <w:r w:rsidR="00C70F93">
        <w:rPr>
          <w:sz w:val="24"/>
        </w:rPr>
        <w:t xml:space="preserve"> The term </w:t>
      </w:r>
      <w:r w:rsidR="00C70F93" w:rsidRPr="00C70F93">
        <w:rPr>
          <w:i/>
          <w:iCs/>
          <w:sz w:val="24"/>
        </w:rPr>
        <w:t>task set</w:t>
      </w:r>
      <w:r w:rsidR="00C70F93">
        <w:rPr>
          <w:sz w:val="24"/>
        </w:rPr>
        <w:t xml:space="preserve"> refers to collection of mental resources that can be used in conjunction to complete a particular cognitive task. Researchers can empirically investigate task sets </w:t>
      </w:r>
      <w:proofErr w:type="gramStart"/>
      <w:r w:rsidR="00C70F93">
        <w:rPr>
          <w:sz w:val="24"/>
        </w:rPr>
        <w:t>through the use of</w:t>
      </w:r>
      <w:proofErr w:type="gramEnd"/>
      <w:r w:rsidR="00C70F93">
        <w:rPr>
          <w:sz w:val="24"/>
        </w:rPr>
        <w:t xml:space="preserve"> “task switching.” </w:t>
      </w:r>
      <w:r w:rsidR="00DA4DF7">
        <w:rPr>
          <w:sz w:val="24"/>
        </w:rPr>
        <w:t xml:space="preserve">In a traditional task switching </w:t>
      </w:r>
      <w:r w:rsidR="007038BC">
        <w:rPr>
          <w:sz w:val="24"/>
        </w:rPr>
        <w:t>exercise</w:t>
      </w:r>
      <w:r w:rsidR="00AF5F5B">
        <w:rPr>
          <w:sz w:val="24"/>
        </w:rPr>
        <w:t xml:space="preserve">, participants are presented with </w:t>
      </w:r>
      <w:r w:rsidR="00F30195">
        <w:rPr>
          <w:sz w:val="24"/>
        </w:rPr>
        <w:t>a pair of</w:t>
      </w:r>
      <w:r w:rsidR="00AF5F5B">
        <w:rPr>
          <w:sz w:val="24"/>
        </w:rPr>
        <w:t xml:space="preserve"> simple </w:t>
      </w:r>
      <w:r w:rsidR="00F30195">
        <w:rPr>
          <w:sz w:val="24"/>
        </w:rPr>
        <w:t>ye</w:t>
      </w:r>
      <w:r w:rsidR="00AF5F5B">
        <w:rPr>
          <w:sz w:val="24"/>
        </w:rPr>
        <w:t xml:space="preserve">t contrasting tasks and </w:t>
      </w:r>
      <w:r w:rsidR="00E915A3">
        <w:rPr>
          <w:sz w:val="24"/>
        </w:rPr>
        <w:t xml:space="preserve">must </w:t>
      </w:r>
      <w:r w:rsidR="00AF5F5B">
        <w:rPr>
          <w:sz w:val="24"/>
        </w:rPr>
        <w:t xml:space="preserve">alternate between completing </w:t>
      </w:r>
      <w:r w:rsidR="009211B2">
        <w:rPr>
          <w:sz w:val="24"/>
        </w:rPr>
        <w:t>them (i.e., performing an addition task on trial one but a subtraction task on trial two)</w:t>
      </w:r>
      <w:r w:rsidR="00AF5F5B">
        <w:rPr>
          <w:sz w:val="24"/>
        </w:rPr>
        <w:t>.</w:t>
      </w:r>
      <w:r w:rsidR="00877DA3">
        <w:rPr>
          <w:sz w:val="24"/>
        </w:rPr>
        <w:t xml:space="preserve"> </w:t>
      </w:r>
      <w:r w:rsidR="00877DA3" w:rsidRPr="00877DA3">
        <w:rPr>
          <w:sz w:val="24"/>
          <w:highlight w:val="yellow"/>
        </w:rPr>
        <w:t>[SENTENCE HERE?]</w:t>
      </w:r>
      <w:r w:rsidR="00AF5F5B">
        <w:rPr>
          <w:sz w:val="24"/>
        </w:rPr>
        <w:t xml:space="preserve"> </w:t>
      </w:r>
      <w:r w:rsidR="009211B2">
        <w:rPr>
          <w:sz w:val="24"/>
        </w:rPr>
        <w:t>Previous research has found that w</w:t>
      </w:r>
      <w:r w:rsidR="00AF5F5B">
        <w:rPr>
          <w:sz w:val="24"/>
        </w:rPr>
        <w:t xml:space="preserve">hen individuals are forced to alternate between tasks, their reaction times are </w:t>
      </w:r>
      <w:r w:rsidR="009211B2">
        <w:rPr>
          <w:sz w:val="24"/>
        </w:rPr>
        <w:t>slower,</w:t>
      </w:r>
      <w:r w:rsidR="00AF5F5B">
        <w:rPr>
          <w:sz w:val="24"/>
        </w:rPr>
        <w:t xml:space="preserve"> and they typically commit more errors relative to completing each task separately </w:t>
      </w:r>
      <w:r w:rsidR="00AF5F5B" w:rsidRPr="00AF5F5B">
        <w:rPr>
          <w:sz w:val="24"/>
          <w:highlight w:val="cyan"/>
        </w:rPr>
        <w:t>[</w:t>
      </w:r>
      <w:r w:rsidR="007038BC">
        <w:rPr>
          <w:sz w:val="24"/>
          <w:highlight w:val="cyan"/>
        </w:rPr>
        <w:t xml:space="preserve">EXAMPLE </w:t>
      </w:r>
      <w:r w:rsidR="00AF5F5B" w:rsidRPr="00AF5F5B">
        <w:rPr>
          <w:sz w:val="24"/>
          <w:highlight w:val="cyan"/>
        </w:rPr>
        <w:t>CITE]</w:t>
      </w:r>
      <w:r w:rsidR="00AF5F5B">
        <w:rPr>
          <w:sz w:val="24"/>
        </w:rPr>
        <w:t xml:space="preserve">.  </w:t>
      </w:r>
    </w:p>
    <w:p w14:paraId="41DD2565" w14:textId="7457DE3E" w:rsidR="008448BB" w:rsidRDefault="008448BB" w:rsidP="00AA050A">
      <w:pPr>
        <w:spacing w:line="480" w:lineRule="auto"/>
        <w:rPr>
          <w:sz w:val="24"/>
        </w:rPr>
      </w:pPr>
      <w:r>
        <w:rPr>
          <w:sz w:val="24"/>
        </w:rPr>
        <w:tab/>
      </w:r>
      <w:r w:rsidRPr="008448BB">
        <w:rPr>
          <w:sz w:val="24"/>
          <w:highlight w:val="yellow"/>
        </w:rPr>
        <w:t>[PARAGRAPH HERE ON VARIOUS TASK SWITCHING PARADIGMS?]</w:t>
      </w:r>
      <w:r w:rsidR="00845854">
        <w:rPr>
          <w:sz w:val="24"/>
        </w:rPr>
        <w:t xml:space="preserve"> </w:t>
      </w:r>
      <w:r w:rsidR="00845854" w:rsidRPr="00845854">
        <w:rPr>
          <w:sz w:val="24"/>
          <w:highlight w:val="yellow"/>
        </w:rPr>
        <w:t>[BIVALENT VS UNIVALENT</w:t>
      </w:r>
      <w:r w:rsidR="00FD0042">
        <w:rPr>
          <w:sz w:val="24"/>
          <w:highlight w:val="yellow"/>
        </w:rPr>
        <w:t xml:space="preserve"> STIMULI</w:t>
      </w:r>
      <w:r w:rsidR="00845854" w:rsidRPr="00845854">
        <w:rPr>
          <w:sz w:val="24"/>
          <w:highlight w:val="yellow"/>
        </w:rPr>
        <w:t>]</w:t>
      </w:r>
      <w:r w:rsidR="004949A0">
        <w:rPr>
          <w:sz w:val="24"/>
        </w:rPr>
        <w:t xml:space="preserve"> 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sidR="004949A0">
        <w:rPr>
          <w:sz w:val="24"/>
        </w:rPr>
        <w:t>invol</w:t>
      </w:r>
      <w:r w:rsidR="004427FA">
        <w:rPr>
          <w:sz w:val="24"/>
        </w:rPr>
        <w:t>ves</w:t>
      </w:r>
      <w:r w:rsidR="004949A0">
        <w:rPr>
          <w:sz w:val="24"/>
        </w:rPr>
        <w:t xml:space="preserve"> </w:t>
      </w:r>
      <w:r w:rsidR="004427FA">
        <w:rPr>
          <w:i/>
          <w:iCs/>
          <w:sz w:val="24"/>
        </w:rPr>
        <w:t xml:space="preserve">bivalent </w:t>
      </w:r>
      <w:r w:rsidR="004949A0">
        <w:rPr>
          <w:sz w:val="24"/>
        </w:rPr>
        <w:t xml:space="preserve">stimuli </w:t>
      </w:r>
      <w:r w:rsidR="004427FA">
        <w:rPr>
          <w:sz w:val="24"/>
        </w:rPr>
        <w:t xml:space="preserve">(i.e., stimuli with </w:t>
      </w:r>
      <w:r w:rsidR="004949A0">
        <w:rPr>
          <w:sz w:val="24"/>
        </w:rPr>
        <w:t>two response meanings</w:t>
      </w:r>
      <w:r w:rsidR="004427FA">
        <w:rPr>
          <w:sz w:val="24"/>
        </w:rPr>
        <w:t>)</w:t>
      </w:r>
      <w:r w:rsidR="004949A0">
        <w:rPr>
          <w:sz w:val="24"/>
        </w:rPr>
        <w:t xml:space="preserve"> </w:t>
      </w:r>
      <w:r w:rsidR="004427FA">
        <w:rPr>
          <w:sz w:val="24"/>
        </w:rPr>
        <w:t xml:space="preserve">when compared to </w:t>
      </w:r>
      <w:r w:rsidR="004427FA">
        <w:rPr>
          <w:i/>
          <w:iCs/>
          <w:sz w:val="24"/>
        </w:rPr>
        <w:t>univalent</w:t>
      </w:r>
      <w:r w:rsidR="004949A0">
        <w:rPr>
          <w:sz w:val="24"/>
        </w:rPr>
        <w:t xml:space="preserve"> stimuli</w:t>
      </w:r>
      <w:r w:rsidR="004427FA">
        <w:rPr>
          <w:sz w:val="24"/>
        </w:rPr>
        <w:t xml:space="preserve">, which </w:t>
      </w:r>
      <w:r w:rsidR="004949A0">
        <w:rPr>
          <w:sz w:val="24"/>
        </w:rPr>
        <w:t xml:space="preserve">only </w:t>
      </w:r>
      <w:r w:rsidR="004427FA">
        <w:rPr>
          <w:sz w:val="24"/>
        </w:rPr>
        <w:t xml:space="preserve">contain </w:t>
      </w:r>
      <w:r w:rsidR="004949A0">
        <w:rPr>
          <w:sz w:val="24"/>
        </w:rPr>
        <w:t>a single response meaning</w:t>
      </w:r>
      <w:r w:rsidR="004427FA">
        <w:rPr>
          <w:sz w:val="24"/>
        </w:rPr>
        <w:t xml:space="preserve"> </w:t>
      </w:r>
      <w:r w:rsidR="004427FA" w:rsidRPr="004427FA">
        <w:rPr>
          <w:sz w:val="24"/>
          <w:highlight w:val="cyan"/>
        </w:rPr>
        <w:t>[</w:t>
      </w:r>
      <w:commentRangeStart w:id="5"/>
      <w:proofErr w:type="spellStart"/>
      <w:r w:rsidR="0004405C">
        <w:rPr>
          <w:sz w:val="24"/>
          <w:highlight w:val="cyan"/>
        </w:rPr>
        <w:t>Merian</w:t>
      </w:r>
      <w:proofErr w:type="spellEnd"/>
      <w:r w:rsidR="0004405C">
        <w:rPr>
          <w:sz w:val="24"/>
          <w:highlight w:val="cyan"/>
        </w:rPr>
        <w:t xml:space="preserve">, 2000; </w:t>
      </w:r>
      <w:proofErr w:type="spellStart"/>
      <w:r w:rsidR="0004405C">
        <w:rPr>
          <w:sz w:val="24"/>
          <w:highlight w:val="cyan"/>
        </w:rPr>
        <w:t>Monsell</w:t>
      </w:r>
      <w:proofErr w:type="spellEnd"/>
      <w:r w:rsidR="0004405C">
        <w:rPr>
          <w:sz w:val="24"/>
          <w:highlight w:val="cyan"/>
        </w:rPr>
        <w:t>,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747CE095"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made available </w:t>
      </w:r>
      <w:r w:rsidR="00877DA3" w:rsidRPr="00946C99">
        <w:rPr>
          <w:sz w:val="24"/>
          <w:highlight w:val="cyan"/>
        </w:rPr>
        <w:t>(see XXXX for a review)</w:t>
      </w:r>
      <w:r w:rsidR="00877DA3" w:rsidRPr="0065136C">
        <w:rPr>
          <w:sz w:val="24"/>
        </w:rPr>
        <w:t xml:space="preserve">, </w:t>
      </w:r>
      <w:r w:rsidR="00877DA3">
        <w:rPr>
          <w:sz w:val="24"/>
        </w:rPr>
        <w:t xml:space="preserve">for the present study </w:t>
      </w:r>
      <w:r w:rsidR="00877DA3" w:rsidRPr="0065136C">
        <w:rPr>
          <w:sz w:val="24"/>
        </w:rPr>
        <w:t>we ch</w:t>
      </w:r>
      <w:r w:rsidR="00877DA3">
        <w:rPr>
          <w:sz w:val="24"/>
        </w:rPr>
        <w:t>ose</w:t>
      </w:r>
      <w:r w:rsidR="00877DA3" w:rsidRPr="0065136C">
        <w:rPr>
          <w:sz w:val="24"/>
        </w:rPr>
        <w:t xml:space="preserve"> to focus on </w:t>
      </w:r>
      <w:r w:rsidR="00877DA3">
        <w:rPr>
          <w:sz w:val="24"/>
        </w:rPr>
        <w:t>paradigms</w:t>
      </w:r>
      <w:r w:rsidR="00877DA3" w:rsidRPr="0065136C">
        <w:rPr>
          <w:sz w:val="24"/>
        </w:rPr>
        <w:t xml:space="preserve"> which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blocks containing switch and non-switch trials interspersed within the same block (referred to as </w:t>
      </w:r>
      <w:r w:rsidR="00877DA3">
        <w:rPr>
          <w:sz w:val="24"/>
        </w:rPr>
        <w:lastRenderedPageBreak/>
        <w:t xml:space="preserve">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119DA0B4" w:rsidR="00B71B1E" w:rsidRPr="00B71B1E" w:rsidRDefault="003805EA" w:rsidP="00B71B1E">
      <w:pPr>
        <w:spacing w:line="480" w:lineRule="auto"/>
        <w:ind w:firstLine="720"/>
        <w:rPr>
          <w:sz w:val="24"/>
          <w:highlight w:val="yellow"/>
        </w:rPr>
      </w:pPr>
      <w:r w:rsidRPr="003805EA">
        <w:rPr>
          <w:sz w:val="24"/>
          <w:highlight w:val="yellow"/>
        </w:rPr>
        <w:t>[TRANISTION TO GET US TO AGING]</w:t>
      </w:r>
      <w:r>
        <w:rPr>
          <w:sz w:val="24"/>
        </w:rPr>
        <w:t xml:space="preserve"> </w:t>
      </w:r>
      <w:r w:rsidR="00D0742A" w:rsidRPr="00D0742A">
        <w:rPr>
          <w:sz w:val="24"/>
        </w:rPr>
        <w:t xml:space="preserve">In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FB21BF">
        <w:rPr>
          <w:sz w:val="24"/>
        </w:rPr>
        <w:t>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additionally</w:t>
      </w:r>
      <w:r w:rsidR="00D0742A" w:rsidRPr="00D0742A">
        <w:rPr>
          <w:sz w:val="24"/>
        </w:rPr>
        <w:t xml:space="preserve"> 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3A6DBE10" w14:textId="14A57AC8" w:rsidR="009D16BD" w:rsidRDefault="002233F5" w:rsidP="006A2E1D">
      <w:pPr>
        <w:spacing w:line="480" w:lineRule="auto"/>
        <w:rPr>
          <w:sz w:val="24"/>
        </w:rPr>
      </w:pPr>
      <w:r w:rsidRPr="002233F5">
        <w:rPr>
          <w:sz w:val="24"/>
        </w:rPr>
        <w:lastRenderedPageBreak/>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lastRenderedPageBreak/>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p>
    <w:p w14:paraId="6B1321AA" w14:textId="3C2EA7DA" w:rsidR="00F02CC9" w:rsidRDefault="00FA164D" w:rsidP="00F02CC9">
      <w:pPr>
        <w:spacing w:line="480" w:lineRule="auto"/>
        <w:jc w:val="center"/>
        <w:rPr>
          <w:b/>
          <w:bCs/>
          <w:sz w:val="24"/>
        </w:rPr>
      </w:pPr>
      <w:commentRangeStart w:id="10"/>
      <w:r>
        <w:rPr>
          <w:b/>
          <w:bCs/>
          <w:sz w:val="24"/>
        </w:rPr>
        <w:t>Alternating Runs vs. Random Switching</w:t>
      </w:r>
      <w:commentRangeEnd w:id="10"/>
      <w:r>
        <w:rPr>
          <w:rStyle w:val="CommentReference"/>
        </w:rPr>
        <w:commentReference w:id="10"/>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lastRenderedPageBreak/>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549BBED"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lastRenderedPageBreak/>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6"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6"/>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proofErr w:type="spellStart"/>
      <w:r w:rsidRPr="00B72B7E">
        <w:rPr>
          <w:i/>
          <w:iCs/>
          <w:sz w:val="24"/>
        </w:rPr>
        <w:t>p</w:t>
      </w:r>
      <w:r w:rsidRPr="00B72B7E">
        <w:rPr>
          <w:sz w:val="24"/>
          <w:vertAlign w:val="subscript"/>
        </w:rPr>
        <w:t>BIC</w:t>
      </w:r>
      <w:proofErr w:type="spellEnd"/>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7" w:name="_Hlk90631982"/>
      <w:proofErr w:type="spellStart"/>
      <w:r w:rsidRPr="00B72B7E">
        <w:rPr>
          <w:i/>
          <w:iCs/>
          <w:sz w:val="24"/>
        </w:rPr>
        <w:t>p</w:t>
      </w:r>
      <w:r w:rsidRPr="00B72B7E">
        <w:rPr>
          <w:sz w:val="24"/>
          <w:vertAlign w:val="subscript"/>
        </w:rPr>
        <w:t>BIC</w:t>
      </w:r>
      <w:bookmarkEnd w:id="17"/>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8"/>
      <w:commentRangeStart w:id="19"/>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8"/>
      <w:r w:rsidR="0036342F">
        <w:rPr>
          <w:rStyle w:val="CommentReference"/>
        </w:rPr>
        <w:commentReference w:id="18"/>
      </w:r>
      <w:commentRangeEnd w:id="19"/>
      <w:r w:rsidR="00A3665C">
        <w:rPr>
          <w:rStyle w:val="CommentReference"/>
        </w:rPr>
        <w:commentReference w:id="19"/>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20"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w:t>
      </w:r>
      <w:r w:rsidR="00E13BF6">
        <w:rPr>
          <w:sz w:val="24"/>
          <w:szCs w:val="24"/>
        </w:rPr>
        <w:t>19.03</w:t>
      </w:r>
      <w:r w:rsidR="00E13BF6">
        <w:rPr>
          <w:sz w:val="24"/>
          <w:szCs w:val="24"/>
        </w:rPr>
        <w:t xml:space="preserve">,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w:t>
      </w:r>
      <w:r w:rsidR="00E13BF6">
        <w:rPr>
          <w:rFonts w:eastAsia="Arial"/>
          <w:sz w:val="24"/>
          <w:szCs w:val="24"/>
        </w:rPr>
        <w:t>10</w:t>
      </w:r>
      <w:bookmarkEnd w:id="2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21"/>
      <w:r w:rsidR="00791CEF" w:rsidRPr="00791CEF">
        <w:rPr>
          <w:sz w:val="24"/>
          <w:highlight w:val="magenta"/>
        </w:rPr>
        <w:t>-0.01</w:t>
      </w:r>
      <w:commentRangeEnd w:id="21"/>
      <w:r w:rsidR="00033409">
        <w:rPr>
          <w:rStyle w:val="CommentReference"/>
        </w:rPr>
        <w:commentReference w:id="21"/>
      </w:r>
      <w:r w:rsidR="00791CEF">
        <w:rPr>
          <w:sz w:val="24"/>
        </w:rPr>
        <w:t>)</w:t>
      </w:r>
      <w:r w:rsidR="0036342F">
        <w:rPr>
          <w:sz w:val="24"/>
        </w:rPr>
        <w:t>.</w:t>
      </w:r>
      <w:r w:rsidR="00241AD3">
        <w:rPr>
          <w:sz w:val="24"/>
        </w:rPr>
        <w:t xml:space="preserve"> Additionally, this analyses revealed a marginal effect</w:t>
      </w:r>
      <w:r w:rsidR="00085717">
        <w:rPr>
          <w:sz w:val="24"/>
        </w:rPr>
        <w:t xml:space="preserve"> </w:t>
      </w:r>
      <w:r w:rsidR="00085717">
        <w:rPr>
          <w:sz w:val="24"/>
        </w:rPr>
        <w:lastRenderedPageBreak/>
        <w:t>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proofErr w:type="spellStart"/>
      <w:r w:rsidR="002850F6" w:rsidRPr="002850F6">
        <w:rPr>
          <w:i/>
          <w:iCs/>
          <w:sz w:val="24"/>
          <w:szCs w:val="24"/>
        </w:rPr>
        <w:t>p</w:t>
      </w:r>
      <w:r w:rsidR="002850F6" w:rsidRPr="002850F6">
        <w:rPr>
          <w:sz w:val="24"/>
          <w:szCs w:val="24"/>
          <w:vertAlign w:val="subscript"/>
        </w:rPr>
        <w:t>BIC</w:t>
      </w:r>
      <w:proofErr w:type="spellEnd"/>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proofErr w:type="spellStart"/>
      <w:r w:rsidR="00085717" w:rsidRPr="002850F6">
        <w:rPr>
          <w:i/>
          <w:iCs/>
          <w:sz w:val="24"/>
          <w:szCs w:val="24"/>
        </w:rPr>
        <w:t>p</w:t>
      </w:r>
      <w:r w:rsidR="00085717" w:rsidRPr="002850F6">
        <w:rPr>
          <w:sz w:val="24"/>
          <w:szCs w:val="24"/>
          <w:vertAlign w:val="subscript"/>
        </w:rPr>
        <w:t>BIC</w:t>
      </w:r>
      <w:proofErr w:type="spellEnd"/>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2"/>
      <w:r w:rsidRPr="00C454D8">
        <w:rPr>
          <w:b/>
          <w:bCs/>
          <w:sz w:val="24"/>
        </w:rPr>
        <w:t>Mean RTs</w:t>
      </w:r>
      <w:commentRangeEnd w:id="22"/>
      <w:r w:rsidR="001D3A95">
        <w:rPr>
          <w:rStyle w:val="CommentReference"/>
        </w:rPr>
        <w:commentReference w:id="22"/>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w:t>
      </w:r>
      <w:proofErr w:type="spellStart"/>
      <w:r w:rsidR="00AB5591">
        <w:t>Merian</w:t>
      </w:r>
      <w:proofErr w:type="spellEnd"/>
      <w:r w:rsidR="00AB5591">
        <w:t xml:space="preserve"> cite as a review?</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 xml:space="preserve">Random should be harder than switch cite </w:t>
      </w:r>
      <w:proofErr w:type="spellStart"/>
      <w:r w:rsidR="0003350A">
        <w:t>monsell</w:t>
      </w:r>
      <w:proofErr w:type="spellEnd"/>
    </w:p>
  </w:comment>
  <w:comment w:id="10"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1"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8"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9"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21"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2"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32629A49" w15:done="0"/>
  <w15:commentEx w15:paraId="2C418A94" w15:done="0"/>
  <w15:commentEx w15:paraId="205D7E95" w15:paraIdParent="2C418A94" w15:done="0"/>
  <w15:commentEx w15:paraId="21DC59F1" w15:done="0"/>
  <w15:commentEx w15:paraId="10862064" w15:done="0"/>
  <w15:commentEx w15:paraId="64EA3AAC"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9E4E3" w16cex:dateUtc="2021-12-07T19:49:00Z"/>
  <w16cex:commentExtensible w16cex:durableId="255B0EAF" w16cex:dateUtc="2021-12-08T16:59:00Z"/>
  <w16cex:commentExtensible w16cex:durableId="255CA54C" w16cex:dateUtc="2021-12-09T21:54:00Z"/>
  <w16cex:commentExtensible w16cex:durableId="25631BF6" w16cex:dateUtc="2021-12-14T19:3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32629A49" w16cid:durableId="2562F890"/>
  <w16cid:commentId w16cid:paraId="2C418A94" w16cid:durableId="2559E4E3"/>
  <w16cid:commentId w16cid:paraId="205D7E95" w16cid:durableId="255B0EAF"/>
  <w16cid:commentId w16cid:paraId="21DC59F1" w16cid:durableId="255CA54C"/>
  <w16cid:commentId w16cid:paraId="10862064" w16cid:durableId="25631BF6"/>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C5B93" w14:textId="77777777" w:rsidR="00CD515D" w:rsidRDefault="00CD515D" w:rsidP="006C0CFD">
      <w:r>
        <w:separator/>
      </w:r>
    </w:p>
  </w:endnote>
  <w:endnote w:type="continuationSeparator" w:id="0">
    <w:p w14:paraId="0B2AC26D" w14:textId="77777777" w:rsidR="00CD515D" w:rsidRDefault="00CD515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EA16F" w14:textId="77777777" w:rsidR="00CD515D" w:rsidRDefault="00CD515D" w:rsidP="006C0CFD">
      <w:r>
        <w:separator/>
      </w:r>
    </w:p>
  </w:footnote>
  <w:footnote w:type="continuationSeparator" w:id="0">
    <w:p w14:paraId="717DD95F" w14:textId="77777777" w:rsidR="00CD515D" w:rsidRDefault="00CD515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2776"/>
    <w:rsid w:val="00033409"/>
    <w:rsid w:val="0003350A"/>
    <w:rsid w:val="00035E61"/>
    <w:rsid w:val="00037E56"/>
    <w:rsid w:val="0004405C"/>
    <w:rsid w:val="00045743"/>
    <w:rsid w:val="00046229"/>
    <w:rsid w:val="00046446"/>
    <w:rsid w:val="00085717"/>
    <w:rsid w:val="00090863"/>
    <w:rsid w:val="00092C23"/>
    <w:rsid w:val="00094E7B"/>
    <w:rsid w:val="000B5AB6"/>
    <w:rsid w:val="000C6DCE"/>
    <w:rsid w:val="000F1660"/>
    <w:rsid w:val="00107BB8"/>
    <w:rsid w:val="00122041"/>
    <w:rsid w:val="001306BB"/>
    <w:rsid w:val="00136EF8"/>
    <w:rsid w:val="00146E5D"/>
    <w:rsid w:val="0015253C"/>
    <w:rsid w:val="00161DF2"/>
    <w:rsid w:val="00162266"/>
    <w:rsid w:val="001625AB"/>
    <w:rsid w:val="00186E33"/>
    <w:rsid w:val="001A483D"/>
    <w:rsid w:val="001A6A2D"/>
    <w:rsid w:val="001B4F62"/>
    <w:rsid w:val="001D3A95"/>
    <w:rsid w:val="001D3E2E"/>
    <w:rsid w:val="001E1782"/>
    <w:rsid w:val="001F7176"/>
    <w:rsid w:val="00204027"/>
    <w:rsid w:val="00214693"/>
    <w:rsid w:val="0021495D"/>
    <w:rsid w:val="002153D2"/>
    <w:rsid w:val="00221336"/>
    <w:rsid w:val="0022199A"/>
    <w:rsid w:val="002233F5"/>
    <w:rsid w:val="00225685"/>
    <w:rsid w:val="002258EE"/>
    <w:rsid w:val="0023471C"/>
    <w:rsid w:val="00236C9B"/>
    <w:rsid w:val="0024023D"/>
    <w:rsid w:val="00241AD3"/>
    <w:rsid w:val="0026067B"/>
    <w:rsid w:val="0026280B"/>
    <w:rsid w:val="002702BD"/>
    <w:rsid w:val="002850F6"/>
    <w:rsid w:val="00292525"/>
    <w:rsid w:val="00296CBD"/>
    <w:rsid w:val="002A47DC"/>
    <w:rsid w:val="002C5405"/>
    <w:rsid w:val="002C603A"/>
    <w:rsid w:val="002D4E15"/>
    <w:rsid w:val="002D6DAA"/>
    <w:rsid w:val="002E3587"/>
    <w:rsid w:val="002E4EDD"/>
    <w:rsid w:val="002F4CC8"/>
    <w:rsid w:val="003075AB"/>
    <w:rsid w:val="00310DEA"/>
    <w:rsid w:val="003268DB"/>
    <w:rsid w:val="00332940"/>
    <w:rsid w:val="003376B4"/>
    <w:rsid w:val="0036342F"/>
    <w:rsid w:val="00374DCC"/>
    <w:rsid w:val="003805EA"/>
    <w:rsid w:val="00380E52"/>
    <w:rsid w:val="00391DBC"/>
    <w:rsid w:val="003950D6"/>
    <w:rsid w:val="003A77AF"/>
    <w:rsid w:val="003B5619"/>
    <w:rsid w:val="003D065E"/>
    <w:rsid w:val="003F1610"/>
    <w:rsid w:val="003F7F82"/>
    <w:rsid w:val="00406BB5"/>
    <w:rsid w:val="0041487E"/>
    <w:rsid w:val="00423011"/>
    <w:rsid w:val="004427FA"/>
    <w:rsid w:val="00451539"/>
    <w:rsid w:val="00490D12"/>
    <w:rsid w:val="004947B0"/>
    <w:rsid w:val="004949A0"/>
    <w:rsid w:val="004A3808"/>
    <w:rsid w:val="004A4C0F"/>
    <w:rsid w:val="004A6944"/>
    <w:rsid w:val="004F6644"/>
    <w:rsid w:val="00501B19"/>
    <w:rsid w:val="00504B2E"/>
    <w:rsid w:val="0050688F"/>
    <w:rsid w:val="00521552"/>
    <w:rsid w:val="00525188"/>
    <w:rsid w:val="00557A26"/>
    <w:rsid w:val="005869CA"/>
    <w:rsid w:val="00587B5C"/>
    <w:rsid w:val="005A30CD"/>
    <w:rsid w:val="005D56E1"/>
    <w:rsid w:val="005F2B3A"/>
    <w:rsid w:val="005F2D9A"/>
    <w:rsid w:val="006018AD"/>
    <w:rsid w:val="006037B1"/>
    <w:rsid w:val="00610945"/>
    <w:rsid w:val="00615090"/>
    <w:rsid w:val="00616238"/>
    <w:rsid w:val="006255DD"/>
    <w:rsid w:val="006309C8"/>
    <w:rsid w:val="00635AED"/>
    <w:rsid w:val="006406BF"/>
    <w:rsid w:val="0065136C"/>
    <w:rsid w:val="006709FD"/>
    <w:rsid w:val="00692C50"/>
    <w:rsid w:val="006A1826"/>
    <w:rsid w:val="006A2E1D"/>
    <w:rsid w:val="006A3DC8"/>
    <w:rsid w:val="006A412A"/>
    <w:rsid w:val="006A5BFF"/>
    <w:rsid w:val="006A63B6"/>
    <w:rsid w:val="006C0CFD"/>
    <w:rsid w:val="006C1DF4"/>
    <w:rsid w:val="006C4F1D"/>
    <w:rsid w:val="006E5A90"/>
    <w:rsid w:val="00701580"/>
    <w:rsid w:val="007038BC"/>
    <w:rsid w:val="00705B42"/>
    <w:rsid w:val="00710371"/>
    <w:rsid w:val="0073480E"/>
    <w:rsid w:val="00745276"/>
    <w:rsid w:val="00751D84"/>
    <w:rsid w:val="00753787"/>
    <w:rsid w:val="00767D39"/>
    <w:rsid w:val="0077555C"/>
    <w:rsid w:val="00786477"/>
    <w:rsid w:val="00787255"/>
    <w:rsid w:val="00791CEF"/>
    <w:rsid w:val="00791DCC"/>
    <w:rsid w:val="007A00B5"/>
    <w:rsid w:val="007A4F79"/>
    <w:rsid w:val="007C02B4"/>
    <w:rsid w:val="007C38F1"/>
    <w:rsid w:val="007D1FEA"/>
    <w:rsid w:val="007D2A01"/>
    <w:rsid w:val="007E3F63"/>
    <w:rsid w:val="007E6011"/>
    <w:rsid w:val="007E6B52"/>
    <w:rsid w:val="008309F0"/>
    <w:rsid w:val="0083282E"/>
    <w:rsid w:val="00834A60"/>
    <w:rsid w:val="008448BB"/>
    <w:rsid w:val="00845854"/>
    <w:rsid w:val="00854157"/>
    <w:rsid w:val="008759CB"/>
    <w:rsid w:val="00877635"/>
    <w:rsid w:val="00877DA3"/>
    <w:rsid w:val="00887054"/>
    <w:rsid w:val="00897D5A"/>
    <w:rsid w:val="008A5D93"/>
    <w:rsid w:val="008C0DC2"/>
    <w:rsid w:val="008C2E96"/>
    <w:rsid w:val="008D7E9F"/>
    <w:rsid w:val="008E1C19"/>
    <w:rsid w:val="008F0E8D"/>
    <w:rsid w:val="00901A15"/>
    <w:rsid w:val="009211B2"/>
    <w:rsid w:val="00922596"/>
    <w:rsid w:val="00946C99"/>
    <w:rsid w:val="00977EFF"/>
    <w:rsid w:val="00983672"/>
    <w:rsid w:val="009939A5"/>
    <w:rsid w:val="009A730A"/>
    <w:rsid w:val="009C0A59"/>
    <w:rsid w:val="009C192B"/>
    <w:rsid w:val="009D122B"/>
    <w:rsid w:val="009D1586"/>
    <w:rsid w:val="009D16BD"/>
    <w:rsid w:val="009E6C30"/>
    <w:rsid w:val="009F0399"/>
    <w:rsid w:val="009F2885"/>
    <w:rsid w:val="009F6900"/>
    <w:rsid w:val="00A03499"/>
    <w:rsid w:val="00A3665C"/>
    <w:rsid w:val="00A57AE8"/>
    <w:rsid w:val="00A61677"/>
    <w:rsid w:val="00A63371"/>
    <w:rsid w:val="00A65F38"/>
    <w:rsid w:val="00A84B48"/>
    <w:rsid w:val="00A858C7"/>
    <w:rsid w:val="00A940EB"/>
    <w:rsid w:val="00A964F3"/>
    <w:rsid w:val="00AA050A"/>
    <w:rsid w:val="00AB4760"/>
    <w:rsid w:val="00AB5591"/>
    <w:rsid w:val="00AC2ED2"/>
    <w:rsid w:val="00AD0038"/>
    <w:rsid w:val="00AD207B"/>
    <w:rsid w:val="00AD3BD3"/>
    <w:rsid w:val="00AD4CC3"/>
    <w:rsid w:val="00AD6903"/>
    <w:rsid w:val="00AE0291"/>
    <w:rsid w:val="00AE116D"/>
    <w:rsid w:val="00AE354C"/>
    <w:rsid w:val="00AF04DD"/>
    <w:rsid w:val="00AF5F5B"/>
    <w:rsid w:val="00AF6481"/>
    <w:rsid w:val="00AF7B6F"/>
    <w:rsid w:val="00B01D32"/>
    <w:rsid w:val="00B07BA8"/>
    <w:rsid w:val="00B11758"/>
    <w:rsid w:val="00B2218E"/>
    <w:rsid w:val="00B269E9"/>
    <w:rsid w:val="00B379D9"/>
    <w:rsid w:val="00B611B2"/>
    <w:rsid w:val="00B66D8B"/>
    <w:rsid w:val="00B71B1E"/>
    <w:rsid w:val="00B811AA"/>
    <w:rsid w:val="00B86C8C"/>
    <w:rsid w:val="00B93A1C"/>
    <w:rsid w:val="00B967A1"/>
    <w:rsid w:val="00BA7389"/>
    <w:rsid w:val="00BB45BC"/>
    <w:rsid w:val="00BB5C53"/>
    <w:rsid w:val="00BC57E3"/>
    <w:rsid w:val="00BD30B1"/>
    <w:rsid w:val="00BF333D"/>
    <w:rsid w:val="00BF471B"/>
    <w:rsid w:val="00C01F18"/>
    <w:rsid w:val="00C15F19"/>
    <w:rsid w:val="00C173F3"/>
    <w:rsid w:val="00C224A2"/>
    <w:rsid w:val="00C454D8"/>
    <w:rsid w:val="00C4774E"/>
    <w:rsid w:val="00C50472"/>
    <w:rsid w:val="00C56D89"/>
    <w:rsid w:val="00C575CC"/>
    <w:rsid w:val="00C630F1"/>
    <w:rsid w:val="00C63451"/>
    <w:rsid w:val="00C70F93"/>
    <w:rsid w:val="00C742ED"/>
    <w:rsid w:val="00C85448"/>
    <w:rsid w:val="00CB5A82"/>
    <w:rsid w:val="00CB780D"/>
    <w:rsid w:val="00CD515D"/>
    <w:rsid w:val="00CE3BDA"/>
    <w:rsid w:val="00CE44BE"/>
    <w:rsid w:val="00CF36A9"/>
    <w:rsid w:val="00CF5159"/>
    <w:rsid w:val="00CF5602"/>
    <w:rsid w:val="00CF7D5D"/>
    <w:rsid w:val="00D00B0B"/>
    <w:rsid w:val="00D0742A"/>
    <w:rsid w:val="00D20358"/>
    <w:rsid w:val="00D216C9"/>
    <w:rsid w:val="00D26FAF"/>
    <w:rsid w:val="00D27CFE"/>
    <w:rsid w:val="00D31EE8"/>
    <w:rsid w:val="00D32B52"/>
    <w:rsid w:val="00D32D4E"/>
    <w:rsid w:val="00D41995"/>
    <w:rsid w:val="00D60757"/>
    <w:rsid w:val="00D616C3"/>
    <w:rsid w:val="00D67620"/>
    <w:rsid w:val="00D7141C"/>
    <w:rsid w:val="00D93521"/>
    <w:rsid w:val="00DA4DF7"/>
    <w:rsid w:val="00DC27A1"/>
    <w:rsid w:val="00DE3205"/>
    <w:rsid w:val="00E10005"/>
    <w:rsid w:val="00E121BB"/>
    <w:rsid w:val="00E13BF6"/>
    <w:rsid w:val="00E30E10"/>
    <w:rsid w:val="00E3249E"/>
    <w:rsid w:val="00E66033"/>
    <w:rsid w:val="00E7525E"/>
    <w:rsid w:val="00E915A3"/>
    <w:rsid w:val="00E939A3"/>
    <w:rsid w:val="00EA0718"/>
    <w:rsid w:val="00EA326D"/>
    <w:rsid w:val="00ED2719"/>
    <w:rsid w:val="00ED5062"/>
    <w:rsid w:val="00EF6672"/>
    <w:rsid w:val="00F0022D"/>
    <w:rsid w:val="00F02CC9"/>
    <w:rsid w:val="00F04662"/>
    <w:rsid w:val="00F07608"/>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21BF"/>
    <w:rsid w:val="00FB594D"/>
    <w:rsid w:val="00FB7C07"/>
    <w:rsid w:val="00FC544E"/>
    <w:rsid w:val="00FD0042"/>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12</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295</cp:revision>
  <cp:lastPrinted>2021-12-09T19:35:00Z</cp:lastPrinted>
  <dcterms:created xsi:type="dcterms:W3CDTF">2019-07-24T18:36:00Z</dcterms:created>
  <dcterms:modified xsi:type="dcterms:W3CDTF">2021-12-20T16:25:00Z</dcterms:modified>
</cp:coreProperties>
</file>