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77777777"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is unrelated to the task at hand</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 (1935)</w:t>
      </w:r>
      <w:r w:rsidR="00533654">
        <w:rPr>
          <w:sz w:val="24"/>
        </w:rPr>
        <w:t>. In his</w:t>
      </w:r>
      <w:r w:rsidR="00926EA2">
        <w:rPr>
          <w:sz w:val="24"/>
        </w:rPr>
        <w:t xml:space="preserve"> seminal study investigating </w:t>
      </w:r>
      <w:r w:rsidR="007F27C2">
        <w:rPr>
          <w:sz w:val="24"/>
        </w:rPr>
        <w:t xml:space="preserve">the effects of </w:t>
      </w:r>
      <w:r w:rsidR="00926EA2">
        <w:rPr>
          <w:sz w:val="24"/>
        </w:rPr>
        <w:t>color naming</w:t>
      </w:r>
      <w:r w:rsidR="00533654">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 </w:t>
      </w:r>
      <w:r w:rsidR="0011730F">
        <w:rPr>
          <w:sz w:val="24"/>
        </w:rPr>
        <w:t xml:space="preserve">Participants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 the successfully completing the Stroop task required participants to suppress the highly salient but task-unrelated information contained in the word.</w:t>
      </w:r>
    </w:p>
    <w:p w14:paraId="710FD376" w14:textId="02602016" w:rsidR="00D10DD3" w:rsidRDefault="007C5BC4" w:rsidP="00E20D9F">
      <w:pPr>
        <w:spacing w:line="480" w:lineRule="auto"/>
        <w:ind w:firstLine="720"/>
        <w:rPr>
          <w:sz w:val="24"/>
        </w:rPr>
      </w:pPr>
      <w:r>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slower to respond and provide less accurate responses whenever </w:t>
      </w:r>
      <w:r w:rsidR="009C69ED">
        <w:rPr>
          <w:sz w:val="24"/>
        </w:rPr>
        <w:lastRenderedPageBreak/>
        <w:t>they must suppress task irrelevant information to successfully complete a task</w:t>
      </w:r>
      <w:r w:rsidR="00E20D9F">
        <w:rPr>
          <w:sz w:val="24"/>
        </w:rPr>
        <w:t>, and these deficiencies are further compounded whenever participants switch between multiple trial types.</w:t>
      </w:r>
    </w:p>
    <w:p w14:paraId="0B017BBB" w14:textId="52BFFA95" w:rsidR="00B61899" w:rsidRPr="00B61899" w:rsidRDefault="00437B00" w:rsidP="00B61899">
      <w:pPr>
        <w:spacing w:line="480" w:lineRule="auto"/>
        <w:ind w:firstLine="720"/>
        <w:rPr>
          <w:sz w:val="24"/>
        </w:rPr>
      </w:pPr>
      <w:r w:rsidRPr="00437B00">
        <w:rPr>
          <w:sz w:val="24"/>
        </w:rPr>
        <w:t>The Stroop color naming 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78448B">
        <w:rPr>
          <w:sz w:val="24"/>
        </w:rPr>
        <w:t>c</w:t>
      </w:r>
      <w:r w:rsidR="00973010">
        <w:rPr>
          <w:sz w:val="24"/>
        </w:rPr>
        <w:t xml:space="preserve">olor </w:t>
      </w:r>
      <w:r w:rsidR="0078448B">
        <w:rPr>
          <w:sz w:val="24"/>
        </w:rPr>
        <w:t>n</w:t>
      </w:r>
      <w:r w:rsidR="00973010">
        <w:rPr>
          <w:sz w:val="24"/>
        </w:rPr>
        <w:t xml:space="preserve">aming </w:t>
      </w:r>
      <w:r w:rsidR="00E34923">
        <w:rPr>
          <w:sz w:val="24"/>
        </w:rPr>
        <w:t>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1D8A3E4D"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and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a set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Task-switching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65691C30"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lastRenderedPageBreak/>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6599F485"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56BD0418" w:rsidR="00402CA1" w:rsidRDefault="00402CA1" w:rsidP="00402CA1">
      <w:pPr>
        <w:spacing w:line="480" w:lineRule="auto"/>
        <w:rPr>
          <w:sz w:val="24"/>
        </w:rPr>
      </w:pPr>
      <w:r>
        <w:rPr>
          <w:sz w:val="24"/>
        </w:rPr>
        <w:tab/>
        <w:t xml:space="preserve">In addition to the type of stimuli (bivalent vs univalent), task-switching paradigms can be further classified based on whether switching occurs in a predictable or random sequence. A commonly used predictable switch paradigm is the </w:t>
      </w:r>
      <w:r>
        <w:rPr>
          <w:i/>
          <w:iCs/>
          <w:sz w:val="24"/>
        </w:rPr>
        <w:t>alternating runs</w:t>
      </w:r>
      <w:r>
        <w:rPr>
          <w:sz w:val="24"/>
        </w:rPr>
        <w:t xml:space="preserve"> sequence (e.g., Rogers &amp; </w:t>
      </w:r>
      <w:proofErr w:type="spellStart"/>
      <w:r>
        <w:rPr>
          <w:sz w:val="24"/>
        </w:rPr>
        <w:t>Monsell</w:t>
      </w:r>
      <w:proofErr w:type="spellEnd"/>
      <w:r>
        <w:rPr>
          <w:sz w:val="24"/>
        </w:rPr>
        <w:t xml:space="preserve">, 1995; Huff et al., 2015). Participants completing an alternating runs switch task </w:t>
      </w:r>
      <w:r w:rsidR="009F4FEC">
        <w:rPr>
          <w:sz w:val="24"/>
        </w:rPr>
        <w:t xml:space="preserve">change task every </w:t>
      </w:r>
      <w:r w:rsidR="009F4FEC">
        <w:rPr>
          <w:i/>
          <w:iCs/>
          <w:sz w:val="24"/>
        </w:rPr>
        <w:t xml:space="preserve">n </w:t>
      </w:r>
      <w:r w:rsidR="009F4FEC">
        <w:rPr>
          <w:sz w:val="24"/>
        </w:rPr>
        <w:t>trials (e.g., AABBAABB, etc.). As a result of this sequence, participants are generally aware of when task-switches will occur. Alternatively, task switching may occur at unpredictable intervals. In this case, the upcoming task is unknown to participants until they are cued on the next trial. Random task switching can be further divided into task-cueing paradigms (</w:t>
      </w:r>
      <w:r w:rsidR="009F4FEC" w:rsidRPr="009F4FEC">
        <w:rPr>
          <w:sz w:val="24"/>
          <w:highlight w:val="cyan"/>
        </w:rPr>
        <w:t xml:space="preserve">e.g., </w:t>
      </w:r>
      <w:proofErr w:type="spellStart"/>
      <w:r w:rsidR="009F4FEC" w:rsidRPr="009F4FEC">
        <w:rPr>
          <w:sz w:val="24"/>
          <w:highlight w:val="cyan"/>
        </w:rPr>
        <w:t>Meiran</w:t>
      </w:r>
      <w:proofErr w:type="spellEnd"/>
      <w:r w:rsidR="009F4FEC" w:rsidRPr="009F4FEC">
        <w:rPr>
          <w:sz w:val="24"/>
          <w:highlight w:val="cyan"/>
        </w:rPr>
        <w:t>, 1996</w:t>
      </w:r>
      <w:r w:rsidR="009F4FEC">
        <w:rPr>
          <w:sz w:val="24"/>
        </w:rPr>
        <w:t xml:space="preserve">) in which a cue is available at each trial or can employ intermittent instructions (i.e., random interruptions to change task-set; </w:t>
      </w:r>
      <w:r w:rsidR="009F4FEC" w:rsidRPr="00D031C2">
        <w:rPr>
          <w:sz w:val="24"/>
          <w:highlight w:val="cyan"/>
        </w:rPr>
        <w:t xml:space="preserve">Gopher, </w:t>
      </w:r>
      <w:proofErr w:type="spellStart"/>
      <w:r w:rsidR="009F4FEC" w:rsidRPr="00D031C2">
        <w:rPr>
          <w:sz w:val="24"/>
          <w:highlight w:val="cyan"/>
        </w:rPr>
        <w:t>Armony</w:t>
      </w:r>
      <w:proofErr w:type="spellEnd"/>
      <w:r w:rsidR="009F4FEC" w:rsidRPr="00D031C2">
        <w:rPr>
          <w:sz w:val="24"/>
          <w:highlight w:val="cyan"/>
        </w:rPr>
        <w:t xml:space="preserve">, &amp; </w:t>
      </w:r>
      <w:proofErr w:type="spellStart"/>
      <w:r w:rsidR="009F4FEC" w:rsidRPr="00D031C2">
        <w:rPr>
          <w:sz w:val="24"/>
          <w:highlight w:val="cyan"/>
        </w:rPr>
        <w:t>Greenshpan</w:t>
      </w:r>
      <w:proofErr w:type="spellEnd"/>
      <w:r w:rsidR="009F4FEC">
        <w:rPr>
          <w:sz w:val="24"/>
        </w:rPr>
        <w:t>, 2000</w:t>
      </w:r>
      <w:r w:rsidR="00D031C2">
        <w:rPr>
          <w:sz w:val="24"/>
        </w:rPr>
        <w:t xml:space="preserve">; see </w:t>
      </w:r>
      <w:proofErr w:type="spellStart"/>
      <w:r w:rsidR="00D031C2" w:rsidRPr="00D031C2">
        <w:rPr>
          <w:sz w:val="24"/>
          <w:highlight w:val="cyan"/>
        </w:rPr>
        <w:t>Monsell</w:t>
      </w:r>
      <w:proofErr w:type="spellEnd"/>
      <w:r w:rsidR="00D031C2" w:rsidRPr="00D031C2">
        <w:rPr>
          <w:sz w:val="24"/>
          <w:highlight w:val="cyan"/>
        </w:rPr>
        <w:t>, Sumner, Waters, 2003</w:t>
      </w:r>
      <w:r w:rsidR="00D031C2">
        <w:rPr>
          <w:sz w:val="24"/>
        </w:rPr>
        <w:t xml:space="preserve"> for a review of predictable vs random task-switching paradigms). </w:t>
      </w:r>
      <w:r w:rsidR="00D031C2" w:rsidRPr="00D031C2">
        <w:rPr>
          <w:sz w:val="24"/>
          <w:highlight w:val="yellow"/>
        </w:rPr>
        <w:t>[BENEFITS OF EACH PARADIGM]</w:t>
      </w:r>
    </w:p>
    <w:p w14:paraId="2C52FAB7" w14:textId="76547919" w:rsidR="00D031C2" w:rsidRPr="009F4FEC" w:rsidRDefault="00D031C2" w:rsidP="00402CA1">
      <w:pPr>
        <w:spacing w:line="480" w:lineRule="auto"/>
        <w:rPr>
          <w:sz w:val="24"/>
        </w:rPr>
      </w:pPr>
      <w:r>
        <w:rPr>
          <w:sz w:val="24"/>
        </w:rPr>
        <w:tab/>
      </w:r>
      <w:r w:rsidRPr="00D031C2">
        <w:rPr>
          <w:sz w:val="24"/>
          <w:highlight w:val="yellow"/>
        </w:rPr>
        <w:t xml:space="preserve">[Overview of </w:t>
      </w:r>
      <w:proofErr w:type="spellStart"/>
      <w:r w:rsidRPr="00D031C2">
        <w:rPr>
          <w:sz w:val="24"/>
          <w:highlight w:val="yellow"/>
        </w:rPr>
        <w:t>Monsell</w:t>
      </w:r>
      <w:proofErr w:type="spellEnd"/>
      <w:r w:rsidRPr="00D031C2">
        <w:rPr>
          <w:sz w:val="24"/>
          <w:highlight w:val="yellow"/>
        </w:rPr>
        <w:t xml:space="preserve"> et al., 2003]</w:t>
      </w:r>
    </w:p>
    <w:p w14:paraId="516DD82E" w14:textId="77777777" w:rsidR="00D031C2" w:rsidRDefault="00402CA1" w:rsidP="002258EE">
      <w:pPr>
        <w:spacing w:line="480" w:lineRule="auto"/>
        <w:ind w:firstLine="720"/>
        <w:rPr>
          <w:sz w:val="24"/>
        </w:rPr>
      </w:pPr>
      <w:r>
        <w:rPr>
          <w:sz w:val="24"/>
        </w:rPr>
        <w:t xml:space="preserve">Regarding the CVOE task, </w:t>
      </w:r>
      <w:r w:rsidR="00D031C2">
        <w:rPr>
          <w:sz w:val="24"/>
        </w:rPr>
        <w:t xml:space="preserve">[MINEAR AND SHAH] </w:t>
      </w:r>
    </w:p>
    <w:p w14:paraId="62DBA50F" w14:textId="7A776515" w:rsidR="00661765" w:rsidRDefault="00D031C2" w:rsidP="002258EE">
      <w:pPr>
        <w:spacing w:line="480" w:lineRule="auto"/>
        <w:ind w:firstLine="720"/>
        <w:rPr>
          <w:sz w:val="24"/>
        </w:rPr>
      </w:pPr>
      <w:r>
        <w:rPr>
          <w:sz w:val="24"/>
        </w:rPr>
        <w:t>[TRANSITION TO THE PRESENT STUDY] [TRANSITION SENTENCE TO RT DISTRIBUTIONS]</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 xml:space="preserve">RT </w:t>
      </w:r>
      <w:r w:rsidR="00274F54">
        <w:rPr>
          <w:sz w:val="24"/>
        </w:rPr>
        <w:lastRenderedPageBreak/>
        <w:t>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60D38087" w:rsidR="006F5C42" w:rsidRDefault="00EB2704" w:rsidP="008E35B2">
      <w:pPr>
        <w:spacing w:line="480" w:lineRule="auto"/>
        <w:ind w:firstLine="720"/>
        <w:rPr>
          <w:sz w:val="24"/>
        </w:rPr>
      </w:pPr>
      <w:r>
        <w:rPr>
          <w:sz w:val="24"/>
        </w:rPr>
        <w:t>Previous research has shown that the characteristics of RT distributions can capture important aspects of human cognition</w:t>
      </w:r>
      <w:r w:rsidR="00AB32E8">
        <w:rPr>
          <w:sz w:val="24"/>
        </w:rPr>
        <w:t xml:space="preserve">, </w:t>
      </w:r>
      <w:r>
        <w:rPr>
          <w:sz w:val="24"/>
        </w:rPr>
        <w:t xml:space="preserve">including word recognition (e.g., </w:t>
      </w:r>
      <w:r w:rsidRPr="00AB32E8">
        <w:rPr>
          <w:sz w:val="24"/>
        </w:rPr>
        <w:t>Andrews &amp; Heathcote, 2001</w:t>
      </w:r>
      <w:r>
        <w:rPr>
          <w:sz w:val="24"/>
        </w:rPr>
        <w:t xml:space="preserve">; EXAMPLE), semantic priming (e.g., </w:t>
      </w:r>
      <w:proofErr w:type="spellStart"/>
      <w:r w:rsidRPr="00854C0B">
        <w:rPr>
          <w:sz w:val="24"/>
        </w:rPr>
        <w:t>Balota</w:t>
      </w:r>
      <w:proofErr w:type="spellEnd"/>
      <w:r w:rsidRPr="00854C0B">
        <w:rPr>
          <w:sz w:val="24"/>
        </w:rPr>
        <w:t>,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t>[TRANSITION]</w:t>
      </w:r>
      <w:r w:rsidR="008E35B2">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lastRenderedPageBreak/>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 xml:space="preserve">Additionally, </w:t>
      </w:r>
      <w:r w:rsidR="009D1586">
        <w:rPr>
          <w:sz w:val="24"/>
        </w:rPr>
        <w:lastRenderedPageBreak/>
        <w:t>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w:t>
      </w:r>
      <w:r w:rsidR="00D00B0B">
        <w:rPr>
          <w:sz w:val="24"/>
        </w:rPr>
        <w:lastRenderedPageBreak/>
        <w:t xml:space="preserve">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w:t>
      </w:r>
      <w:r w:rsidR="00162266">
        <w:rPr>
          <w:sz w:val="24"/>
        </w:rPr>
        <w:lastRenderedPageBreak/>
        <w:t xml:space="preserve">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lastRenderedPageBreak/>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w:t>
      </w:r>
      <w:r w:rsidR="00791CEF">
        <w:rPr>
          <w:sz w:val="24"/>
        </w:rPr>
        <w:lastRenderedPageBreak/>
        <w:t xml:space="preserve">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lastRenderedPageBreak/>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62864D66" w14:textId="76236786"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2980B331"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77777777"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332310DD" w14:textId="6A67C9BB" w:rsidR="008B3802" w:rsidRDefault="00B72A52" w:rsidP="00B72A52">
      <w:pPr>
        <w:tabs>
          <w:tab w:val="left" w:pos="8235"/>
        </w:tabs>
        <w:spacing w:line="480" w:lineRule="auto"/>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xml:space="preserve">, L. (2009). Does switching between strategies within the same task involve a cost? </w:t>
      </w:r>
      <w:r>
        <w:rPr>
          <w:i/>
          <w:iCs/>
          <w:sz w:val="24"/>
        </w:rPr>
        <w:t>British Journal of Psychology, 100</w:t>
      </w:r>
      <w:r>
        <w:rPr>
          <w:sz w:val="24"/>
        </w:rPr>
        <w:t>(4), 753-771.</w:t>
      </w:r>
      <w:r>
        <w:rPr>
          <w:sz w:val="24"/>
        </w:rPr>
        <w:tab/>
      </w:r>
    </w:p>
    <w:p w14:paraId="5D488B3F" w14:textId="72833AC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2F7375C8" w14:textId="222CFACC"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329E1E41" w14:textId="11EEFB02"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27BA7F62" w14:textId="38B5ADB7"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A5CFE5B"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7029" w14:textId="77777777" w:rsidR="006726A4" w:rsidRDefault="006726A4" w:rsidP="006C0CFD">
      <w:r>
        <w:separator/>
      </w:r>
    </w:p>
  </w:endnote>
  <w:endnote w:type="continuationSeparator" w:id="0">
    <w:p w14:paraId="11D27976" w14:textId="77777777" w:rsidR="006726A4" w:rsidRDefault="006726A4"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A446F" w14:textId="77777777" w:rsidR="006726A4" w:rsidRDefault="006726A4" w:rsidP="006C0CFD">
      <w:r>
        <w:separator/>
      </w:r>
    </w:p>
  </w:footnote>
  <w:footnote w:type="continuationSeparator" w:id="0">
    <w:p w14:paraId="1B48A7C7" w14:textId="77777777" w:rsidR="006726A4" w:rsidRDefault="006726A4"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0C07"/>
    <w:rsid w:val="002850F6"/>
    <w:rsid w:val="00290B89"/>
    <w:rsid w:val="00292525"/>
    <w:rsid w:val="002930B3"/>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22E5"/>
    <w:rsid w:val="00356554"/>
    <w:rsid w:val="00361F2B"/>
    <w:rsid w:val="003625BD"/>
    <w:rsid w:val="0036342F"/>
    <w:rsid w:val="003711D8"/>
    <w:rsid w:val="00371634"/>
    <w:rsid w:val="003739CB"/>
    <w:rsid w:val="00374DCC"/>
    <w:rsid w:val="003805EA"/>
    <w:rsid w:val="00380E52"/>
    <w:rsid w:val="003814BE"/>
    <w:rsid w:val="00384C13"/>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179A7"/>
    <w:rsid w:val="00521552"/>
    <w:rsid w:val="00523937"/>
    <w:rsid w:val="00523BF3"/>
    <w:rsid w:val="00525188"/>
    <w:rsid w:val="00526FBB"/>
    <w:rsid w:val="00532522"/>
    <w:rsid w:val="0053263F"/>
    <w:rsid w:val="00533654"/>
    <w:rsid w:val="00534402"/>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76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555C"/>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D1FEA"/>
    <w:rsid w:val="007D2A01"/>
    <w:rsid w:val="007E36A1"/>
    <w:rsid w:val="007E3F63"/>
    <w:rsid w:val="007E6011"/>
    <w:rsid w:val="007E6B52"/>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A6AEA"/>
    <w:rsid w:val="009A730A"/>
    <w:rsid w:val="009B3386"/>
    <w:rsid w:val="009B66BA"/>
    <w:rsid w:val="009C0A59"/>
    <w:rsid w:val="009C192B"/>
    <w:rsid w:val="009C69ED"/>
    <w:rsid w:val="009D122B"/>
    <w:rsid w:val="009D1586"/>
    <w:rsid w:val="009D16BD"/>
    <w:rsid w:val="009D3DE6"/>
    <w:rsid w:val="009E6C30"/>
    <w:rsid w:val="009F0399"/>
    <w:rsid w:val="009F2885"/>
    <w:rsid w:val="009F4FEC"/>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2218E"/>
    <w:rsid w:val="00B244B7"/>
    <w:rsid w:val="00B269E9"/>
    <w:rsid w:val="00B3358B"/>
    <w:rsid w:val="00B33CE1"/>
    <w:rsid w:val="00B35955"/>
    <w:rsid w:val="00B379D9"/>
    <w:rsid w:val="00B438A3"/>
    <w:rsid w:val="00B43D58"/>
    <w:rsid w:val="00B45567"/>
    <w:rsid w:val="00B54F2E"/>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37434"/>
    <w:rsid w:val="00D41995"/>
    <w:rsid w:val="00D421FE"/>
    <w:rsid w:val="00D43F9A"/>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D9F"/>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5284</TotalTime>
  <Pages>19</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689</cp:revision>
  <cp:lastPrinted>2021-12-09T19:35:00Z</cp:lastPrinted>
  <dcterms:created xsi:type="dcterms:W3CDTF">2019-07-24T18:36:00Z</dcterms:created>
  <dcterms:modified xsi:type="dcterms:W3CDTF">2022-02-14T23:08:00Z</dcterms:modified>
</cp:coreProperties>
</file>