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6C83A61B"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commentRangeStart w:id="1"/>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proofErr w:type="spellStart"/>
      <w:r>
        <w:rPr>
          <w:rFonts w:ascii="Times New Roman" w:hAnsi="Times New Roman" w:cs="Times New Roman"/>
          <w:sz w:val="24"/>
          <w:szCs w:val="24"/>
        </w:rPr>
        <w:t>Namias</w:t>
      </w:r>
      <w:commentRangeEnd w:id="1"/>
      <w:proofErr w:type="spellEnd"/>
      <w:r>
        <w:rPr>
          <w:rStyle w:val="CommentReference"/>
        </w:rPr>
        <w:commentReference w:id="1"/>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5BBCBC0E"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participants to </w:t>
      </w:r>
      <w:r w:rsidR="00BE2172">
        <w:rPr>
          <w:rFonts w:ascii="Times New Roman" w:hAnsi="Times New Roman" w:cs="Times New Roman"/>
          <w:sz w:val="24"/>
          <w:szCs w:val="24"/>
        </w:rPr>
        <w:t>repeatedly alternate between two different task-sets. For</w:t>
      </w:r>
      <w:r w:rsidR="00446907">
        <w:rPr>
          <w:rFonts w:ascii="Times New Roman" w:hAnsi="Times New Roman" w:cs="Times New Roman"/>
          <w:sz w:val="24"/>
          <w:szCs w:val="24"/>
        </w:rPr>
        <w:t xml:space="preserve"> participants to successfully complete these tasks</w:t>
      </w:r>
      <w:r w:rsidR="00321497">
        <w:rPr>
          <w:rFonts w:ascii="Times New Roman" w:hAnsi="Times New Roman" w:cs="Times New Roman"/>
          <w:sz w:val="24"/>
          <w:szCs w:val="24"/>
        </w:rPr>
        <w:t xml:space="preserve"> while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 </w:t>
      </w:r>
      <w:r w:rsidR="00111ED9">
        <w:rPr>
          <w:rFonts w:ascii="Times New Roman" w:hAnsi="Times New Roman" w:cs="Times New Roman"/>
          <w:sz w:val="24"/>
          <w:szCs w:val="24"/>
        </w:rPr>
        <w:t xml:space="preserve">For example, </w:t>
      </w:r>
      <w:r w:rsidR="00B051D5">
        <w:rPr>
          <w:rFonts w:ascii="Times New Roman" w:hAnsi="Times New Roman" w:cs="Times New Roman"/>
          <w:sz w:val="24"/>
          <w:szCs w:val="24"/>
        </w:rPr>
        <w:t xml:space="preserve">individuals with impaired working memory systems (e.g., older adults) typically produce more errors </w:t>
      </w:r>
      <w:r w:rsidR="00781C2C">
        <w:rPr>
          <w:rFonts w:ascii="Times New Roman" w:hAnsi="Times New Roman" w:cs="Times New Roman"/>
          <w:sz w:val="24"/>
          <w:szCs w:val="24"/>
        </w:rPr>
        <w:t xml:space="preserve">and are slower at responding compared to individuals with working memory systems that are more intact (see </w:t>
      </w:r>
      <w:proofErr w:type="spellStart"/>
      <w:r w:rsidR="00767F5D" w:rsidRPr="00767F5D">
        <w:rPr>
          <w:rFonts w:ascii="Times New Roman" w:hAnsi="Times New Roman" w:cs="Times New Roman"/>
          <w:sz w:val="24"/>
          <w:szCs w:val="24"/>
        </w:rPr>
        <w:t>Balota</w:t>
      </w:r>
      <w:proofErr w:type="spellEnd"/>
      <w:r w:rsidR="00767F5D" w:rsidRPr="00767F5D">
        <w:rPr>
          <w:rFonts w:ascii="Times New Roman" w:hAnsi="Times New Roman" w:cs="Times New Roman"/>
          <w:sz w:val="24"/>
          <w:szCs w:val="24"/>
        </w:rPr>
        <w:t xml:space="preserve"> et al., 2010</w:t>
      </w:r>
      <w:r w:rsidR="00781C2C">
        <w:rPr>
          <w:rFonts w:ascii="Times New Roman" w:hAnsi="Times New Roman" w:cs="Times New Roman"/>
          <w:sz w:val="24"/>
          <w:szCs w:val="24"/>
        </w:rPr>
        <w:t>). These differences become even more exaggerated for older adults with cognitive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Thus, it is </w:t>
      </w:r>
      <w:r w:rsidR="00DA3DA3">
        <w:rPr>
          <w:rFonts w:ascii="Times New Roman" w:hAnsi="Times New Roman" w:cs="Times New Roman"/>
          <w:sz w:val="24"/>
          <w:szCs w:val="24"/>
        </w:rPr>
        <w:t xml:space="preserve">evident </w:t>
      </w:r>
      <w:r w:rsidR="00F75D9A">
        <w:rPr>
          <w:rFonts w:ascii="Times New Roman" w:hAnsi="Times New Roman" w:cs="Times New Roman"/>
          <w:sz w:val="24"/>
          <w:szCs w:val="24"/>
        </w:rPr>
        <w:t>that task-switching is inextricably tied to working memory.</w:t>
      </w:r>
      <w:r w:rsidR="00081A51">
        <w:rPr>
          <w:rFonts w:ascii="Times New Roman" w:hAnsi="Times New Roman" w:cs="Times New Roman"/>
          <w:sz w:val="24"/>
          <w:szCs w:val="24"/>
        </w:rPr>
        <w:t xml:space="preserve"> We have updated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clarify </w:t>
      </w:r>
      <w:r w:rsidR="00260903">
        <w:rPr>
          <w:rFonts w:ascii="Times New Roman" w:hAnsi="Times New Roman" w:cs="Times New Roman"/>
          <w:sz w:val="24"/>
          <w:szCs w:val="24"/>
        </w:rPr>
        <w:t>the relationship between these processes.</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491BC54" w:rsidR="00871843" w:rsidRDefault="00871843" w:rsidP="0011168B">
      <w:pPr>
        <w:spacing w:after="0" w:line="240" w:lineRule="auto"/>
        <w:rPr>
          <w:rFonts w:ascii="Times New Roman" w:hAnsi="Times New Roman" w:cs="Times New Roman"/>
          <w:sz w:val="24"/>
          <w:szCs w:val="24"/>
        </w:rPr>
      </w:pPr>
      <w:commentRangeStart w:id="2"/>
      <w:r w:rsidRPr="00871843">
        <w:rPr>
          <w:rFonts w:ascii="Times New Roman" w:hAnsi="Times New Roman" w:cs="Times New Roman"/>
          <w:b/>
          <w:bCs/>
          <w:i/>
          <w:iCs/>
          <w:sz w:val="24"/>
          <w:szCs w:val="24"/>
        </w:rPr>
        <w:t>Response:</w:t>
      </w:r>
      <w:commentRangeEnd w:id="2"/>
      <w:r w:rsidR="006427CA">
        <w:rPr>
          <w:rStyle w:val="CommentReference"/>
        </w:rPr>
        <w:commentReference w:id="2"/>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proofErr w:type="spellStart"/>
      <w:r w:rsidR="00767F5D">
        <w:rPr>
          <w:rFonts w:ascii="Times New Roman" w:hAnsi="Times New Roman" w:cs="Times New Roman"/>
          <w:sz w:val="24"/>
          <w:szCs w:val="24"/>
        </w:rPr>
        <w:t>Balota</w:t>
      </w:r>
      <w:proofErr w:type="spellEnd"/>
      <w:r w:rsidR="00767F5D">
        <w:rPr>
          <w:rFonts w:ascii="Times New Roman" w:hAnsi="Times New Roman" w:cs="Times New Roman"/>
          <w:sz w:val="24"/>
          <w:szCs w:val="24"/>
        </w:rPr>
        <w:t xml:space="preserve"> et al., 2010; </w:t>
      </w:r>
      <w:r w:rsidR="004818D6">
        <w:rPr>
          <w:rFonts w:ascii="Times New Roman" w:hAnsi="Times New Roman" w:cs="Times New Roman"/>
          <w:sz w:val="24"/>
          <w:szCs w:val="24"/>
        </w:rPr>
        <w:t xml:space="preserve">Huff et al., 2015; </w:t>
      </w:r>
      <w:proofErr w:type="spellStart"/>
      <w:r w:rsidR="004818D6">
        <w:rPr>
          <w:rFonts w:ascii="Times New Roman" w:hAnsi="Times New Roman" w:cs="Times New Roman"/>
          <w:sz w:val="24"/>
          <w:szCs w:val="24"/>
        </w:rPr>
        <w:t>Tse</w:t>
      </w:r>
      <w:proofErr w:type="spellEnd"/>
      <w:r w:rsidR="004818D6">
        <w:rPr>
          <w:rFonts w:ascii="Times New Roman" w:hAnsi="Times New Roman" w:cs="Times New Roman"/>
          <w:sz w:val="24"/>
          <w:szCs w:val="24"/>
        </w:rPr>
        <w:t xml:space="preserv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gives insight into conditions that produce working memory failures in healthy adults. For example, our finding that random switching increases local switch</w:t>
      </w:r>
      <w:r w:rsidR="00260903">
        <w:rPr>
          <w:rFonts w:ascii="Times New Roman" w:hAnsi="Times New Roman" w:cs="Times New Roman"/>
          <w:sz w:val="24"/>
          <w:szCs w:val="24"/>
        </w:rPr>
        <w:t xml:space="preserve"> costs relative to predictive switching indicates that the greater difficulty of the random task particularly taxes working memory processes related to task-set reconfiguration (i.e., </w:t>
      </w:r>
      <w:r w:rsidR="006427CA" w:rsidRPr="006427CA">
        <w:rPr>
          <w:rFonts w:ascii="Times New Roman" w:hAnsi="Times New Roman" w:cs="Times New Roman"/>
          <w:sz w:val="24"/>
          <w:szCs w:val="24"/>
        </w:rPr>
        <w:t>changing task-sets</w:t>
      </w:r>
      <w:r w:rsidR="00260903" w:rsidRPr="006427CA">
        <w:rPr>
          <w:rFonts w:ascii="Times New Roman" w:hAnsi="Times New Roman" w:cs="Times New Roman"/>
          <w:sz w:val="24"/>
          <w:szCs w:val="24"/>
        </w:rPr>
        <w:t>). 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F951E0">
        <w:rPr>
          <w:rFonts w:ascii="Times New Roman" w:hAnsi="Times New Roman" w:cs="Times New Roman"/>
          <w:sz w:val="24"/>
          <w:szCs w:val="24"/>
        </w:rPr>
        <w:t>local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 while simultaneously keeping each task-set active in working memory. Thus, task-switching performance provides insight on situations in which working memory performance is impaired, either through task-manipulations (e.g., the present study) or natural processes like aging.</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w:t>
      </w:r>
      <w:r w:rsidR="009E2526">
        <w:rPr>
          <w:rFonts w:ascii="Times New Roman" w:hAnsi="Times New Roman" w:cs="Times New Roman"/>
          <w:sz w:val="24"/>
          <w:szCs w:val="24"/>
        </w:rPr>
        <w:lastRenderedPageBreak/>
        <w:t xml:space="preserve">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D3B1596" w14:textId="3BDD7F5A" w:rsidR="00876D2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greater clarity regarding the rationale for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out of place in our Introductio</w:t>
      </w:r>
      <w:r w:rsidR="00A736FB">
        <w:rPr>
          <w:rFonts w:ascii="Times New Roman" w:hAnsi="Times New Roman" w:cs="Times New Roman"/>
          <w:sz w:val="24"/>
          <w:szCs w:val="24"/>
        </w:rPr>
        <w:t>n</w:t>
      </w:r>
      <w:r w:rsidR="00D457D6">
        <w:rPr>
          <w:rFonts w:ascii="Times New Roman" w:hAnsi="Times New Roman" w:cs="Times New Roman"/>
          <w:sz w:val="24"/>
          <w:szCs w:val="24"/>
        </w:rPr>
        <w:t>. L</w:t>
      </w:r>
      <w:r w:rsidR="00A736FB">
        <w:rPr>
          <w:rFonts w:ascii="Times New Roman" w:hAnsi="Times New Roman" w:cs="Times New Roman"/>
          <w:sz w:val="24"/>
          <w:szCs w:val="24"/>
        </w:rPr>
        <w:t>ike CVOE, the Stroop task requires participants to</w:t>
      </w:r>
      <w:r w:rsidR="009A6F46">
        <w:rPr>
          <w:rFonts w:ascii="Times New Roman" w:hAnsi="Times New Roman" w:cs="Times New Roman"/>
          <w:sz w:val="24"/>
          <w:szCs w:val="24"/>
        </w:rPr>
        <w:t xml:space="preserve"> switch between two conflicting task-sets </w:t>
      </w:r>
      <w:r w:rsidR="009A6F46">
        <w:rPr>
          <w:rFonts w:ascii="Times New Roman" w:hAnsi="Times New Roman" w:cs="Times New Roman"/>
          <w:sz w:val="24"/>
          <w:szCs w:val="24"/>
        </w:rPr>
        <w:t>(i.e., read</w:t>
      </w:r>
      <w:r w:rsidR="009A6F46">
        <w:rPr>
          <w:rFonts w:ascii="Times New Roman" w:hAnsi="Times New Roman" w:cs="Times New Roman"/>
          <w:sz w:val="24"/>
          <w:szCs w:val="24"/>
        </w:rPr>
        <w:t>ing</w:t>
      </w:r>
      <w:r w:rsidR="009A6F46">
        <w:rPr>
          <w:rFonts w:ascii="Times New Roman" w:hAnsi="Times New Roman" w:cs="Times New Roman"/>
          <w:sz w:val="24"/>
          <w:szCs w:val="24"/>
        </w:rPr>
        <w:t xml:space="preserve">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t>
      </w:r>
      <w:r w:rsidR="009A6F46">
        <w:rPr>
          <w:rFonts w:ascii="Times New Roman" w:hAnsi="Times New Roman" w:cs="Times New Roman"/>
          <w:sz w:val="24"/>
          <w:szCs w:val="24"/>
        </w:rPr>
        <w:t xml:space="preserve">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 xml:space="preserve">). </w:t>
      </w:r>
      <w:r w:rsidR="009A6F46">
        <w:rPr>
          <w:rFonts w:ascii="Times New Roman" w:hAnsi="Times New Roman" w:cs="Times New Roman"/>
          <w:sz w:val="24"/>
          <w:szCs w:val="24"/>
        </w:rPr>
        <w:t xml:space="preserve">Furthermore, participants must </w:t>
      </w:r>
      <w:r w:rsidR="007270B7">
        <w:rPr>
          <w:rFonts w:ascii="Times New Roman" w:hAnsi="Times New Roman" w:cs="Times New Roman"/>
          <w:sz w:val="24"/>
          <w:szCs w:val="24"/>
        </w:rPr>
        <w:t xml:space="preserve">suppress task-unrelated information while also keeping </w:t>
      </w:r>
      <w:r w:rsidR="009A6F46">
        <w:rPr>
          <w:rFonts w:ascii="Times New Roman" w:hAnsi="Times New Roman" w:cs="Times New Roman"/>
          <w:sz w:val="24"/>
          <w:szCs w:val="24"/>
        </w:rPr>
        <w:t>both</w:t>
      </w:r>
      <w:r w:rsidR="007270B7">
        <w:rPr>
          <w:rFonts w:ascii="Times New Roman" w:hAnsi="Times New Roman" w:cs="Times New Roman"/>
          <w:sz w:val="24"/>
          <w:szCs w:val="24"/>
        </w:rPr>
        <w:t xml:space="preserve"> task-</w:t>
      </w:r>
      <w:r w:rsidR="009A6F46">
        <w:rPr>
          <w:rFonts w:ascii="Times New Roman" w:hAnsi="Times New Roman" w:cs="Times New Roman"/>
          <w:sz w:val="24"/>
          <w:szCs w:val="24"/>
        </w:rPr>
        <w:t>sets</w:t>
      </w:r>
      <w:r w:rsidR="007270B7">
        <w:rPr>
          <w:rFonts w:ascii="Times New Roman" w:hAnsi="Times New Roman" w:cs="Times New Roman"/>
          <w:sz w:val="24"/>
          <w:szCs w:val="24"/>
        </w:rPr>
        <w:t xml:space="preserve"> active in working memory</w:t>
      </w:r>
      <w:r w:rsidR="009A6F46">
        <w:rPr>
          <w:rFonts w:ascii="Times New Roman" w:hAnsi="Times New Roman" w:cs="Times New Roman"/>
          <w:sz w:val="24"/>
          <w:szCs w:val="24"/>
        </w:rPr>
        <w:t>.</w:t>
      </w:r>
      <w:r w:rsidR="00C32CDC">
        <w:rPr>
          <w:rFonts w:ascii="Times New Roman" w:hAnsi="Times New Roman" w:cs="Times New Roman"/>
          <w:sz w:val="24"/>
          <w:szCs w:val="24"/>
        </w:rPr>
        <w:t xml:space="preserve"> </w:t>
      </w:r>
      <w:r w:rsidR="00D457D6" w:rsidRPr="00D457D6">
        <w:rPr>
          <w:rFonts w:ascii="Times New Roman" w:hAnsi="Times New Roman" w:cs="Times New Roman"/>
          <w:sz w:val="24"/>
          <w:szCs w:val="24"/>
        </w:rPr>
        <w:t>Further</w:t>
      </w:r>
      <w:r w:rsidR="009A6F46">
        <w:rPr>
          <w:rFonts w:ascii="Times New Roman" w:hAnsi="Times New Roman" w:cs="Times New Roman"/>
          <w:sz w:val="24"/>
          <w:szCs w:val="24"/>
        </w:rPr>
        <w:t>more</w:t>
      </w:r>
      <w:r w:rsidR="00D457D6" w:rsidRPr="00D457D6">
        <w:rPr>
          <w:rFonts w:ascii="Times New Roman" w:hAnsi="Times New Roman" w:cs="Times New Roman"/>
          <w:sz w:val="24"/>
          <w:szCs w:val="24"/>
        </w:rPr>
        <w:t xml:space="preserve">, </w:t>
      </w:r>
      <w:r w:rsidR="009A6F46">
        <w:rPr>
          <w:rFonts w:ascii="Times New Roman" w:hAnsi="Times New Roman" w:cs="Times New Roman"/>
          <w:sz w:val="24"/>
          <w:szCs w:val="24"/>
        </w:rPr>
        <w:t xml:space="preserve">like the CVOE task, </w:t>
      </w:r>
      <w:r w:rsidR="00D457D6" w:rsidRPr="00D457D6">
        <w:rPr>
          <w:rFonts w:ascii="Times New Roman" w:hAnsi="Times New Roman" w:cs="Times New Roman"/>
          <w:sz w:val="24"/>
          <w:szCs w:val="24"/>
        </w:rPr>
        <w:t xml:space="preserve">Stroop effects are highly sensitive to breakdowns in </w:t>
      </w:r>
      <w:r w:rsidR="009A6F46">
        <w:rPr>
          <w:rFonts w:ascii="Times New Roman" w:hAnsi="Times New Roman" w:cs="Times New Roman"/>
          <w:sz w:val="24"/>
          <w:szCs w:val="24"/>
        </w:rPr>
        <w:t xml:space="preserve">attentional control and </w:t>
      </w:r>
      <w:r w:rsidR="00D457D6" w:rsidRPr="00D457D6">
        <w:rPr>
          <w:rFonts w:ascii="Times New Roman" w:hAnsi="Times New Roman" w:cs="Times New Roman"/>
          <w:sz w:val="24"/>
          <w:szCs w:val="24"/>
        </w:rPr>
        <w:t xml:space="preserve">working memory processes </w:t>
      </w:r>
      <w:r w:rsidR="009A6F46">
        <w:rPr>
          <w:rFonts w:ascii="Times New Roman" w:hAnsi="Times New Roman" w:cs="Times New Roman"/>
          <w:sz w:val="24"/>
          <w:szCs w:val="24"/>
        </w:rPr>
        <w:t xml:space="preserve">due to aging </w:t>
      </w:r>
      <w:r w:rsidR="004916AE">
        <w:rPr>
          <w:rFonts w:ascii="Times New Roman" w:hAnsi="Times New Roman" w:cs="Times New Roman"/>
          <w:sz w:val="24"/>
          <w:szCs w:val="24"/>
        </w:rPr>
        <w:t xml:space="preserve">(e.g., </w:t>
      </w:r>
      <w:proofErr w:type="spellStart"/>
      <w:r w:rsidR="004916AE">
        <w:rPr>
          <w:rFonts w:ascii="Times New Roman" w:hAnsi="Times New Roman" w:cs="Times New Roman"/>
          <w:sz w:val="24"/>
          <w:szCs w:val="24"/>
        </w:rPr>
        <w:t>Spieler</w:t>
      </w:r>
      <w:proofErr w:type="spellEnd"/>
      <w:r w:rsidR="004916AE">
        <w:rPr>
          <w:rFonts w:ascii="Times New Roman" w:hAnsi="Times New Roman" w:cs="Times New Roman"/>
          <w:sz w:val="24"/>
          <w:szCs w:val="24"/>
        </w:rPr>
        <w:t xml:space="preserve"> et al., 1996)</w:t>
      </w:r>
      <w:r w:rsidR="009A6F46">
        <w:rPr>
          <w:rFonts w:ascii="Times New Roman" w:hAnsi="Times New Roman" w:cs="Times New Roman"/>
          <w:sz w:val="24"/>
          <w:szCs w:val="24"/>
        </w:rPr>
        <w:t xml:space="preserve"> </w:t>
      </w:r>
      <w:r w:rsidR="00D457D6" w:rsidRPr="00D457D6">
        <w:rPr>
          <w:rFonts w:ascii="Times New Roman" w:hAnsi="Times New Roman" w:cs="Times New Roman"/>
          <w:sz w:val="24"/>
          <w:szCs w:val="24"/>
        </w:rPr>
        <w:t>and have even been suggested to be an indicator of early stage Alzheimer’s Disease (Hutchison et al., 2010).</w:t>
      </w:r>
    </w:p>
    <w:p w14:paraId="57E02F46" w14:textId="77777777" w:rsidR="00876D27" w:rsidRDefault="00876D27" w:rsidP="00D70C56">
      <w:pPr>
        <w:spacing w:after="0" w:line="240" w:lineRule="auto"/>
        <w:rPr>
          <w:rFonts w:ascii="Times New Roman" w:hAnsi="Times New Roman" w:cs="Times New Roman"/>
          <w:sz w:val="24"/>
          <w:szCs w:val="24"/>
        </w:rPr>
      </w:pPr>
    </w:p>
    <w:p w14:paraId="7A6BC77D" w14:textId="502CB816" w:rsidR="00197735" w:rsidRDefault="00152547"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DF6D1D">
        <w:rPr>
          <w:rFonts w:ascii="Times New Roman" w:hAnsi="Times New Roman" w:cs="Times New Roman"/>
          <w:sz w:val="24"/>
          <w:szCs w:val="24"/>
        </w:rPr>
        <w:t>restructured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related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197735"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00197735"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0769E838"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for consideration in the special issue on working memory. We reasoned that this consideration was warranted, given that t</w:t>
      </w:r>
      <w:r w:rsidR="00E92F82">
        <w:rPr>
          <w:rFonts w:ascii="Times New Roman" w:hAnsi="Times New Roman" w:cs="Times New Roman"/>
          <w:sz w:val="24"/>
          <w:szCs w:val="24"/>
        </w:rPr>
        <w:t>here is a</w:t>
      </w:r>
      <w:r w:rsidR="005A596F">
        <w:rPr>
          <w:rFonts w:ascii="Times New Roman" w:hAnsi="Times New Roman" w:cs="Times New Roman"/>
          <w:sz w:val="24"/>
          <w:szCs w:val="24"/>
        </w:rPr>
        <w:t xml:space="preserve"> </w:t>
      </w:r>
      <w:r w:rsidR="00265581">
        <w:rPr>
          <w:rFonts w:ascii="Times New Roman" w:hAnsi="Times New Roman" w:cs="Times New Roman"/>
          <w:sz w:val="24"/>
          <w:szCs w:val="24"/>
        </w:rPr>
        <w:t xml:space="preserve">link between task-switching </w:t>
      </w:r>
      <w:r w:rsidR="002F65E9">
        <w:rPr>
          <w:rFonts w:ascii="Times New Roman" w:hAnsi="Times New Roman" w:cs="Times New Roman"/>
          <w:sz w:val="24"/>
          <w:szCs w:val="24"/>
        </w:rPr>
        <w:t xml:space="preserve">performance </w:t>
      </w:r>
      <w:r w:rsidR="00265581">
        <w:rPr>
          <w:rFonts w:ascii="Times New Roman" w:hAnsi="Times New Roman" w:cs="Times New Roman"/>
          <w:sz w:val="24"/>
          <w:szCs w:val="24"/>
        </w:rPr>
        <w:t>and working memor</w:t>
      </w:r>
      <w:r w:rsidR="007B5EDC">
        <w:rPr>
          <w:rFonts w:ascii="Times New Roman" w:hAnsi="Times New Roman" w:cs="Times New Roman"/>
          <w:sz w:val="24"/>
          <w:szCs w:val="24"/>
        </w:rPr>
        <w:t>y</w:t>
      </w:r>
      <w:r w:rsidR="00B47827">
        <w:rPr>
          <w:rFonts w:ascii="Times New Roman" w:hAnsi="Times New Roman" w:cs="Times New Roman"/>
          <w:sz w:val="24"/>
          <w:szCs w:val="24"/>
        </w:rPr>
        <w:t xml:space="preserve"> (please see our response to the Action Editor, comment 1).</w:t>
      </w:r>
      <w:r w:rsidR="001000B0">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w:t>
      </w:r>
      <w:proofErr w:type="gramStart"/>
      <w:r w:rsidRPr="001B575E">
        <w:rPr>
          <w:rFonts w:ascii="Times New Roman" w:hAnsi="Times New Roman" w:cs="Times New Roman"/>
          <w:sz w:val="24"/>
          <w:szCs w:val="24"/>
        </w:rPr>
        <w:t>task</w:t>
      </w:r>
      <w:proofErr w:type="gramEnd"/>
      <w:r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xml:space="preserve">, A., </w:t>
      </w:r>
      <w:proofErr w:type="spellStart"/>
      <w:r w:rsidRPr="001B575E">
        <w:rPr>
          <w:rFonts w:ascii="Times New Roman" w:hAnsi="Times New Roman" w:cs="Times New Roman"/>
          <w:sz w:val="24"/>
          <w:szCs w:val="24"/>
        </w:rPr>
        <w:t>Steinhauser</w:t>
      </w:r>
      <w:proofErr w:type="spellEnd"/>
      <w:r w:rsidRPr="001B575E">
        <w:rPr>
          <w:rFonts w:ascii="Times New Roman" w:hAnsi="Times New Roman" w:cs="Times New Roman"/>
          <w:sz w:val="24"/>
          <w:szCs w:val="24"/>
        </w:rPr>
        <w:t xml:space="preserve">, M., Wendt, M., </w:t>
      </w:r>
      <w:proofErr w:type="spellStart"/>
      <w:r w:rsidRPr="001B575E">
        <w:rPr>
          <w:rFonts w:ascii="Times New Roman" w:hAnsi="Times New Roman" w:cs="Times New Roman"/>
          <w:sz w:val="24"/>
          <w:szCs w:val="24"/>
        </w:rPr>
        <w:t>Falkenstein</w:t>
      </w:r>
      <w:proofErr w:type="spellEnd"/>
      <w:r w:rsidRPr="001B575E">
        <w:rPr>
          <w:rFonts w:ascii="Times New Roman" w:hAnsi="Times New Roman" w:cs="Times New Roman"/>
          <w:sz w:val="24"/>
          <w:szCs w:val="24"/>
        </w:rPr>
        <w:t xml:space="preserve">, M., </w:t>
      </w:r>
      <w:proofErr w:type="spellStart"/>
      <w:r w:rsidRPr="001B575E">
        <w:rPr>
          <w:rFonts w:ascii="Times New Roman" w:hAnsi="Times New Roman" w:cs="Times New Roman"/>
          <w:sz w:val="24"/>
          <w:szCs w:val="24"/>
        </w:rPr>
        <w:t>Jost</w:t>
      </w:r>
      <w:proofErr w:type="spellEnd"/>
      <w:r w:rsidRPr="001B575E">
        <w:rPr>
          <w:rFonts w:ascii="Times New Roman" w:hAnsi="Times New Roman" w:cs="Times New Roman"/>
          <w:sz w:val="24"/>
          <w:szCs w:val="24"/>
        </w:rPr>
        <w: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 xml:space="preserve">Koch, I., </w:t>
      </w:r>
      <w:proofErr w:type="spellStart"/>
      <w:r w:rsidRPr="001B575E">
        <w:rPr>
          <w:rFonts w:ascii="Times New Roman" w:hAnsi="Times New Roman" w:cs="Times New Roman"/>
          <w:sz w:val="24"/>
          <w:szCs w:val="24"/>
        </w:rPr>
        <w:t>Poljac</w:t>
      </w:r>
      <w:proofErr w:type="spellEnd"/>
      <w:r w:rsidRPr="001B575E">
        <w:rPr>
          <w:rFonts w:ascii="Times New Roman" w:hAnsi="Times New Roman" w:cs="Times New Roman"/>
          <w:sz w:val="24"/>
          <w:szCs w:val="24"/>
        </w:rPr>
        <w:t xml:space="preserve">, E., Müller, H., &amp; </w:t>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commentRangeStart w:id="3"/>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3"/>
      <w:r w:rsidR="00BF38BB">
        <w:rPr>
          <w:rStyle w:val="CommentReference"/>
        </w:rPr>
        <w:commentReference w:id="3"/>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77777777"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 xml:space="preserve">We apologize for this discrepancy. We initially reported </w:t>
      </w:r>
      <w:proofErr w:type="spellStart"/>
      <w:r w:rsidR="00D35BB6">
        <w:rPr>
          <w:rFonts w:ascii="Times New Roman" w:hAnsi="Times New Roman" w:cs="Times New Roman"/>
          <w:sz w:val="24"/>
          <w:szCs w:val="24"/>
        </w:rPr>
        <w:t>Minear</w:t>
      </w:r>
      <w:proofErr w:type="spellEnd"/>
      <w:r w:rsidR="00D35BB6">
        <w:rPr>
          <w:rFonts w:ascii="Times New Roman" w:hAnsi="Times New Roman" w:cs="Times New Roman"/>
          <w:sz w:val="24"/>
          <w:szCs w:val="24"/>
        </w:rPr>
        <w:t xml:space="preserve"> and Shah’s pattern, given they 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s, may represent a failure to replicate their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7777777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the present study and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First,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were particularly interested in transfer effects on later switch task performance, rather than on a direct comparison of predictive/random switching on task accuracy and switch costs. Second, and more importantly, it is unclear whether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counter-balanced across switch block type. Thus, all participants in their study may have first completed the </w:t>
      </w:r>
      <w:r>
        <w:rPr>
          <w:rFonts w:ascii="Times New Roman" w:hAnsi="Times New Roman" w:cs="Times New Roman"/>
          <w:sz w:val="24"/>
          <w:szCs w:val="24"/>
        </w:rPr>
        <w:lastRenderedPageBreak/>
        <w:t>predictive switch task before completing the random switch task. Their findings, therefore, may be confounded by practice effects.</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7D739F3F"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reported pattern, while 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4"/>
      <w:commentRangeStart w:id="5"/>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4"/>
      <w:r w:rsidR="00A264DA">
        <w:rPr>
          <w:rStyle w:val="CommentReference"/>
        </w:rPr>
        <w:commentReference w:id="4"/>
      </w:r>
      <w:commentRangeEnd w:id="5"/>
      <w:r w:rsidR="00D15009">
        <w:rPr>
          <w:rStyle w:val="CommentReference"/>
        </w:rPr>
        <w:commentReference w:id="5"/>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167A1665" w:rsidR="00DF722A" w:rsidRDefault="009B3E15" w:rsidP="00D70C56">
      <w:pPr>
        <w:spacing w:after="0" w:line="240" w:lineRule="auto"/>
        <w:rPr>
          <w:rFonts w:ascii="Times New Roman" w:hAnsi="Times New Roman" w:cs="Times New Roman"/>
          <w:sz w:val="24"/>
          <w:szCs w:val="24"/>
        </w:rPr>
      </w:pPr>
      <w:commentRangeStart w:id="6"/>
      <w:r w:rsidRPr="009B3E15">
        <w:rPr>
          <w:rFonts w:ascii="Times New Roman" w:hAnsi="Times New Roman" w:cs="Times New Roman"/>
          <w:b/>
          <w:bCs/>
          <w:i/>
          <w:iCs/>
          <w:sz w:val="24"/>
          <w:szCs w:val="24"/>
        </w:rPr>
        <w:t>Response:</w:t>
      </w:r>
      <w:commentRangeEnd w:id="6"/>
      <w:r w:rsidR="00DF722A">
        <w:rPr>
          <w:rStyle w:val="CommentReference"/>
        </w:rPr>
        <w:commentReference w:id="6"/>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proofErr w:type="spellStart"/>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proofErr w:type="spellEnd"/>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to clarify this point while also providing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proofErr w:type="spellStart"/>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bic</w:t>
      </w:r>
      <w:proofErr w:type="spellEnd"/>
      <w:r w:rsidR="00DF722A" w:rsidRPr="004761F8">
        <w:rPr>
          <w:rFonts w:ascii="Times New Roman" w:hAnsi="Times New Roman" w:cs="Times New Roman"/>
          <w:caps/>
          <w:sz w:val="24"/>
          <w:szCs w:val="24"/>
          <w:vertAlign w:val="subscript"/>
        </w:rPr>
        <w:t xml:space="preserve">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6E366241"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proofErr w:type="spellStart"/>
      <w:r w:rsidR="00D35BB6">
        <w:rPr>
          <w:rFonts w:ascii="Times New Roman" w:hAnsi="Times New Roman" w:cs="Times New Roman"/>
          <w:bCs/>
          <w:iCs/>
          <w:sz w:val="24"/>
          <w:szCs w:val="24"/>
        </w:rPr>
        <w:t>Balota</w:t>
      </w:r>
      <w:proofErr w:type="spellEnd"/>
      <w:r w:rsidR="00D35BB6">
        <w:rPr>
          <w:rFonts w:ascii="Times New Roman" w:hAnsi="Times New Roman" w:cs="Times New Roman"/>
          <w:bCs/>
          <w:iCs/>
          <w:sz w:val="24"/>
          <w:szCs w:val="24"/>
        </w:rPr>
        <w:t xml:space="preserve"> &amp; Yap, 2011; </w:t>
      </w:r>
      <w:r w:rsidR="005B5201" w:rsidRPr="005B5201">
        <w:rPr>
          <w:rFonts w:ascii="Times New Roman" w:hAnsi="Times New Roman" w:cs="Times New Roman"/>
          <w:bCs/>
          <w:iCs/>
          <w:sz w:val="24"/>
          <w:szCs w:val="24"/>
        </w:rPr>
        <w:t xml:space="preserve">Huff et al., 2015; </w:t>
      </w:r>
      <w:proofErr w:type="spellStart"/>
      <w:r w:rsidR="00D35BB6">
        <w:rPr>
          <w:rFonts w:ascii="Times New Roman" w:hAnsi="Times New Roman" w:cs="Times New Roman"/>
          <w:bCs/>
          <w:iCs/>
          <w:sz w:val="24"/>
          <w:szCs w:val="24"/>
        </w:rPr>
        <w:t>Speiler</w:t>
      </w:r>
      <w:proofErr w:type="spellEnd"/>
      <w:r w:rsidR="00D35BB6">
        <w:rPr>
          <w:rFonts w:ascii="Times New Roman" w:hAnsi="Times New Roman" w:cs="Times New Roman"/>
          <w:bCs/>
          <w:iCs/>
          <w:sz w:val="24"/>
          <w:szCs w:val="24"/>
        </w:rPr>
        <w:t xml:space="preserve"> et al., 2000;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lastRenderedPageBreak/>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7"/>
      <w:commentRangeStart w:id="8"/>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7"/>
      <w:proofErr w:type="spellEnd"/>
      <w:r w:rsidR="006E6EC9">
        <w:rPr>
          <w:rStyle w:val="CommentReference"/>
        </w:rPr>
        <w:commentReference w:id="7"/>
      </w:r>
      <w:commentRangeEnd w:id="8"/>
      <w:r w:rsidR="00C844EC">
        <w:rPr>
          <w:rStyle w:val="CommentReference"/>
        </w:rPr>
        <w:commentReference w:id="8"/>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9"/>
      <w:r w:rsidR="004668DE" w:rsidRPr="001B575E">
        <w:rPr>
          <w:rFonts w:ascii="Times New Roman" w:hAnsi="Times New Roman" w:cs="Times New Roman"/>
          <w:sz w:val="24"/>
          <w:szCs w:val="24"/>
        </w:rPr>
        <w:t xml:space="preserve">global and local switch </w:t>
      </w:r>
      <w:commentRangeEnd w:id="9"/>
      <w:r w:rsidR="00557766">
        <w:rPr>
          <w:rStyle w:val="CommentReference"/>
        </w:rPr>
        <w:commentReference w:id="9"/>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01E22BE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w:t>
      </w:r>
      <w:r w:rsidR="0006504C">
        <w:rPr>
          <w:rFonts w:ascii="Times New Roman" w:hAnsi="Times New Roman" w:cs="Times New Roman"/>
          <w:sz w:val="24"/>
          <w:szCs w:val="24"/>
        </w:rPr>
        <w:t xml:space="preserve">us with </w:t>
      </w:r>
      <w:r w:rsidR="00ED1FDE">
        <w:rPr>
          <w:rFonts w:ascii="Times New Roman" w:hAnsi="Times New Roman" w:cs="Times New Roman"/>
          <w:sz w:val="24"/>
          <w:szCs w:val="24"/>
        </w:rPr>
        <w:t xml:space="preserve">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09CB3FA6"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proofErr w:type="spellStart"/>
      <w:r w:rsidR="00E644E9">
        <w:rPr>
          <w:rFonts w:ascii="Times New Roman" w:hAnsi="Times New Roman" w:cs="Times New Roman"/>
          <w:sz w:val="24"/>
          <w:szCs w:val="24"/>
        </w:rPr>
        <w:t>Nashiro</w:t>
      </w:r>
      <w:proofErr w:type="spellEnd"/>
      <w:r w:rsidR="00E644E9">
        <w:rPr>
          <w:rFonts w:ascii="Times New Roman" w:hAnsi="Times New Roman" w:cs="Times New Roman"/>
          <w:sz w:val="24"/>
          <w:szCs w:val="24"/>
        </w:rPr>
        <w:t xml:space="preserve"> et al., 2018; </w:t>
      </w:r>
      <w:proofErr w:type="spellStart"/>
      <w:r w:rsidR="00DE1570">
        <w:rPr>
          <w:rFonts w:ascii="Times New Roman" w:hAnsi="Times New Roman" w:cs="Times New Roman"/>
          <w:sz w:val="24"/>
          <w:szCs w:val="24"/>
        </w:rPr>
        <w:t>Tse</w:t>
      </w:r>
      <w:proofErr w:type="spellEnd"/>
      <w:r w:rsidR="00DE1570">
        <w:rPr>
          <w:rFonts w:ascii="Times New Roman" w:hAnsi="Times New Roman" w:cs="Times New Roman"/>
          <w:sz w:val="24"/>
          <w:szCs w:val="24"/>
        </w:rPr>
        <w:t xml:space="preserv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proofErr w:type="spellStart"/>
      <w:r w:rsidR="00E644E9" w:rsidRPr="00E644E9">
        <w:rPr>
          <w:rFonts w:ascii="Times New Roman" w:hAnsi="Times New Roman" w:cs="Times New Roman"/>
          <w:sz w:val="24"/>
          <w:szCs w:val="24"/>
        </w:rPr>
        <w:t>Velichkovsky</w:t>
      </w:r>
      <w:proofErr w:type="spellEnd"/>
      <w:r w:rsidR="00E644E9" w:rsidRPr="00E644E9">
        <w:rPr>
          <w:rFonts w:ascii="Times New Roman" w:hAnsi="Times New Roman" w:cs="Times New Roman"/>
          <w:sz w:val="24"/>
          <w:szCs w:val="24"/>
        </w:rPr>
        <w:t xml:space="preserve"> et al., 2020)</w:t>
      </w:r>
      <w:r w:rsidR="00E644E9">
        <w:rPr>
          <w:rFonts w:ascii="Times New Roman" w:hAnsi="Times New Roman" w:cs="Times New Roman"/>
          <w:sz w:val="24"/>
          <w:szCs w:val="24"/>
        </w:rPr>
        <w:t>.</w:t>
      </w:r>
      <w:bookmarkStart w:id="10" w:name="_GoBack"/>
      <w:bookmarkEnd w:id="10"/>
      <w:r w:rsidR="00F50DC7">
        <w:rPr>
          <w:rFonts w:ascii="Times New Roman" w:hAnsi="Times New Roman" w:cs="Times New Roman"/>
          <w:sz w:val="24"/>
          <w:szCs w:val="24"/>
        </w:rPr>
        <w:t xml:space="preserve"> </w:t>
      </w:r>
      <w:r w:rsidR="00E644E9" w:rsidRPr="00E644E9">
        <w:rPr>
          <w:rFonts w:ascii="Times New Roman" w:hAnsi="Times New Roman" w:cs="Times New Roman"/>
          <w:sz w:val="24"/>
          <w:szCs w:val="24"/>
        </w:rPr>
        <w:t>Given that the most recent of these was published in 20</w:t>
      </w:r>
      <w:r w:rsidR="00E644E9">
        <w:rPr>
          <w:rFonts w:ascii="Times New Roman" w:hAnsi="Times New Roman" w:cs="Times New Roman"/>
          <w:sz w:val="24"/>
          <w:szCs w:val="24"/>
        </w:rPr>
        <w:t>20</w:t>
      </w:r>
      <w:r w:rsidR="00E644E9" w:rsidRPr="00E644E9">
        <w:rPr>
          <w:rFonts w:ascii="Times New Roman" w:hAnsi="Times New Roman" w:cs="Times New Roman"/>
          <w:sz w:val="24"/>
          <w:szCs w:val="24"/>
        </w:rPr>
        <w:t xml:space="preserve">, we disagree with your assessment that these </w:t>
      </w:r>
      <w:r w:rsidR="00E644E9">
        <w:rPr>
          <w:rFonts w:ascii="Times New Roman" w:hAnsi="Times New Roman" w:cs="Times New Roman"/>
          <w:sz w:val="24"/>
          <w:szCs w:val="24"/>
        </w:rPr>
        <w:t xml:space="preserve">terms </w:t>
      </w:r>
      <w:r w:rsidR="00E644E9" w:rsidRPr="00E644E9">
        <w:rPr>
          <w:rFonts w:ascii="Times New Roman" w:hAnsi="Times New Roman" w:cs="Times New Roman"/>
          <w:sz w:val="24"/>
          <w:szCs w:val="24"/>
        </w:rPr>
        <w:t xml:space="preserve">are archaic.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1"/>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1"/>
      <w:r w:rsidR="007170CA">
        <w:rPr>
          <w:rStyle w:val="CommentReference"/>
        </w:rPr>
        <w:commentReference w:id="11"/>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2"/>
      <w:commentRangeStart w:id="13"/>
      <w:r w:rsidR="004668DE" w:rsidRPr="001B575E">
        <w:rPr>
          <w:rFonts w:ascii="Times New Roman" w:hAnsi="Times New Roman" w:cs="Times New Roman"/>
          <w:sz w:val="24"/>
          <w:szCs w:val="24"/>
        </w:rPr>
        <w:t>CSI</w:t>
      </w:r>
      <w:commentRangeEnd w:id="12"/>
      <w:r w:rsidR="00C976E0">
        <w:rPr>
          <w:rStyle w:val="CommentReference"/>
        </w:rPr>
        <w:commentReference w:id="12"/>
      </w:r>
      <w:commentRangeEnd w:id="13"/>
      <w:r w:rsidR="005D27BC">
        <w:rPr>
          <w:rStyle w:val="CommentReference"/>
        </w:rPr>
        <w:commentReference w:id="13"/>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w:t>
      </w:r>
      <w:r w:rsidRPr="001B575E">
        <w:rPr>
          <w:rFonts w:ascii="Times New Roman" w:hAnsi="Times New Roman" w:cs="Times New Roman"/>
          <w:sz w:val="24"/>
          <w:szCs w:val="24"/>
        </w:rPr>
        <w:lastRenderedPageBreak/>
        <w:t xml:space="preserve">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4"/>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4"/>
      <w:r w:rsidR="00742E3D">
        <w:rPr>
          <w:rStyle w:val="CommentReference"/>
        </w:rPr>
        <w:commentReference w:id="14"/>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commentRangeStart w:id="15"/>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5"/>
      <w:r w:rsidR="00F85C07">
        <w:rPr>
          <w:rStyle w:val="CommentReference"/>
        </w:rPr>
        <w:commentReference w:id="15"/>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 xml:space="preserve">primarily what influences local </w:t>
      </w:r>
      <w:r w:rsidR="00F85C07">
        <w:rPr>
          <w:rFonts w:ascii="Times New Roman" w:hAnsi="Times New Roman" w:cs="Times New Roman"/>
          <w:sz w:val="24"/>
          <w:szCs w:val="24"/>
        </w:rPr>
        <w:lastRenderedPageBreak/>
        <w:t>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w:t>
      </w:r>
      <w:commentRangeStart w:id="16"/>
      <w:commentRangeStart w:id="17"/>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6"/>
      <w:r w:rsidR="00235CA0">
        <w:rPr>
          <w:rStyle w:val="CommentReference"/>
        </w:rPr>
        <w:commentReference w:id="16"/>
      </w:r>
      <w:commentRangeEnd w:id="17"/>
      <w:r w:rsidR="00AE574C">
        <w:rPr>
          <w:rStyle w:val="CommentReference"/>
        </w:rPr>
        <w:commentReference w:id="17"/>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6B167726"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AE574C">
        <w:rPr>
          <w:rFonts w:ascii="Times New Roman" w:hAnsi="Times New Roman" w:cs="Times New Roman"/>
          <w:sz w:val="24"/>
          <w:szCs w:val="24"/>
        </w:rPr>
        <w:t xml:space="preserve"> accordingly while also discussing our findings within the context of </w:t>
      </w:r>
      <w:commentRangeStart w:id="18"/>
      <w:r w:rsidR="00AE574C">
        <w:rPr>
          <w:rFonts w:ascii="Times New Roman" w:hAnsi="Times New Roman" w:cs="Times New Roman"/>
          <w:sz w:val="24"/>
          <w:szCs w:val="24"/>
        </w:rPr>
        <w:t>DeJong (2000)</w:t>
      </w:r>
      <w:commentRangeEnd w:id="18"/>
      <w:r w:rsidR="00AE574C">
        <w:rPr>
          <w:rStyle w:val="CommentReference"/>
        </w:rPr>
        <w:commentReference w:id="18"/>
      </w:r>
      <w:r w:rsidR="00AE574C">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213493E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on 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9"/>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9"/>
      <w:r w:rsidR="00B1540D">
        <w:rPr>
          <w:rStyle w:val="CommentReference"/>
        </w:rPr>
        <w:commentReference w:id="19"/>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10-02T18:57:00Z" w:initials="NM">
    <w:p w14:paraId="7AA62C48" w14:textId="77777777" w:rsidR="00F9013B" w:rsidRDefault="00F9013B" w:rsidP="00314CDB">
      <w:pPr>
        <w:pStyle w:val="CommentText"/>
      </w:pPr>
      <w:r>
        <w:rPr>
          <w:rStyle w:val="CommentReference"/>
        </w:rPr>
        <w:annotationRef/>
      </w:r>
      <w:r>
        <w:t>Almost forgot to add Jacob!</w:t>
      </w:r>
    </w:p>
  </w:comment>
  <w:comment w:id="2" w:author="Maxwell, Nicholas" w:date="2022-10-03T09:27:00Z" w:initials="MN">
    <w:p w14:paraId="51A81DCA" w14:textId="06C522CB" w:rsidR="006427CA" w:rsidRDefault="006427CA">
      <w:pPr>
        <w:pStyle w:val="CommentText"/>
      </w:pPr>
      <w:r>
        <w:rPr>
          <w:rStyle w:val="CommentReference"/>
        </w:rPr>
        <w:annotationRef/>
      </w:r>
      <w:r>
        <w:t>Think this is okay?</w:t>
      </w:r>
    </w:p>
  </w:comment>
  <w:comment w:id="3" w:author="Nick Maxwell" w:date="2022-09-24T14:00:00Z" w:initials="NM">
    <w:p w14:paraId="17079747" w14:textId="42267738"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4"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5" w:author="Nick Maxwell" w:date="2022-09-25T12:40:00Z" w:initials="NM">
    <w:p w14:paraId="69480B81" w14:textId="1D892928" w:rsidR="00D15009" w:rsidRDefault="00D15009" w:rsidP="009A6167">
      <w:pPr>
        <w:pStyle w:val="CommentText"/>
      </w:pPr>
      <w:r>
        <w:rPr>
          <w:rStyle w:val="CommentReference"/>
        </w:rPr>
        <w:annotationRef/>
      </w:r>
      <w:proofErr w:type="gramStart"/>
      <w:r w:rsidR="008840E2">
        <w:t>Also</w:t>
      </w:r>
      <w:proofErr w:type="gramEnd"/>
      <w:r w:rsidR="008840E2">
        <w:t xml:space="preserve"> </w:t>
      </w:r>
      <w:r>
        <w:t>I could potentially re-run one of the ANOVAs with block order as a factor?</w:t>
      </w:r>
      <w:r w:rsidR="008840E2">
        <w:t xml:space="preserve"> Presumably performance on switch blocks wouldn’t differ based on whether random or predictive came first? We could potentially bring this up in the GD as well – R2 mentioned learning effects (practice effects I assume?) as a potential reason why our pattern deviated from your 2015 paper.</w:t>
      </w:r>
    </w:p>
  </w:comment>
  <w:comment w:id="6"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7"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8"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9"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w:t>
      </w:r>
      <w:proofErr w:type="spellStart"/>
      <w:r>
        <w:t>Balota</w:t>
      </w:r>
      <w:proofErr w:type="spellEnd"/>
      <w:r>
        <w:t xml:space="preserve"> and </w:t>
      </w:r>
      <w:proofErr w:type="spellStart"/>
      <w:r>
        <w:t>Balota</w:t>
      </w:r>
      <w:proofErr w:type="spellEnd"/>
      <w:r>
        <w:t xml:space="preserve">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1" w:author="Nick Maxwell" w:date="2022-09-24T16:30:00Z" w:initials="NM">
    <w:p w14:paraId="5610E013" w14:textId="4490B21B" w:rsidR="007170CA" w:rsidRDefault="007170CA" w:rsidP="00C9325D">
      <w:pPr>
        <w:pStyle w:val="CommentText"/>
      </w:pPr>
      <w:r>
        <w:rPr>
          <w:rStyle w:val="CommentReference"/>
        </w:rPr>
        <w:annotationRef/>
      </w:r>
      <w:r>
        <w:t xml:space="preserve">Does this do an okay job of clarifying </w:t>
      </w:r>
      <w:r w:rsidR="00B659F9">
        <w:t>here</w:t>
      </w:r>
      <w:r>
        <w:t>?</w:t>
      </w:r>
    </w:p>
  </w:comment>
  <w:comment w:id="12"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3"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4" w:author="Maxwell, Nicholas" w:date="2022-10-03T10:42:00Z" w:initials="MN">
    <w:p w14:paraId="28E3C963" w14:textId="10EBBD84" w:rsidR="00742E3D" w:rsidRDefault="00742E3D">
      <w:pPr>
        <w:pStyle w:val="CommentText"/>
      </w:pPr>
      <w:r>
        <w:rPr>
          <w:rStyle w:val="CommentReference"/>
        </w:rPr>
        <w:annotationRef/>
      </w:r>
      <w:r>
        <w:t>Not sure what to do here yet.</w:t>
      </w:r>
    </w:p>
  </w:comment>
  <w:comment w:id="15" w:author="Maxwell, Nicholas" w:date="2022-09-28T09:43:00Z" w:initials="MN">
    <w:p w14:paraId="1FF0B75E" w14:textId="32A30BA3" w:rsidR="00F85C07" w:rsidRDefault="00F85C07">
      <w:pPr>
        <w:pStyle w:val="CommentText"/>
      </w:pPr>
      <w:r>
        <w:rPr>
          <w:rStyle w:val="CommentReference"/>
        </w:rPr>
        <w:annotationRef/>
      </w:r>
      <w:r>
        <w:t>Does any of this make sense?</w:t>
      </w:r>
    </w:p>
  </w:comment>
  <w:comment w:id="16"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17" w:author="Maxwell, Nicholas" w:date="2022-09-28T09:16:00Z" w:initials="MN">
    <w:p w14:paraId="3F721799" w14:textId="36C1FDC8" w:rsidR="00AE574C" w:rsidRDefault="00AE574C">
      <w:pPr>
        <w:pStyle w:val="CommentText"/>
      </w:pPr>
      <w:r>
        <w:rPr>
          <w:rStyle w:val="CommentReference"/>
        </w:rPr>
        <w:annotationRef/>
      </w:r>
      <w:proofErr w:type="gramStart"/>
      <w:r>
        <w:t>Also</w:t>
      </w:r>
      <w:proofErr w:type="gramEnd"/>
      <w:r>
        <w:t xml:space="preserve"> we need to hunt down this DeJong article. I’ve been searching and so </w:t>
      </w:r>
      <w:proofErr w:type="gramStart"/>
      <w:r>
        <w:t>far</w:t>
      </w:r>
      <w:proofErr w:type="gramEnd"/>
      <w:r>
        <w:t xml:space="preserve"> nothing. It’s a book chapter so I may need to ILL this.</w:t>
      </w:r>
    </w:p>
  </w:comment>
  <w:comment w:id="18" w:author="Maxwell, Nicholas" w:date="2022-09-28T09:21:00Z" w:initials="MN">
    <w:p w14:paraId="6FD048BB" w14:textId="6057A0A3" w:rsidR="00AE574C" w:rsidRDefault="00AE574C">
      <w:pPr>
        <w:pStyle w:val="CommentText"/>
      </w:pPr>
      <w:r>
        <w:rPr>
          <w:rStyle w:val="CommentReference"/>
        </w:rPr>
        <w:annotationRef/>
      </w:r>
      <w:r>
        <w:t>Assuming we can find it.</w:t>
      </w:r>
    </w:p>
  </w:comment>
  <w:comment w:id="19"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A5111" w15:done="0"/>
  <w15:commentEx w15:paraId="7AA62C48" w15:done="0"/>
  <w15:commentEx w15:paraId="51A81DCA" w15:done="0"/>
  <w15:commentEx w15:paraId="17079747" w15:done="0"/>
  <w15:commentEx w15:paraId="1FE1E637" w15:done="0"/>
  <w15:commentEx w15:paraId="69480B81" w15:paraIdParent="1FE1E637" w15:done="0"/>
  <w15:commentEx w15:paraId="448961D6" w15:done="0"/>
  <w15:commentEx w15:paraId="58370B62" w15:done="0"/>
  <w15:commentEx w15:paraId="3CAE3DC7" w15:paraIdParent="58370B62" w15:done="0"/>
  <w15:commentEx w15:paraId="5C816E2D" w15:done="0"/>
  <w15:commentEx w15:paraId="5610E013" w15:done="0"/>
  <w15:commentEx w15:paraId="4C190B37" w15:done="0"/>
  <w15:commentEx w15:paraId="2069D9AE" w15:paraIdParent="4C190B37" w15:done="0"/>
  <w15:commentEx w15:paraId="28E3C963" w15:done="0"/>
  <w15:commentEx w15:paraId="1FF0B75E" w15:done="0"/>
  <w15:commentEx w15:paraId="24D4408A" w15:done="0"/>
  <w15:commentEx w15:paraId="3F721799" w15:paraIdParent="24D4408A" w15:done="0"/>
  <w15:commentEx w15:paraId="6FD048BB"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E45DAC" w16cex:dateUtc="2022-10-02T23:57:00Z"/>
  <w16cex:commentExtensible w16cex:durableId="26D98C10" w16cex:dateUtc="2022-09-24T19:00: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A96AD" w16cex:dateUtc="2022-09-25T13:58:00Z"/>
  <w16cex:commentExtensible w16cex:durableId="26D99124" w16cex:dateUtc="2022-09-24T19:22: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A5111" w16cid:durableId="26D96BEC"/>
  <w16cid:commentId w16cid:paraId="7AA62C48" w16cid:durableId="26E45DAC"/>
  <w16cid:commentId w16cid:paraId="51A81DCA" w16cid:durableId="26E52971"/>
  <w16cid:commentId w16cid:paraId="17079747" w16cid:durableId="26D98C10"/>
  <w16cid:commentId w16cid:paraId="1FE1E637" w16cid:durableId="26DAC72F"/>
  <w16cid:commentId w16cid:paraId="69480B81" w16cid:durableId="26DACABF"/>
  <w16cid:commentId w16cid:paraId="448961D6" w16cid:durableId="26DBFA12"/>
  <w16cid:commentId w16cid:paraId="58370B62" w16cid:durableId="26DA96AD"/>
  <w16cid:commentId w16cid:paraId="3CAE3DC7" w16cid:durableId="26DEDFEA"/>
  <w16cid:commentId w16cid:paraId="5C816E2D" w16cid:durableId="26D99124"/>
  <w16cid:commentId w16cid:paraId="5610E013" w16cid:durableId="26D9AF11"/>
  <w16cid:commentId w16cid:paraId="4C190B37" w16cid:durableId="26D991D9"/>
  <w16cid:commentId w16cid:paraId="2069D9AE" w16cid:durableId="26D9DAAC"/>
  <w16cid:commentId w16cid:paraId="28E3C963" w16cid:durableId="26E53B16"/>
  <w16cid:commentId w16cid:paraId="1FF0B75E" w16cid:durableId="26DE95AE"/>
  <w16cid:commentId w16cid:paraId="24D4408A" w16cid:durableId="26D9B2E0"/>
  <w16cid:commentId w16cid:paraId="3F721799" w16cid:durableId="26DE8F8B"/>
  <w16cid:commentId w16cid:paraId="6FD048BB" w16cid:durableId="26DE90A6"/>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E5C75" w14:textId="77777777" w:rsidR="00AA6CC3" w:rsidRDefault="00AA6CC3" w:rsidP="00750EF5">
      <w:pPr>
        <w:spacing w:after="0" w:line="240" w:lineRule="auto"/>
      </w:pPr>
      <w:r>
        <w:separator/>
      </w:r>
    </w:p>
  </w:endnote>
  <w:endnote w:type="continuationSeparator" w:id="0">
    <w:p w14:paraId="757051F3" w14:textId="77777777" w:rsidR="00AA6CC3" w:rsidRDefault="00AA6CC3"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0FFF2" w14:textId="77777777" w:rsidR="00AA6CC3" w:rsidRDefault="00AA6CC3" w:rsidP="00750EF5">
      <w:pPr>
        <w:spacing w:after="0" w:line="240" w:lineRule="auto"/>
      </w:pPr>
      <w:r>
        <w:separator/>
      </w:r>
    </w:p>
  </w:footnote>
  <w:footnote w:type="continuationSeparator" w:id="0">
    <w:p w14:paraId="25457056" w14:textId="77777777" w:rsidR="00AA6CC3" w:rsidRDefault="00AA6CC3"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60A02"/>
    <w:rsid w:val="0006504C"/>
    <w:rsid w:val="00065D67"/>
    <w:rsid w:val="00066743"/>
    <w:rsid w:val="000809CB"/>
    <w:rsid w:val="00081A51"/>
    <w:rsid w:val="0008405C"/>
    <w:rsid w:val="000878C8"/>
    <w:rsid w:val="00095D65"/>
    <w:rsid w:val="000A075B"/>
    <w:rsid w:val="000A6D6A"/>
    <w:rsid w:val="000B3490"/>
    <w:rsid w:val="000B3DE8"/>
    <w:rsid w:val="000B5B7B"/>
    <w:rsid w:val="000C4B54"/>
    <w:rsid w:val="000C6175"/>
    <w:rsid w:val="000D3975"/>
    <w:rsid w:val="000D533E"/>
    <w:rsid w:val="000E5484"/>
    <w:rsid w:val="000F5C90"/>
    <w:rsid w:val="001000B0"/>
    <w:rsid w:val="00106E73"/>
    <w:rsid w:val="0011168B"/>
    <w:rsid w:val="00111ED9"/>
    <w:rsid w:val="00125296"/>
    <w:rsid w:val="00141489"/>
    <w:rsid w:val="0015213A"/>
    <w:rsid w:val="00152547"/>
    <w:rsid w:val="001633CB"/>
    <w:rsid w:val="0016380B"/>
    <w:rsid w:val="001905D7"/>
    <w:rsid w:val="00197735"/>
    <w:rsid w:val="001A687F"/>
    <w:rsid w:val="001B575E"/>
    <w:rsid w:val="001B5A8B"/>
    <w:rsid w:val="001C6DF3"/>
    <w:rsid w:val="001E0624"/>
    <w:rsid w:val="001E2159"/>
    <w:rsid w:val="00231017"/>
    <w:rsid w:val="00235CA0"/>
    <w:rsid w:val="00240FC8"/>
    <w:rsid w:val="00241B6F"/>
    <w:rsid w:val="00242075"/>
    <w:rsid w:val="00245481"/>
    <w:rsid w:val="002571FD"/>
    <w:rsid w:val="00257CFE"/>
    <w:rsid w:val="00260903"/>
    <w:rsid w:val="00265581"/>
    <w:rsid w:val="00272FE1"/>
    <w:rsid w:val="002B231B"/>
    <w:rsid w:val="002B6AFB"/>
    <w:rsid w:val="002C20FE"/>
    <w:rsid w:val="002D129F"/>
    <w:rsid w:val="002D1972"/>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71DAE"/>
    <w:rsid w:val="0038181C"/>
    <w:rsid w:val="00384D39"/>
    <w:rsid w:val="003858FE"/>
    <w:rsid w:val="00386528"/>
    <w:rsid w:val="003A6618"/>
    <w:rsid w:val="003C1B36"/>
    <w:rsid w:val="003C7BAE"/>
    <w:rsid w:val="003D403B"/>
    <w:rsid w:val="003F23BF"/>
    <w:rsid w:val="003F2AF6"/>
    <w:rsid w:val="003F718F"/>
    <w:rsid w:val="00412B2A"/>
    <w:rsid w:val="00415879"/>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3692"/>
    <w:rsid w:val="004A2E51"/>
    <w:rsid w:val="004A3E61"/>
    <w:rsid w:val="004D10FD"/>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7000C"/>
    <w:rsid w:val="005720EB"/>
    <w:rsid w:val="005753C8"/>
    <w:rsid w:val="00593AA4"/>
    <w:rsid w:val="00593B71"/>
    <w:rsid w:val="005963A3"/>
    <w:rsid w:val="00597B78"/>
    <w:rsid w:val="005A19A8"/>
    <w:rsid w:val="005A4DAD"/>
    <w:rsid w:val="005A596F"/>
    <w:rsid w:val="005B3893"/>
    <w:rsid w:val="005B40E5"/>
    <w:rsid w:val="005B43A2"/>
    <w:rsid w:val="005B43B8"/>
    <w:rsid w:val="005B5201"/>
    <w:rsid w:val="005C4593"/>
    <w:rsid w:val="005D27BC"/>
    <w:rsid w:val="005F12A0"/>
    <w:rsid w:val="005F3734"/>
    <w:rsid w:val="005F53ED"/>
    <w:rsid w:val="005F6E56"/>
    <w:rsid w:val="00602F12"/>
    <w:rsid w:val="00605F7A"/>
    <w:rsid w:val="006254AF"/>
    <w:rsid w:val="00625D31"/>
    <w:rsid w:val="00626DA4"/>
    <w:rsid w:val="006427CA"/>
    <w:rsid w:val="0065515F"/>
    <w:rsid w:val="00655697"/>
    <w:rsid w:val="00660D51"/>
    <w:rsid w:val="00665938"/>
    <w:rsid w:val="00684650"/>
    <w:rsid w:val="006934B1"/>
    <w:rsid w:val="006A0939"/>
    <w:rsid w:val="006A6A8F"/>
    <w:rsid w:val="006B0297"/>
    <w:rsid w:val="006B42F6"/>
    <w:rsid w:val="006B6C4C"/>
    <w:rsid w:val="006C6F50"/>
    <w:rsid w:val="006C7D17"/>
    <w:rsid w:val="006D37E1"/>
    <w:rsid w:val="006E6EC9"/>
    <w:rsid w:val="0070534C"/>
    <w:rsid w:val="007153ED"/>
    <w:rsid w:val="007170CA"/>
    <w:rsid w:val="007270B7"/>
    <w:rsid w:val="007275E5"/>
    <w:rsid w:val="007301E0"/>
    <w:rsid w:val="007365C2"/>
    <w:rsid w:val="00742E3D"/>
    <w:rsid w:val="00750EF5"/>
    <w:rsid w:val="00763FCB"/>
    <w:rsid w:val="00767F5D"/>
    <w:rsid w:val="00774A40"/>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4182C"/>
    <w:rsid w:val="00871843"/>
    <w:rsid w:val="00876D27"/>
    <w:rsid w:val="00881CAA"/>
    <w:rsid w:val="008840E2"/>
    <w:rsid w:val="00885F9C"/>
    <w:rsid w:val="00895416"/>
    <w:rsid w:val="008A1C69"/>
    <w:rsid w:val="008A1DD7"/>
    <w:rsid w:val="008A7B09"/>
    <w:rsid w:val="00910B4F"/>
    <w:rsid w:val="00910F1D"/>
    <w:rsid w:val="00924D47"/>
    <w:rsid w:val="00926212"/>
    <w:rsid w:val="0092690A"/>
    <w:rsid w:val="00930687"/>
    <w:rsid w:val="00934698"/>
    <w:rsid w:val="0094147A"/>
    <w:rsid w:val="00945A7C"/>
    <w:rsid w:val="0097737B"/>
    <w:rsid w:val="0099432E"/>
    <w:rsid w:val="009A6F46"/>
    <w:rsid w:val="009B26ED"/>
    <w:rsid w:val="009B3E15"/>
    <w:rsid w:val="009C12A1"/>
    <w:rsid w:val="009C21A0"/>
    <w:rsid w:val="009C4B4C"/>
    <w:rsid w:val="009C5942"/>
    <w:rsid w:val="009D55A7"/>
    <w:rsid w:val="009D5A11"/>
    <w:rsid w:val="009E2526"/>
    <w:rsid w:val="009E302F"/>
    <w:rsid w:val="009E4EA0"/>
    <w:rsid w:val="009F3BA9"/>
    <w:rsid w:val="009F525E"/>
    <w:rsid w:val="00A0469A"/>
    <w:rsid w:val="00A122E7"/>
    <w:rsid w:val="00A264DA"/>
    <w:rsid w:val="00A268F8"/>
    <w:rsid w:val="00A2754B"/>
    <w:rsid w:val="00A35E09"/>
    <w:rsid w:val="00A41587"/>
    <w:rsid w:val="00A501F8"/>
    <w:rsid w:val="00A56E06"/>
    <w:rsid w:val="00A6053D"/>
    <w:rsid w:val="00A736FB"/>
    <w:rsid w:val="00A752FA"/>
    <w:rsid w:val="00A96B5F"/>
    <w:rsid w:val="00AA2829"/>
    <w:rsid w:val="00AA54DE"/>
    <w:rsid w:val="00AA562B"/>
    <w:rsid w:val="00AA6CC3"/>
    <w:rsid w:val="00AB3032"/>
    <w:rsid w:val="00AE2D56"/>
    <w:rsid w:val="00AE51E6"/>
    <w:rsid w:val="00AE574C"/>
    <w:rsid w:val="00AF14ED"/>
    <w:rsid w:val="00B00B39"/>
    <w:rsid w:val="00B051D5"/>
    <w:rsid w:val="00B1065C"/>
    <w:rsid w:val="00B1540D"/>
    <w:rsid w:val="00B16D33"/>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1225C"/>
    <w:rsid w:val="00C32CDC"/>
    <w:rsid w:val="00C54C37"/>
    <w:rsid w:val="00C81B79"/>
    <w:rsid w:val="00C82820"/>
    <w:rsid w:val="00C844EC"/>
    <w:rsid w:val="00C925F2"/>
    <w:rsid w:val="00C976E0"/>
    <w:rsid w:val="00CA0D37"/>
    <w:rsid w:val="00CB1A83"/>
    <w:rsid w:val="00CB1E25"/>
    <w:rsid w:val="00CE76EA"/>
    <w:rsid w:val="00D0345D"/>
    <w:rsid w:val="00D15009"/>
    <w:rsid w:val="00D17B2D"/>
    <w:rsid w:val="00D26C67"/>
    <w:rsid w:val="00D35BB6"/>
    <w:rsid w:val="00D41855"/>
    <w:rsid w:val="00D457D6"/>
    <w:rsid w:val="00D564E4"/>
    <w:rsid w:val="00D567AF"/>
    <w:rsid w:val="00D70C56"/>
    <w:rsid w:val="00D835EA"/>
    <w:rsid w:val="00D835F0"/>
    <w:rsid w:val="00D878B8"/>
    <w:rsid w:val="00D87D12"/>
    <w:rsid w:val="00D934EC"/>
    <w:rsid w:val="00DA2DEC"/>
    <w:rsid w:val="00DA3DA3"/>
    <w:rsid w:val="00DB54EB"/>
    <w:rsid w:val="00DC4B43"/>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92F82"/>
    <w:rsid w:val="00EA08FD"/>
    <w:rsid w:val="00ED1FDE"/>
    <w:rsid w:val="00ED651F"/>
    <w:rsid w:val="00EE0529"/>
    <w:rsid w:val="00EF0A84"/>
    <w:rsid w:val="00EF66B7"/>
    <w:rsid w:val="00F26891"/>
    <w:rsid w:val="00F26BDF"/>
    <w:rsid w:val="00F40B06"/>
    <w:rsid w:val="00F50DC7"/>
    <w:rsid w:val="00F66319"/>
    <w:rsid w:val="00F73ED6"/>
    <w:rsid w:val="00F75D9A"/>
    <w:rsid w:val="00F85C07"/>
    <w:rsid w:val="00F9013B"/>
    <w:rsid w:val="00F951E0"/>
    <w:rsid w:val="00FA4577"/>
    <w:rsid w:val="00FA6633"/>
    <w:rsid w:val="00FB376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11</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350</cp:revision>
  <dcterms:created xsi:type="dcterms:W3CDTF">2022-09-24T14:18:00Z</dcterms:created>
  <dcterms:modified xsi:type="dcterms:W3CDTF">2022-10-03T15:44:00Z</dcterms:modified>
</cp:coreProperties>
</file>