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October XX</w:t>
      </w:r>
      <w:r w:rsidRPr="001B575E">
        <w:rPr>
          <w:rFonts w:ascii="Times New Roman" w:hAnsi="Times New Roman" w:cs="Times New Roman"/>
          <w:sz w:val="24"/>
          <w:szCs w:val="24"/>
          <w:vertAlign w:val="superscript"/>
        </w:rPr>
        <w:t>th</w:t>
      </w:r>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1B95A15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commentRangeStart w:id="1"/>
      <w:r w:rsidR="005D0313">
        <w:rPr>
          <w:rFonts w:ascii="Times New Roman" w:hAnsi="Times New Roman" w:cs="Times New Roman"/>
          <w:sz w:val="24"/>
          <w:szCs w:val="24"/>
        </w:rPr>
        <w:t xml:space="preserve">Predictive </w:t>
      </w:r>
      <w:r w:rsidR="00493692" w:rsidRPr="00493692">
        <w:rPr>
          <w:rFonts w:ascii="Times New Roman" w:hAnsi="Times New Roman" w:cs="Times New Roman"/>
          <w:sz w:val="24"/>
          <w:szCs w:val="24"/>
        </w:rPr>
        <w:t>Alternating Runs and Random Task-Switching</w:t>
      </w:r>
      <w:r w:rsidR="005D0313">
        <w:rPr>
          <w:rFonts w:ascii="Times New Roman" w:hAnsi="Times New Roman" w:cs="Times New Roman"/>
          <w:sz w:val="24"/>
          <w:szCs w:val="24"/>
        </w:rPr>
        <w:t xml:space="preserve"> Sequences</w:t>
      </w:r>
      <w:r w:rsidR="00493692" w:rsidRPr="00493692">
        <w:rPr>
          <w:rFonts w:ascii="Times New Roman" w:hAnsi="Times New Roman" w:cs="Times New Roman"/>
          <w:sz w:val="24"/>
          <w:szCs w:val="24"/>
        </w:rPr>
        <w:t xml:space="preserve"> Produce </w:t>
      </w:r>
      <w:r w:rsidR="005D0313">
        <w:rPr>
          <w:rFonts w:ascii="Times New Roman" w:hAnsi="Times New Roman" w:cs="Times New Roman"/>
          <w:sz w:val="24"/>
          <w:szCs w:val="24"/>
        </w:rPr>
        <w:t>Dissociative Switch Costs</w:t>
      </w:r>
      <w:r w:rsidR="00493692" w:rsidRPr="00493692">
        <w:rPr>
          <w:rFonts w:ascii="Times New Roman" w:hAnsi="Times New Roman" w:cs="Times New Roman"/>
          <w:sz w:val="24"/>
          <w:szCs w:val="24"/>
        </w:rPr>
        <w:t xml:space="preserve"> in the Consonant-Vowel/Odd-Even Task</w:t>
      </w:r>
      <w:r w:rsidR="00815DE6">
        <w:rPr>
          <w:rFonts w:ascii="Times New Roman" w:hAnsi="Times New Roman" w:cs="Times New Roman"/>
          <w:color w:val="000000" w:themeColor="text1"/>
          <w:sz w:val="24"/>
          <w:szCs w:val="24"/>
        </w:rPr>
        <w:t>.”</w:t>
      </w:r>
      <w:commentRangeEnd w:id="0"/>
      <w:r w:rsidR="005D0313">
        <w:rPr>
          <w:rStyle w:val="CommentReference"/>
        </w:rPr>
        <w:commentReference w:id="0"/>
      </w:r>
      <w:commentRangeEnd w:id="1"/>
      <w:r w:rsidR="00365E6C">
        <w:rPr>
          <w:rStyle w:val="CommentReference"/>
        </w:rPr>
        <w:commentReference w:id="1"/>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r>
        <w:rPr>
          <w:rFonts w:ascii="Times New Roman" w:hAnsi="Times New Roman" w:cs="Times New Roman"/>
          <w:sz w:val="24"/>
          <w:szCs w:val="24"/>
        </w:rPr>
        <w:t>Namias</w:t>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1E73855E"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w:t>
      </w:r>
      <w:r w:rsidR="005D0313">
        <w:rPr>
          <w:rFonts w:ascii="Times New Roman" w:hAnsi="Times New Roman" w:cs="Times New Roman"/>
          <w:sz w:val="24"/>
          <w:szCs w:val="24"/>
        </w:rPr>
        <w:t xml:space="preserve"> to adjust when the task set changes</w:t>
      </w:r>
      <w:r w:rsidR="00321497">
        <w:rPr>
          <w:rFonts w:ascii="Times New Roman" w:hAnsi="Times New Roman" w:cs="Times New Roman"/>
          <w:sz w:val="24"/>
          <w:szCs w:val="24"/>
        </w:rPr>
        <w:t xml:space="preserve">.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r w:rsidR="00767F5D" w:rsidRPr="00767F5D">
        <w:rPr>
          <w:rFonts w:ascii="Times New Roman" w:hAnsi="Times New Roman" w:cs="Times New Roman"/>
          <w:sz w:val="24"/>
          <w:szCs w:val="24"/>
        </w:rPr>
        <w:t>Balota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w:t>
      </w:r>
      <w:r w:rsidR="005D0313">
        <w:rPr>
          <w:rFonts w:ascii="Times New Roman" w:hAnsi="Times New Roman" w:cs="Times New Roman"/>
          <w:sz w:val="24"/>
          <w:szCs w:val="24"/>
        </w:rPr>
        <w:t>working memory</w:t>
      </w:r>
      <w:r w:rsidR="00781C2C">
        <w:rPr>
          <w:rFonts w:ascii="Times New Roman" w:hAnsi="Times New Roman" w:cs="Times New Roman"/>
          <w:sz w:val="24"/>
          <w:szCs w:val="24"/>
        </w:rPr>
        <w:t xml:space="preser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w:t>
      </w:r>
      <w:r w:rsidR="005D0313">
        <w:rPr>
          <w:rFonts w:ascii="Times New Roman" w:hAnsi="Times New Roman" w:cs="Times New Roman"/>
          <w:sz w:val="24"/>
          <w:szCs w:val="24"/>
        </w:rPr>
        <w:t>The focus of our manuscript is how well working memory processes are affected by different tasks switching contexts.</w:t>
      </w:r>
      <w:r w:rsidR="00081A51">
        <w:rPr>
          <w:rFonts w:ascii="Times New Roman" w:hAnsi="Times New Roman" w:cs="Times New Roman"/>
          <w:sz w:val="24"/>
          <w:szCs w:val="24"/>
        </w:rPr>
        <w:t xml:space="preserve"> We have</w:t>
      </w:r>
      <w:r w:rsidR="005D0313">
        <w:rPr>
          <w:rFonts w:ascii="Times New Roman" w:hAnsi="Times New Roman" w:cs="Times New Roman"/>
          <w:sz w:val="24"/>
          <w:szCs w:val="24"/>
        </w:rPr>
        <w:t xml:space="preserve"> significantly revised the Abstract</w:t>
      </w:r>
      <w:r w:rsidR="00081A51">
        <w:rPr>
          <w:rFonts w:ascii="Times New Roman" w:hAnsi="Times New Roman" w:cs="Times New Roman"/>
          <w:sz w:val="24"/>
          <w:szCs w:val="24"/>
        </w:rPr>
        <w:t xml:space="preserve">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w:t>
      </w:r>
      <w:r w:rsidR="005D0313">
        <w:rPr>
          <w:rFonts w:ascii="Times New Roman" w:hAnsi="Times New Roman" w:cs="Times New Roman"/>
          <w:sz w:val="24"/>
          <w:szCs w:val="24"/>
        </w:rPr>
        <w:t>clarify the contributions of working memory processes</w:t>
      </w:r>
      <w:r w:rsidR="00260903">
        <w:rPr>
          <w:rFonts w:ascii="Times New Roman" w:hAnsi="Times New Roman" w:cs="Times New Roman"/>
          <w:sz w:val="24"/>
          <w:szCs w:val="24"/>
        </w:rPr>
        <w: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1352FB4" w:rsidR="00871843" w:rsidRDefault="00871843" w:rsidP="0011168B">
      <w:pPr>
        <w:spacing w:after="0" w:line="240" w:lineRule="auto"/>
        <w:rPr>
          <w:rFonts w:ascii="Times New Roman" w:hAnsi="Times New Roman" w:cs="Times New Roman"/>
          <w:sz w:val="24"/>
          <w:szCs w:val="24"/>
        </w:rPr>
      </w:pPr>
      <w:commentRangeStart w:id="2"/>
      <w:commentRangeStart w:id="3"/>
      <w:r w:rsidRPr="00871843">
        <w:rPr>
          <w:rFonts w:ascii="Times New Roman" w:hAnsi="Times New Roman" w:cs="Times New Roman"/>
          <w:b/>
          <w:bCs/>
          <w:i/>
          <w:iCs/>
          <w:sz w:val="24"/>
          <w:szCs w:val="24"/>
        </w:rPr>
        <w:t>Response</w:t>
      </w:r>
      <w:commentRangeEnd w:id="2"/>
      <w:r w:rsidR="00865AB4">
        <w:rPr>
          <w:rStyle w:val="CommentReference"/>
        </w:rPr>
        <w:commentReference w:id="2"/>
      </w:r>
      <w:commentRangeEnd w:id="3"/>
      <w:r w:rsidR="00365E6C">
        <w:rPr>
          <w:rStyle w:val="CommentReference"/>
        </w:rPr>
        <w:commentReference w:id="3"/>
      </w:r>
      <w:r w:rsidRPr="00871843">
        <w:rPr>
          <w:rFonts w:ascii="Times New Roman" w:hAnsi="Times New Roman" w:cs="Times New Roman"/>
          <w:b/>
          <w:bCs/>
          <w:i/>
          <w:iCs/>
          <w:sz w:val="24"/>
          <w:szCs w:val="24"/>
        </w:rPr>
        <w:t>:</w:t>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r w:rsidR="00767F5D">
        <w:rPr>
          <w:rFonts w:ascii="Times New Roman" w:hAnsi="Times New Roman" w:cs="Times New Roman"/>
          <w:sz w:val="24"/>
          <w:szCs w:val="24"/>
        </w:rPr>
        <w:t xml:space="preserve">Balota et al., 2010; </w:t>
      </w:r>
      <w:r w:rsidR="004818D6">
        <w:rPr>
          <w:rFonts w:ascii="Times New Roman" w:hAnsi="Times New Roman" w:cs="Times New Roman"/>
          <w:sz w:val="24"/>
          <w:szCs w:val="24"/>
        </w:rPr>
        <w:t>Huff et al., 2015; Tse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 xml:space="preserve">gives insight into conditions that </w:t>
      </w:r>
      <w:r w:rsidR="005D0313">
        <w:rPr>
          <w:rFonts w:ascii="Times New Roman" w:hAnsi="Times New Roman" w:cs="Times New Roman"/>
          <w:sz w:val="24"/>
          <w:szCs w:val="24"/>
        </w:rPr>
        <w:t>challenge working memory processes</w:t>
      </w:r>
      <w:r w:rsidR="00D0345D">
        <w:rPr>
          <w:rFonts w:ascii="Times New Roman" w:hAnsi="Times New Roman" w:cs="Times New Roman"/>
          <w:sz w:val="24"/>
          <w:szCs w:val="24"/>
        </w:rPr>
        <w:t xml:space="preserve"> in healthy adults. </w:t>
      </w:r>
      <w:r w:rsidR="00865AB4">
        <w:rPr>
          <w:rFonts w:ascii="Times New Roman" w:hAnsi="Times New Roman" w:cs="Times New Roman"/>
          <w:sz w:val="24"/>
          <w:szCs w:val="24"/>
        </w:rPr>
        <w:t>O</w:t>
      </w:r>
      <w:r w:rsidR="00D0345D">
        <w:rPr>
          <w:rFonts w:ascii="Times New Roman" w:hAnsi="Times New Roman" w:cs="Times New Roman"/>
          <w:sz w:val="24"/>
          <w:szCs w:val="24"/>
        </w:rPr>
        <w:t>ur finding that random switching increases local switch</w:t>
      </w:r>
      <w:r w:rsidR="00260903">
        <w:rPr>
          <w:rFonts w:ascii="Times New Roman" w:hAnsi="Times New Roman" w:cs="Times New Roman"/>
          <w:sz w:val="24"/>
          <w:szCs w:val="24"/>
        </w:rPr>
        <w:t xml:space="preserve"> costs </w:t>
      </w:r>
      <w:r w:rsidR="005D0313">
        <w:rPr>
          <w:rFonts w:ascii="Times New Roman" w:hAnsi="Times New Roman" w:cs="Times New Roman"/>
          <w:sz w:val="24"/>
          <w:szCs w:val="24"/>
        </w:rPr>
        <w:t>versus</w:t>
      </w:r>
      <w:r w:rsidR="00260903">
        <w:rPr>
          <w:rFonts w:ascii="Times New Roman" w:hAnsi="Times New Roman" w:cs="Times New Roman"/>
          <w:sz w:val="24"/>
          <w:szCs w:val="24"/>
        </w:rPr>
        <w:t xml:space="preserve"> predictive switching indicates </w:t>
      </w:r>
      <w:r w:rsidR="00865AB4">
        <w:rPr>
          <w:rFonts w:ascii="Times New Roman" w:hAnsi="Times New Roman" w:cs="Times New Roman"/>
          <w:sz w:val="24"/>
          <w:szCs w:val="24"/>
        </w:rPr>
        <w:t xml:space="preserve">that participants struggle to maintain both task sets in working memory and are slower and more likely to produce an error when they must reconfigure to a changing task set. </w:t>
      </w:r>
      <w:r w:rsidR="00260903" w:rsidRPr="006427CA">
        <w:rPr>
          <w:rFonts w:ascii="Times New Roman" w:hAnsi="Times New Roman" w:cs="Times New Roman"/>
          <w:sz w:val="24"/>
          <w:szCs w:val="24"/>
        </w:rPr>
        <w:t>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865AB4">
        <w:rPr>
          <w:rFonts w:ascii="Times New Roman" w:hAnsi="Times New Roman" w:cs="Times New Roman"/>
          <w:sz w:val="24"/>
          <w:szCs w:val="24"/>
        </w:rPr>
        <w:t>global</w:t>
      </w:r>
      <w:r w:rsidR="00F951E0">
        <w:rPr>
          <w:rFonts w:ascii="Times New Roman" w:hAnsi="Times New Roman" w:cs="Times New Roman"/>
          <w:sz w:val="24"/>
          <w:szCs w:val="24"/>
        </w:rPr>
        <w:t xml:space="preserve">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w:t>
      </w:r>
      <w:r w:rsidR="00865AB4">
        <w:rPr>
          <w:rFonts w:ascii="Times New Roman" w:hAnsi="Times New Roman" w:cs="Times New Roman"/>
          <w:sz w:val="24"/>
          <w:szCs w:val="24"/>
        </w:rPr>
        <w:t xml:space="preserve"> in working memory</w:t>
      </w:r>
      <w:r w:rsidR="006427CA">
        <w:rPr>
          <w:rFonts w:ascii="Times New Roman" w:hAnsi="Times New Roman" w:cs="Times New Roman"/>
          <w:sz w:val="24"/>
          <w:szCs w:val="24"/>
        </w:rPr>
        <w:t xml:space="preserve"> while simultaneously keeping each task-set active. Thus, task-switching </w:t>
      </w:r>
      <w:r w:rsidR="00865AB4">
        <w:rPr>
          <w:rFonts w:ascii="Times New Roman" w:hAnsi="Times New Roman" w:cs="Times New Roman"/>
          <w:sz w:val="24"/>
          <w:szCs w:val="24"/>
        </w:rPr>
        <w:t>paradigms are excellent for gauging working memory processes both in terms of how participants switch between two task sets (i.e., local costs) and how participants maintain multiple tasks sets in working memory over repeated task sets (i.e., global costs).</w:t>
      </w:r>
      <w:r w:rsidR="006427CA">
        <w:rPr>
          <w:rFonts w:ascii="Times New Roman" w:hAnsi="Times New Roman" w:cs="Times New Roman"/>
          <w:sz w:val="24"/>
          <w:szCs w:val="24"/>
        </w:rPr>
        <w:t xml:space="preserve">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occassions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3339D73F"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completely 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865AB4">
        <w:rPr>
          <w:rFonts w:ascii="Times New Roman" w:hAnsi="Times New Roman" w:cs="Times New Roman"/>
          <w:sz w:val="24"/>
          <w:szCs w:val="24"/>
        </w:rPr>
        <w:t>Indeed, the</w:t>
      </w:r>
      <w:r w:rsidR="005B59EB">
        <w:rPr>
          <w:rFonts w:ascii="Times New Roman" w:hAnsi="Times New Roman" w:cs="Times New Roman"/>
          <w:sz w:val="24"/>
          <w:szCs w:val="24"/>
        </w:rPr>
        <w:t xml:space="preserve"> Stroop </w:t>
      </w:r>
      <w:r w:rsidR="00865AB4">
        <w:rPr>
          <w:rFonts w:ascii="Times New Roman" w:hAnsi="Times New Roman" w:cs="Times New Roman"/>
          <w:sz w:val="24"/>
          <w:szCs w:val="24"/>
        </w:rPr>
        <w:t>task</w:t>
      </w:r>
      <w:r w:rsidR="00265BD7">
        <w:rPr>
          <w:rFonts w:ascii="Times New Roman" w:hAnsi="Times New Roman" w:cs="Times New Roman"/>
          <w:sz w:val="24"/>
          <w:szCs w:val="24"/>
        </w:rPr>
        <w:t xml:space="preserve"> </w:t>
      </w:r>
      <w:r w:rsidR="005B59EB">
        <w:rPr>
          <w:rFonts w:ascii="Times New Roman" w:hAnsi="Times New Roman" w:cs="Times New Roman"/>
          <w:sz w:val="24"/>
          <w:szCs w:val="24"/>
        </w:rPr>
        <w:t>requires that participants suppress</w:t>
      </w:r>
      <w:r w:rsidR="00865AB4">
        <w:rPr>
          <w:rFonts w:ascii="Times New Roman" w:hAnsi="Times New Roman" w:cs="Times New Roman"/>
          <w:sz w:val="24"/>
          <w:szCs w:val="24"/>
        </w:rPr>
        <w:t xml:space="preserve"> the automatic </w:t>
      </w:r>
      <w:r w:rsidR="00395582">
        <w:rPr>
          <w:rFonts w:ascii="Times New Roman" w:hAnsi="Times New Roman" w:cs="Times New Roman"/>
          <w:sz w:val="24"/>
          <w:szCs w:val="24"/>
        </w:rPr>
        <w:t>reading</w:t>
      </w:r>
      <w:r w:rsidR="005B59EB">
        <w:rPr>
          <w:rFonts w:ascii="Times New Roman" w:hAnsi="Times New Roman" w:cs="Times New Roman"/>
          <w:sz w:val="24"/>
          <w:szCs w:val="24"/>
        </w:rPr>
        <w:t xml:space="preserve"> task by keeping the </w:t>
      </w:r>
      <w:r w:rsidR="00865AB4">
        <w:rPr>
          <w:rFonts w:ascii="Times New Roman" w:hAnsi="Times New Roman" w:cs="Times New Roman"/>
          <w:sz w:val="24"/>
          <w:szCs w:val="24"/>
        </w:rPr>
        <w:t>deliberate color-naming</w:t>
      </w:r>
      <w:r w:rsidR="005B59EB">
        <w:rPr>
          <w:rFonts w:ascii="Times New Roman" w:hAnsi="Times New Roman" w:cs="Times New Roman"/>
          <w:sz w:val="24"/>
          <w:szCs w:val="24"/>
        </w:rPr>
        <w:t xml:space="preserve"> task-set active in working memory</w:t>
      </w:r>
      <w:r w:rsidR="00395582">
        <w:rPr>
          <w:rFonts w:ascii="Times New Roman" w:hAnsi="Times New Roman" w:cs="Times New Roman"/>
          <w:sz w:val="24"/>
          <w:szCs w:val="24"/>
        </w:rPr>
        <w:t>.</w:t>
      </w:r>
      <w:r w:rsidR="005B59EB">
        <w:rPr>
          <w:rFonts w:ascii="Times New Roman" w:hAnsi="Times New Roman" w:cs="Times New Roman"/>
          <w:sz w:val="24"/>
          <w:szCs w:val="24"/>
        </w:rPr>
        <w:t xml:space="preserve"> </w:t>
      </w:r>
      <w:r w:rsidR="000730B5">
        <w:rPr>
          <w:rFonts w:ascii="Times New Roman" w:hAnsi="Times New Roman" w:cs="Times New Roman"/>
          <w:sz w:val="24"/>
          <w:szCs w:val="24"/>
        </w:rPr>
        <w:t>Like CVOE</w:t>
      </w:r>
      <w:r w:rsidR="00865AB4">
        <w:rPr>
          <w:rFonts w:ascii="Times New Roman" w:hAnsi="Times New Roman" w:cs="Times New Roman"/>
          <w:sz w:val="24"/>
          <w:szCs w:val="24"/>
        </w:rPr>
        <w:t xml:space="preserve"> switch task</w:t>
      </w:r>
      <w:r w:rsidR="000730B5">
        <w:rPr>
          <w:rFonts w:ascii="Times New Roman" w:hAnsi="Times New Roman" w:cs="Times New Roman"/>
          <w:sz w:val="24"/>
          <w:szCs w:val="24"/>
        </w:rPr>
        <w:t xml:space="preserve">, </w:t>
      </w:r>
      <w:r w:rsidR="00865AB4">
        <w:rPr>
          <w:rFonts w:ascii="Times New Roman" w:hAnsi="Times New Roman" w:cs="Times New Roman"/>
          <w:sz w:val="24"/>
          <w:szCs w:val="24"/>
        </w:rPr>
        <w:t>the Stroop</w:t>
      </w:r>
      <w:r w:rsidR="000730B5">
        <w:rPr>
          <w:rFonts w:ascii="Times New Roman" w:hAnsi="Times New Roman" w:cs="Times New Roman"/>
          <w:sz w:val="24"/>
          <w:szCs w:val="24"/>
        </w:rPr>
        <w:t xml:space="preserve">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w:t>
      </w:r>
      <w:r w:rsidR="000C41C1">
        <w:rPr>
          <w:rFonts w:ascii="Times New Roman" w:hAnsi="Times New Roman" w:cs="Times New Roman"/>
          <w:sz w:val="24"/>
          <w:szCs w:val="24"/>
        </w:rPr>
        <w:t xml:space="preserve"> and both task sets must be maintained in working memory for successful completion</w:t>
      </w:r>
      <w:r w:rsidR="009A6F46">
        <w:rPr>
          <w:rFonts w:ascii="Times New Roman" w:hAnsi="Times New Roman" w:cs="Times New Roman"/>
          <w:sz w:val="24"/>
          <w:szCs w:val="24"/>
        </w:rPr>
        <w:t xml:space="preserve">. </w:t>
      </w:r>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0C41C1">
        <w:rPr>
          <w:rFonts w:ascii="Times New Roman" w:hAnsi="Times New Roman" w:cs="Times New Roman"/>
          <w:sz w:val="24"/>
          <w:szCs w:val="24"/>
        </w:rPr>
        <w:t>streamlined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lastRenderedPageBreak/>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425CE9A0"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 xml:space="preserve">for consideration in the special issue on working memory. We reasoned that this consideration was warranted, given that </w:t>
      </w:r>
      <w:r w:rsidR="000C41C1">
        <w:rPr>
          <w:rFonts w:ascii="Times New Roman" w:hAnsi="Times New Roman" w:cs="Times New Roman"/>
          <w:sz w:val="24"/>
          <w:szCs w:val="24"/>
        </w:rPr>
        <w:t xml:space="preserve">working memory processes are in use in task switching paradigm to maintain task sets over repeated trials and to adjust task sets when task instructions change.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0C41C1">
        <w:rPr>
          <w:rFonts w:ascii="Times New Roman" w:hAnsi="Times New Roman" w:cs="Times New Roman"/>
          <w:sz w:val="24"/>
          <w:szCs w:val="24"/>
        </w:rPr>
        <w:t>; please see our response to the Action Editor, comment 1</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t>Kiesel, A., Steinhauser, M., Wendt, M., Falkenstein, M., Jost,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Koch, I., Poljac, E., Müller, H., &amp; Kiesel,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Minear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271BED01"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We apologize for this discrepancy. We initially reported Minear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 xml:space="preserve">s, may represent a failure to replicate </w:t>
      </w:r>
      <w:r w:rsidR="0012177E">
        <w:rPr>
          <w:rFonts w:ascii="Times New Roman" w:hAnsi="Times New Roman" w:cs="Times New Roman"/>
          <w:sz w:val="24"/>
          <w:szCs w:val="24"/>
        </w:rPr>
        <w:t>Minear and Shah’s</w:t>
      </w:r>
      <w:r w:rsidR="00D35BB6">
        <w:rPr>
          <w:rFonts w:ascii="Times New Roman" w:hAnsi="Times New Roman" w:cs="Times New Roman"/>
          <w:sz w:val="24"/>
          <w:szCs w:val="24"/>
        </w:rPr>
        <w:t xml:space="preserve">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0B843F5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 xml:space="preserve">study and Minear and Shah’s. First, Minear and Shah were particularly interested in transfer effects on later switch task performance, rather </w:t>
      </w:r>
      <w:r>
        <w:rPr>
          <w:rFonts w:ascii="Times New Roman" w:hAnsi="Times New Roman" w:cs="Times New Roman"/>
          <w:sz w:val="24"/>
          <w:szCs w:val="24"/>
        </w:rPr>
        <w:lastRenderedPageBreak/>
        <w:t>than on a direct comparison of predictive/random switching on task accuracy and switch costs. Second, and more importantly, it is unclear whether Minear and Shah counter-balanced across switch block type.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w:t>
      </w:r>
      <w:commentRangeStart w:id="4"/>
      <w:r w:rsidR="004D0E98">
        <w:rPr>
          <w:rFonts w:ascii="Times New Roman" w:hAnsi="Times New Roman" w:cs="Times New Roman"/>
          <w:sz w:val="24"/>
          <w:szCs w:val="24"/>
        </w:rPr>
        <w:t>block</w:t>
      </w:r>
      <w:commentRangeEnd w:id="4"/>
      <w:r w:rsidR="001D52D4">
        <w:rPr>
          <w:rStyle w:val="CommentReference"/>
        </w:rPr>
        <w:commentReference w:id="4"/>
      </w:r>
      <w:r w:rsidR="004D0E98">
        <w:rPr>
          <w:rFonts w:ascii="Times New Roman" w:hAnsi="Times New Roman" w:cs="Times New Roman"/>
          <w:sz w:val="24"/>
          <w:szCs w:val="24"/>
        </w:rPr>
        <w:t xml:space="preserve">.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3D848AD2"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Minear and Shah’s reported data pattern and the present study, </w:t>
      </w:r>
      <w:r>
        <w:rPr>
          <w:rFonts w:ascii="Times New Roman" w:hAnsi="Times New Roman" w:cs="Times New Roman"/>
          <w:sz w:val="24"/>
          <w:szCs w:val="24"/>
        </w:rPr>
        <w:t xml:space="preserve">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Minear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5B304E13"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Pr>
          <w:rFonts w:ascii="Times New Roman" w:hAnsi="Times New Roman" w:cs="Times New Roman"/>
          <w:sz w:val="24"/>
          <w:szCs w:val="24"/>
        </w:rPr>
        <w:t>(</w:t>
      </w:r>
      <w:r w:rsidR="00C65FBA" w:rsidRPr="00C65FBA">
        <w:rPr>
          <w:rFonts w:ascii="Times New Roman" w:hAnsi="Times New Roman" w:cs="Times New Roman"/>
          <w:sz w:val="24"/>
          <w:szCs w:val="24"/>
          <w:highlight w:val="yellow"/>
        </w:rPr>
        <w:t>F</w:t>
      </w:r>
      <w:r w:rsidR="009965AE" w:rsidRPr="00C65FBA">
        <w:rPr>
          <w:rFonts w:ascii="Times New Roman" w:hAnsi="Times New Roman" w:cs="Times New Roman"/>
          <w:sz w:val="24"/>
          <w:szCs w:val="24"/>
          <w:highlight w:val="yellow"/>
        </w:rPr>
        <w:t>igure xx, pg. x</w:t>
      </w:r>
      <w:r w:rsidR="009965AE">
        <w:rPr>
          <w:rFonts w:ascii="Times New Roman" w:hAnsi="Times New Roman" w:cs="Times New Roman"/>
          <w:sz w:val="24"/>
          <w:szCs w:val="24"/>
        </w:rPr>
        <w:t xml:space="preserve">). </w:t>
      </w:r>
      <w:r w:rsidR="00161493">
        <w:rPr>
          <w:rFonts w:ascii="Times New Roman" w:hAnsi="Times New Roman" w:cs="Times New Roman"/>
          <w:sz w:val="24"/>
          <w:szCs w:val="24"/>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RTs &lt; 200 ms (which likely reflected anticipatory responses) and RTs &gt; 10000 ms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w:t>
      </w:r>
      <w:r w:rsidRPr="001B575E">
        <w:rPr>
          <w:rFonts w:ascii="Times New Roman" w:hAnsi="Times New Roman" w:cs="Times New Roman"/>
          <w:sz w:val="24"/>
          <w:szCs w:val="24"/>
        </w:rPr>
        <w:lastRenderedPageBreak/>
        <w:t>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29223C60" w:rsidR="00DF722A" w:rsidRDefault="009B3E15" w:rsidP="00D70C56">
      <w:pPr>
        <w:spacing w:after="0" w:line="240" w:lineRule="auto"/>
        <w:rPr>
          <w:rFonts w:ascii="Times New Roman" w:hAnsi="Times New Roman" w:cs="Times New Roman"/>
          <w:sz w:val="24"/>
          <w:szCs w:val="24"/>
        </w:rPr>
      </w:pPr>
      <w:commentRangeStart w:id="5"/>
      <w:commentRangeStart w:id="6"/>
      <w:r w:rsidRPr="009B3E15">
        <w:rPr>
          <w:rFonts w:ascii="Times New Roman" w:hAnsi="Times New Roman" w:cs="Times New Roman"/>
          <w:b/>
          <w:bCs/>
          <w:i/>
          <w:iCs/>
          <w:sz w:val="24"/>
          <w:szCs w:val="24"/>
        </w:rPr>
        <w:t>Response:</w:t>
      </w:r>
      <w:commentRangeEnd w:id="5"/>
      <w:r w:rsidR="00DF722A">
        <w:rPr>
          <w:rStyle w:val="CommentReference"/>
        </w:rPr>
        <w:commentReference w:id="5"/>
      </w:r>
      <w:commentRangeEnd w:id="6"/>
      <w:r w:rsidR="001D52D4">
        <w:rPr>
          <w:rStyle w:val="CommentReference"/>
        </w:rPr>
        <w:commentReference w:id="6"/>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w:t>
      </w:r>
      <w:r w:rsidR="000C41C1">
        <w:rPr>
          <w:rFonts w:ascii="Times New Roman" w:hAnsi="Times New Roman" w:cs="Times New Roman"/>
          <w:sz w:val="24"/>
          <w:szCs w:val="24"/>
        </w:rPr>
        <w:t>provide</w:t>
      </w:r>
      <w:r w:rsidR="00DF722A">
        <w:rPr>
          <w:rFonts w:ascii="Times New Roman" w:hAnsi="Times New Roman" w:cs="Times New Roman"/>
          <w:sz w:val="24"/>
          <w:szCs w:val="24"/>
        </w:rPr>
        <w:t xml:space="preserve">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 xml:space="preserve">e.g., </w:t>
      </w:r>
      <w:r w:rsidR="00062243">
        <w:rPr>
          <w:rFonts w:ascii="Times New Roman" w:hAnsi="Times New Roman" w:cs="Times New Roman"/>
          <w:sz w:val="24"/>
          <w:szCs w:val="24"/>
        </w:rPr>
        <w:t xml:space="preserve">a probability estimate </w:t>
      </w:r>
      <w:r w:rsidR="001D52D4">
        <w:rPr>
          <w:rFonts w:ascii="Times New Roman" w:hAnsi="Times New Roman" w:cs="Times New Roman"/>
          <w:sz w:val="24"/>
          <w:szCs w:val="24"/>
        </w:rPr>
        <w:t>which</w:t>
      </w:r>
      <w:r w:rsidR="00062243">
        <w:rPr>
          <w:rFonts w:ascii="Times New Roman" w:hAnsi="Times New Roman" w:cs="Times New Roman"/>
          <w:sz w:val="24"/>
          <w:szCs w:val="24"/>
        </w:rPr>
        <w:t xml:space="preserve"> asymptotes at 1</w:t>
      </w:r>
      <w:r w:rsidR="001D52D4">
        <w:rPr>
          <w:rFonts w:ascii="Times New Roman" w:hAnsi="Times New Roman" w:cs="Times New Roman"/>
          <w:sz w:val="24"/>
          <w:szCs w:val="24"/>
        </w:rPr>
        <w:t>.0</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and</w:t>
      </w:r>
      <w:r w:rsidR="00062243">
        <w:rPr>
          <w:rFonts w:ascii="Times New Roman" w:hAnsi="Times New Roman" w:cs="Times New Roman"/>
          <w:sz w:val="24"/>
          <w:szCs w:val="24"/>
        </w:rPr>
        <w:t xml:space="preserve"> corresponds to the</w:t>
      </w:r>
      <w:r w:rsidR="00DF722A">
        <w:rPr>
          <w:rFonts w:ascii="Times New Roman" w:hAnsi="Times New Roman" w:cs="Times New Roman"/>
          <w:sz w:val="24"/>
          <w:szCs w:val="24"/>
        </w:rPr>
        <w:t xml:space="preserve"> likelihood of retaining the null </w:t>
      </w:r>
      <w:r w:rsidR="00062243">
        <w:rPr>
          <w:rFonts w:ascii="Times New Roman" w:hAnsi="Times New Roman" w:cs="Times New Roman"/>
          <w:sz w:val="24"/>
          <w:szCs w:val="24"/>
        </w:rPr>
        <w:t xml:space="preserve">which is highly </w:t>
      </w:r>
      <w:r w:rsidR="00DF722A">
        <w:rPr>
          <w:rFonts w:ascii="Times New Roman" w:hAnsi="Times New Roman" w:cs="Times New Roman"/>
          <w:sz w:val="24"/>
          <w:szCs w:val="24"/>
        </w:rPr>
        <w:t>sensitive to sample size, etc.).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Interestingly, t</w:t>
      </w:r>
      <w:r w:rsidR="000C41C1">
        <w:rPr>
          <w:rFonts w:ascii="Times New Roman" w:hAnsi="Times New Roman" w:cs="Times New Roman"/>
          <w:sz w:val="24"/>
          <w:szCs w:val="24"/>
        </w:rPr>
        <w:t>he recent movement towards Bayesian analyses was</w:t>
      </w:r>
      <w:r w:rsidR="001D52D4">
        <w:rPr>
          <w:rFonts w:ascii="Times New Roman" w:hAnsi="Times New Roman" w:cs="Times New Roman"/>
          <w:sz w:val="24"/>
          <w:szCs w:val="24"/>
        </w:rPr>
        <w:t>, at least in part,</w:t>
      </w:r>
      <w:r w:rsidR="000C41C1">
        <w:rPr>
          <w:rFonts w:ascii="Times New Roman" w:hAnsi="Times New Roman" w:cs="Times New Roman"/>
          <w:sz w:val="24"/>
          <w:szCs w:val="24"/>
        </w:rPr>
        <w:t xml:space="preserve"> to avoid cutoffs that were present in standard NHST</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approaches</w:t>
      </w:r>
      <w:r w:rsidR="000C41C1">
        <w:rPr>
          <w:rFonts w:ascii="Times New Roman" w:hAnsi="Times New Roman" w:cs="Times New Roman"/>
          <w:sz w:val="24"/>
          <w:szCs w:val="24"/>
        </w:rPr>
        <w:t xml:space="preserve">. Ironically, </w:t>
      </w:r>
      <w:r w:rsidR="00062243">
        <w:rPr>
          <w:rFonts w:ascii="Times New Roman" w:hAnsi="Times New Roman" w:cs="Times New Roman"/>
          <w:sz w:val="24"/>
          <w:szCs w:val="24"/>
        </w:rPr>
        <w:t xml:space="preserve">some researchers report Bayes factors, which compute estimates at different “strength levels” which cutoffs are the applied to interpret these factors as either inconclusive, anecdotal, moderate, strong, and very strong for evidence of the alternate and null hypotheses (e.g., Rafferty, 1995). A strength of </w:t>
      </w:r>
      <w:r w:rsidR="000C41C1" w:rsidRPr="00DF722A">
        <w:rPr>
          <w:rFonts w:ascii="Times New Roman" w:hAnsi="Times New Roman" w:cs="Times New Roman"/>
          <w:i/>
          <w:sz w:val="24"/>
          <w:szCs w:val="24"/>
        </w:rPr>
        <w:t>p</w:t>
      </w:r>
      <w:r w:rsidR="000C41C1" w:rsidRPr="00DF722A">
        <w:rPr>
          <w:rFonts w:ascii="Times New Roman" w:hAnsi="Times New Roman" w:cs="Times New Roman"/>
          <w:caps/>
          <w:sz w:val="24"/>
          <w:szCs w:val="24"/>
          <w:vertAlign w:val="subscript"/>
        </w:rPr>
        <w:t>bic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 xml:space="preserve">is that </w:t>
      </w:r>
      <w:r w:rsidR="000C41C1">
        <w:rPr>
          <w:rFonts w:ascii="Times New Roman" w:hAnsi="Times New Roman" w:cs="Times New Roman"/>
          <w:sz w:val="24"/>
          <w:szCs w:val="24"/>
        </w:rPr>
        <w:t xml:space="preserve">does not use arbitrary cutoff </w:t>
      </w:r>
      <w:r w:rsidR="00062243">
        <w:rPr>
          <w:rFonts w:ascii="Times New Roman" w:hAnsi="Times New Roman" w:cs="Times New Roman"/>
          <w:sz w:val="24"/>
          <w:szCs w:val="24"/>
        </w:rPr>
        <w:t>scores</w:t>
      </w:r>
      <w:r w:rsidR="000C41C1">
        <w:rPr>
          <w:rFonts w:ascii="Times New Roman" w:hAnsi="Times New Roman" w:cs="Times New Roman"/>
          <w:sz w:val="24"/>
          <w:szCs w:val="24"/>
        </w:rPr>
        <w:t xml:space="preserve"> </w:t>
      </w:r>
      <w:r w:rsidR="001D52D4">
        <w:rPr>
          <w:rFonts w:ascii="Times New Roman" w:hAnsi="Times New Roman" w:cs="Times New Roman"/>
          <w:sz w:val="24"/>
          <w:szCs w:val="24"/>
        </w:rPr>
        <w:t>and merely</w:t>
      </w:r>
      <w:r w:rsidR="00062243">
        <w:rPr>
          <w:rFonts w:ascii="Times New Roman" w:hAnsi="Times New Roman" w:cs="Times New Roman"/>
          <w:sz w:val="24"/>
          <w:szCs w:val="24"/>
        </w:rPr>
        <w:t xml:space="preserve"> provides a probability estimate regarding the reliability of the null effect reported.</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vincentiles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Tse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032C7FB6"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r w:rsidR="00D35BB6">
        <w:rPr>
          <w:rFonts w:ascii="Times New Roman" w:hAnsi="Times New Roman" w:cs="Times New Roman"/>
          <w:bCs/>
          <w:iCs/>
          <w:sz w:val="24"/>
          <w:szCs w:val="24"/>
        </w:rPr>
        <w:t xml:space="preserve">Balota &amp; Yap, 2011; </w:t>
      </w:r>
      <w:r w:rsidR="005B5201" w:rsidRPr="005B5201">
        <w:rPr>
          <w:rFonts w:ascii="Times New Roman" w:hAnsi="Times New Roman" w:cs="Times New Roman"/>
          <w:bCs/>
          <w:iCs/>
          <w:sz w:val="24"/>
          <w:szCs w:val="24"/>
        </w:rPr>
        <w:t xml:space="preserve">Huff et al., 2015; </w:t>
      </w:r>
      <w:r w:rsidR="00D35BB6">
        <w:rPr>
          <w:rFonts w:ascii="Times New Roman" w:hAnsi="Times New Roman" w:cs="Times New Roman"/>
          <w:bCs/>
          <w:iCs/>
          <w:sz w:val="24"/>
          <w:szCs w:val="24"/>
        </w:rPr>
        <w:t xml:space="preserve">Speiler et al., 2000; </w:t>
      </w:r>
      <w:r w:rsidR="005B5201" w:rsidRPr="005B5201">
        <w:rPr>
          <w:rFonts w:ascii="Times New Roman" w:hAnsi="Times New Roman" w:cs="Times New Roman"/>
          <w:bCs/>
          <w:iCs/>
          <w:sz w:val="24"/>
          <w:szCs w:val="24"/>
        </w:rPr>
        <w:t>Tse et al., 2010, etc.)</w:t>
      </w:r>
      <w:r w:rsidR="005B5201">
        <w:rPr>
          <w:rFonts w:ascii="Times New Roman" w:hAnsi="Times New Roman" w:cs="Times New Roman"/>
          <w:bCs/>
          <w:iCs/>
          <w:sz w:val="24"/>
          <w:szCs w:val="24"/>
        </w:rPr>
        <w:t>.</w:t>
      </w:r>
      <w:r w:rsidR="001D52D4">
        <w:rPr>
          <w:rFonts w:ascii="Times New Roman" w:hAnsi="Times New Roman" w:cs="Times New Roman"/>
          <w:bCs/>
          <w:iCs/>
          <w:sz w:val="24"/>
          <w:szCs w:val="24"/>
        </w:rPr>
        <w:t xml:space="preserve"> </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P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w:t>
      </w:r>
      <w:r w:rsidRPr="001B575E">
        <w:rPr>
          <w:rFonts w:ascii="Times New Roman" w:hAnsi="Times New Roman" w:cs="Times New Roman"/>
          <w:sz w:val="24"/>
          <w:szCs w:val="24"/>
        </w:rPr>
        <w:lastRenderedPageBreak/>
        <w:t xml:space="preserve">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Tse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7"/>
      <w:commentRangeStart w:id="8"/>
      <w:r w:rsidRPr="001B575E">
        <w:rPr>
          <w:rFonts w:ascii="Times New Roman" w:hAnsi="Times New Roman" w:cs="Times New Roman"/>
          <w:sz w:val="24"/>
          <w:szCs w:val="24"/>
        </w:rPr>
        <w:t>Andreadis &amp; Quinlan, 2010; Shahar &amp; Meiran</w:t>
      </w:r>
      <w:commentRangeEnd w:id="7"/>
      <w:r w:rsidR="006E6EC9">
        <w:rPr>
          <w:rStyle w:val="CommentReference"/>
        </w:rPr>
        <w:commentReference w:id="7"/>
      </w:r>
      <w:commentRangeEnd w:id="8"/>
      <w:r w:rsidR="00C844EC">
        <w:rPr>
          <w:rStyle w:val="CommentReference"/>
        </w:rPr>
        <w:commentReference w:id="8"/>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1451A741"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1D52D4">
        <w:rPr>
          <w:rFonts w:ascii="Times New Roman" w:hAnsi="Times New Roman" w:cs="Times New Roman"/>
          <w:sz w:val="24"/>
          <w:szCs w:val="24"/>
        </w:rPr>
        <w:t>Yes.</w:t>
      </w:r>
      <w:r w:rsidR="003C1B36">
        <w:rPr>
          <w:rFonts w:ascii="Times New Roman" w:hAnsi="Times New Roman" w:cs="Times New Roman"/>
          <w:sz w:val="24"/>
          <w:szCs w:val="24"/>
        </w:rPr>
        <w:t xml:space="preserve">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analyse vincentized RT distributions was proposed earlier by </w:t>
      </w:r>
      <w:commentRangeStart w:id="9"/>
      <w:r w:rsidR="004668DE" w:rsidRPr="001B575E">
        <w:rPr>
          <w:rFonts w:ascii="Times New Roman" w:hAnsi="Times New Roman" w:cs="Times New Roman"/>
          <w:sz w:val="24"/>
          <w:szCs w:val="24"/>
        </w:rPr>
        <w:t xml:space="preserve">Ritske DeJong (2000) AN INTENTION-ACTIVATION ACCOUNT OF RESIDUAL SWITCH COSTS. Attention &amp; Performance XVIII </w:t>
      </w:r>
      <w:r w:rsidR="004668DE" w:rsidRPr="001B575E">
        <w:rPr>
          <w:rFonts w:ascii="Times New Roman" w:hAnsi="Times New Roman" w:cs="Times New Roman"/>
          <w:sz w:val="24"/>
          <w:szCs w:val="24"/>
        </w:rPr>
        <w:lastRenderedPageBreak/>
        <w:t xml:space="preserve">(Ed. Monsell and Driver). The authors should cite that article and relate their approach to that earlier work. </w:t>
      </w:r>
      <w:commentRangeEnd w:id="9"/>
      <w:r w:rsidR="001F7F61">
        <w:rPr>
          <w:rStyle w:val="CommentReference"/>
        </w:rPr>
        <w:commentReference w:id="9"/>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0"/>
      <w:commentRangeStart w:id="11"/>
      <w:r w:rsidR="004668DE" w:rsidRPr="001B575E">
        <w:rPr>
          <w:rFonts w:ascii="Times New Roman" w:hAnsi="Times New Roman" w:cs="Times New Roman"/>
          <w:sz w:val="24"/>
          <w:szCs w:val="24"/>
        </w:rPr>
        <w:t xml:space="preserve">global and local switch </w:t>
      </w:r>
      <w:commentRangeEnd w:id="10"/>
      <w:r w:rsidR="00557766">
        <w:rPr>
          <w:rStyle w:val="CommentReference"/>
        </w:rPr>
        <w:commentReference w:id="10"/>
      </w:r>
      <w:commentRangeEnd w:id="11"/>
      <w:r w:rsidR="001F7F61">
        <w:rPr>
          <w:rStyle w:val="CommentReference"/>
        </w:rPr>
        <w:commentReference w:id="11"/>
      </w:r>
      <w:r w:rsidR="004668DE" w:rsidRPr="001B575E">
        <w:rPr>
          <w:rFonts w:ascii="Times New Roman" w:hAnsi="Times New Roman" w:cs="Times New Roman"/>
          <w:sz w:val="24"/>
          <w:szCs w:val="24"/>
        </w:rPr>
        <w:t>costs seems at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79993C9E"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 xml:space="preserve">We appreciate you bringing this additional literature to our attention. However, after an extensive search, </w:t>
      </w:r>
      <w:commentRangeStart w:id="12"/>
      <w:r w:rsidR="00EB3BC2">
        <w:rPr>
          <w:rFonts w:ascii="Times New Roman" w:hAnsi="Times New Roman" w:cs="Times New Roman"/>
          <w:sz w:val="24"/>
          <w:szCs w:val="24"/>
        </w:rPr>
        <w:t xml:space="preserve">we have been unable to locate the suggested article by DeJong (2000). </w:t>
      </w:r>
      <w:commentRangeEnd w:id="12"/>
      <w:r w:rsidR="001F7F61">
        <w:rPr>
          <w:rStyle w:val="CommentReference"/>
        </w:rPr>
        <w:commentReference w:id="12"/>
      </w:r>
      <w:r w:rsidR="00EB3BC2">
        <w:rPr>
          <w:rFonts w:ascii="Times New Roman" w:hAnsi="Times New Roman" w:cs="Times New Roman"/>
          <w:sz w:val="24"/>
          <w:szCs w:val="24"/>
        </w:rPr>
        <w:t>Therefore, we are unable to include it in our Introduction.</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663C58BE"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r w:rsidR="00E644E9">
        <w:rPr>
          <w:rFonts w:ascii="Times New Roman" w:hAnsi="Times New Roman" w:cs="Times New Roman"/>
          <w:sz w:val="24"/>
          <w:szCs w:val="24"/>
        </w:rPr>
        <w:t xml:space="preserve">Nashiro et al., 2018; </w:t>
      </w:r>
      <w:r w:rsidR="00DE1570">
        <w:rPr>
          <w:rFonts w:ascii="Times New Roman" w:hAnsi="Times New Roman" w:cs="Times New Roman"/>
          <w:sz w:val="24"/>
          <w:szCs w:val="24"/>
        </w:rPr>
        <w:t>Tse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r w:rsidR="00E644E9" w:rsidRPr="00E644E9">
        <w:rPr>
          <w:rFonts w:ascii="Times New Roman" w:hAnsi="Times New Roman" w:cs="Times New Roman"/>
          <w:sz w:val="24"/>
          <w:szCs w:val="24"/>
        </w:rPr>
        <w:t>Velichkovsky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1F7F61">
        <w:rPr>
          <w:rFonts w:ascii="Times New Roman" w:hAnsi="Times New Roman" w:cs="Times New Roman"/>
          <w:sz w:val="24"/>
          <w:szCs w:val="24"/>
        </w:rPr>
        <w:t>Because most of these papers were published within the last decade, we do not agree that these terms are old fashioned</w:t>
      </w:r>
      <w:r w:rsidR="00E644E9" w:rsidRPr="00E644E9">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3"/>
      <w:commentRangeStart w:id="14"/>
      <w:commentRangeStart w:id="15"/>
      <w:r w:rsidR="004668DE" w:rsidRPr="001B575E">
        <w:rPr>
          <w:rFonts w:ascii="Times New Roman" w:hAnsi="Times New Roman" w:cs="Times New Roman"/>
          <w:sz w:val="24"/>
          <w:szCs w:val="24"/>
        </w:rPr>
        <w:t>CSI</w:t>
      </w:r>
      <w:commentRangeEnd w:id="13"/>
      <w:r w:rsidR="00C976E0">
        <w:rPr>
          <w:rStyle w:val="CommentReference"/>
        </w:rPr>
        <w:commentReference w:id="13"/>
      </w:r>
      <w:commentRangeEnd w:id="14"/>
      <w:r w:rsidR="005D27BC">
        <w:rPr>
          <w:rStyle w:val="CommentReference"/>
        </w:rPr>
        <w:commentReference w:id="14"/>
      </w:r>
      <w:commentRangeEnd w:id="15"/>
      <w:r w:rsidR="001F7F61">
        <w:rPr>
          <w:rStyle w:val="CommentReference"/>
        </w:rPr>
        <w:commentReference w:id="15"/>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commentRangeStart w:id="16"/>
      <w:r w:rsidR="000145EB">
        <w:rPr>
          <w:rFonts w:ascii="Times New Roman" w:hAnsi="Times New Roman" w:cs="Times New Roman"/>
          <w:sz w:val="24"/>
          <w:szCs w:val="24"/>
        </w:rPr>
        <w:t>Please see our response to Reviewer 1, comment 5.</w:t>
      </w:r>
      <w:commentRangeEnd w:id="16"/>
      <w:r w:rsidR="00713CD8">
        <w:rPr>
          <w:rStyle w:val="CommentReference"/>
        </w:rPr>
        <w:commentReference w:id="16"/>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7"/>
      <w:commentRangeStart w:id="18"/>
      <w:commentRangeStart w:id="19"/>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7"/>
      <w:r w:rsidR="00C337A1">
        <w:rPr>
          <w:rStyle w:val="CommentReference"/>
        </w:rPr>
        <w:commentReference w:id="17"/>
      </w:r>
      <w:commentRangeEnd w:id="18"/>
      <w:r w:rsidR="00713CD8">
        <w:rPr>
          <w:rStyle w:val="CommentReference"/>
        </w:rPr>
        <w:commentReference w:id="18"/>
      </w:r>
      <w:commentRangeEnd w:id="19"/>
      <w:r w:rsidR="00365E6C">
        <w:rPr>
          <w:rStyle w:val="CommentReference"/>
        </w:rPr>
        <w:commentReference w:id="19"/>
      </w:r>
      <w:r w:rsidR="004668DE" w:rsidRPr="001B575E">
        <w:rPr>
          <w:rFonts w:ascii="Times New Roman" w:hAnsi="Times New Roman" w:cs="Times New Roman"/>
          <w:sz w:val="24"/>
          <w:szCs w:val="24"/>
        </w:rPr>
        <w:t>In addition, with regard to the Vincentized RT distribution for local switching costs as illustrated in Figure 2 and Figure 1. Did the authors use cumulative distribution functions for illustrating the vincentized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common way of analyzing vincentized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2D7CD42F"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sidR="00365E6C">
        <w:rPr>
          <w:rFonts w:ascii="Times New Roman" w:hAnsi="Times New Roman" w:cs="Times New Roman"/>
          <w:sz w:val="24"/>
          <w:szCs w:val="24"/>
        </w:rPr>
        <w:t xml:space="preserve"> The vincentile analyses in Figure 2 were not cumulative and, rather, were conducted on switch costs. The finding that switch costs decrease on later bins simply indicates a smaller difference between trial types. Trial level vincentiles are reported in Figure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34A9B12D" w:rsidR="006254AF" w:rsidRDefault="005F3734" w:rsidP="0011168B">
      <w:pPr>
        <w:spacing w:after="0" w:line="240" w:lineRule="auto"/>
        <w:rPr>
          <w:rFonts w:ascii="Times New Roman" w:hAnsi="Times New Roman" w:cs="Times New Roman"/>
          <w:sz w:val="24"/>
          <w:szCs w:val="24"/>
        </w:rPr>
      </w:pPr>
      <w:commentRangeStart w:id="20"/>
      <w:r w:rsidRPr="00241B6F">
        <w:rPr>
          <w:rFonts w:ascii="Times New Roman" w:hAnsi="Times New Roman" w:cs="Times New Roman"/>
          <w:b/>
          <w:bCs/>
          <w:i/>
          <w:iCs/>
          <w:sz w:val="24"/>
          <w:szCs w:val="24"/>
        </w:rPr>
        <w:t>Response</w:t>
      </w:r>
      <w:commentRangeEnd w:id="20"/>
      <w:r w:rsidR="00713CD8">
        <w:rPr>
          <w:rStyle w:val="CommentReference"/>
        </w:rPr>
        <w:commentReference w:id="20"/>
      </w:r>
      <w:r w:rsidRPr="00241B6F">
        <w:rPr>
          <w:rFonts w:ascii="Times New Roman" w:hAnsi="Times New Roman" w:cs="Times New Roman"/>
          <w:b/>
          <w:bCs/>
          <w:i/>
          <w:iCs/>
          <w:sz w:val="24"/>
          <w:szCs w:val="24"/>
        </w:rPr>
        <w:t>:</w:t>
      </w:r>
      <w:r>
        <w:rPr>
          <w:rFonts w:ascii="Times New Roman" w:hAnsi="Times New Roman" w:cs="Times New Roman"/>
          <w:sz w:val="24"/>
          <w:szCs w:val="24"/>
        </w:rPr>
        <w:t xml:space="preserve"> </w:t>
      </w:r>
      <w:r w:rsidR="00713CD8">
        <w:rPr>
          <w:rFonts w:ascii="Times New Roman" w:hAnsi="Times New Roman" w:cs="Times New Roman"/>
          <w:sz w:val="24"/>
          <w:szCs w:val="24"/>
        </w:rPr>
        <w:t>Yes, these switch cost types can be computed with other tasks</w:t>
      </w:r>
      <w:r w:rsidR="00E63C9E">
        <w:rPr>
          <w:rFonts w:ascii="Times New Roman" w:hAnsi="Times New Roman" w:cs="Times New Roman"/>
          <w:sz w:val="24"/>
          <w:szCs w:val="24"/>
        </w:rPr>
        <w:t xml:space="preserve">. </w:t>
      </w:r>
      <w:r w:rsidR="00713CD8">
        <w:rPr>
          <w:rFonts w:ascii="Times New Roman" w:hAnsi="Times New Roman" w:cs="Times New Roman"/>
          <w:sz w:val="24"/>
          <w:szCs w:val="24"/>
        </w:rPr>
        <w:t xml:space="preserve">However, the major advantage of the CVOE task is that the two task types used (consonant/vowel classification and odd/even classification) are relatively balanced in terms of participant knowledge (i.e., participants are generally not markedly better at one task set than another). If tasks were unbalanced, this would add additional variability when computing switch costs. This is an important point to note, but it is also important to highlight the benefits of using CVOE. </w:t>
      </w:r>
      <w:r w:rsidR="00930687">
        <w:rPr>
          <w:rFonts w:ascii="Times New Roman" w:hAnsi="Times New Roman" w:cs="Times New Roman"/>
          <w:sz w:val="24"/>
          <w:szCs w:val="24"/>
        </w:rPr>
        <w:t xml:space="preserve">We have </w:t>
      </w:r>
      <w:r w:rsidR="00930687">
        <w:rPr>
          <w:rFonts w:ascii="Times New Roman" w:hAnsi="Times New Roman" w:cs="Times New Roman"/>
          <w:sz w:val="24"/>
          <w:szCs w:val="24"/>
        </w:rPr>
        <w:lastRenderedPageBreak/>
        <w:t xml:space="preserve">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6C22125" w14:textId="688B4F4C" w:rsidR="00F85C07"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Huff et al.</w:t>
      </w:r>
      <w:r w:rsidR="00713CD8">
        <w:rPr>
          <w:rFonts w:ascii="Times New Roman" w:hAnsi="Times New Roman" w:cs="Times New Roman"/>
          <w:sz w:val="24"/>
          <w:szCs w:val="24"/>
        </w:rPr>
        <w:t>’s</w:t>
      </w:r>
      <w:r w:rsidR="00E63C9E">
        <w:rPr>
          <w:rFonts w:ascii="Times New Roman" w:hAnsi="Times New Roman" w:cs="Times New Roman"/>
          <w:sz w:val="24"/>
          <w:szCs w:val="24"/>
        </w:rPr>
        <w:t xml:space="preserve"> (2015)</w:t>
      </w:r>
      <w:r w:rsidR="00713CD8">
        <w:rPr>
          <w:rFonts w:ascii="Times New Roman" w:hAnsi="Times New Roman" w:cs="Times New Roman"/>
          <w:sz w:val="24"/>
          <w:szCs w:val="24"/>
        </w:rPr>
        <w:t xml:space="preserve"> study did not include a random-switch block and thus the comparisons we make between the two switch block types were not available. We have clarified this in the paragraph. Huff et al. argued that the increased local costs on younger adults</w:t>
      </w:r>
      <w:r w:rsidR="00E63C9E">
        <w:rPr>
          <w:rFonts w:ascii="Times New Roman" w:hAnsi="Times New Roman" w:cs="Times New Roman"/>
          <w:sz w:val="24"/>
          <w:szCs w:val="24"/>
        </w:rPr>
        <w:t xml:space="preserve"> likely reflected a task-set inertia</w:t>
      </w:r>
      <w:r w:rsidR="00713CD8">
        <w:rPr>
          <w:rFonts w:ascii="Times New Roman" w:hAnsi="Times New Roman" w:cs="Times New Roman"/>
          <w:sz w:val="24"/>
          <w:szCs w:val="24"/>
        </w:rPr>
        <w:t>, which referred to a carry-over effect of the previous task set when the instructions shifted</w:t>
      </w:r>
      <w:r w:rsidR="00F85C07">
        <w:rPr>
          <w:rFonts w:ascii="Times New Roman" w:hAnsi="Times New Roman" w:cs="Times New Roman"/>
          <w:sz w:val="24"/>
          <w:szCs w:val="24"/>
        </w:rPr>
        <w:t xml:space="preserve">. 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00F85C07" w:rsidRPr="00F85C07">
        <w:rPr>
          <w:rFonts w:ascii="Times New Roman" w:hAnsi="Times New Roman" w:cs="Times New Roman"/>
          <w:sz w:val="24"/>
          <w:szCs w:val="24"/>
          <w:highlight w:val="yellow"/>
        </w:rPr>
        <w:t>xx</w:t>
      </w:r>
      <w:r w:rsidR="00F85C07">
        <w:rPr>
          <w:rFonts w:ascii="Times New Roman" w:hAnsi="Times New Roman" w:cs="Times New Roman"/>
          <w:sz w:val="24"/>
          <w:szCs w:val="24"/>
        </w:rPr>
        <w:t xml:space="preserve"> clarify this </w:t>
      </w:r>
      <w:commentRangeStart w:id="21"/>
      <w:r w:rsidR="00F85C07">
        <w:rPr>
          <w:rFonts w:ascii="Times New Roman" w:hAnsi="Times New Roman" w:cs="Times New Roman"/>
          <w:sz w:val="24"/>
          <w:szCs w:val="24"/>
        </w:rPr>
        <w:t>point</w:t>
      </w:r>
      <w:commentRangeEnd w:id="21"/>
      <w:r w:rsidR="00296FC5">
        <w:rPr>
          <w:rStyle w:val="CommentReference"/>
        </w:rPr>
        <w:commentReference w:id="21"/>
      </w:r>
      <w:r w:rsidR="00F85C07">
        <w:rPr>
          <w:rFonts w:ascii="Times New Roman" w:hAnsi="Times New Roman" w:cs="Times New Roman"/>
          <w:sz w:val="24"/>
          <w:szCs w:val="24"/>
        </w:rPr>
        <w: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commentRangeStart w:id="22"/>
      <w:r w:rsidR="00E63C9E" w:rsidRPr="00E63C9E">
        <w:rPr>
          <w:rFonts w:ascii="Times New Roman" w:hAnsi="Times New Roman" w:cs="Times New Roman"/>
          <w:sz w:val="24"/>
          <w:szCs w:val="24"/>
          <w:highlight w:val="yellow"/>
        </w:rPr>
        <w:t>xx</w:t>
      </w:r>
      <w:commentRangeEnd w:id="22"/>
      <w:r w:rsidR="00296FC5">
        <w:rPr>
          <w:rStyle w:val="CommentReference"/>
        </w:rPr>
        <w:commentReference w:id="22"/>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23"/>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23"/>
      <w:r w:rsidR="00B1540D">
        <w:rPr>
          <w:rStyle w:val="CommentReference"/>
        </w:rPr>
        <w:commentReference w:id="23"/>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2-10-04T15:23:00Z" w:initials="MH">
    <w:p w14:paraId="565A832E" w14:textId="77777777" w:rsidR="005D0313" w:rsidRDefault="005D0313" w:rsidP="00A646A9">
      <w:pPr>
        <w:pStyle w:val="CommentText"/>
      </w:pPr>
      <w:r>
        <w:rPr>
          <w:rStyle w:val="CommentReference"/>
        </w:rPr>
        <w:annotationRef/>
      </w:r>
      <w:r>
        <w:t>I updated this</w:t>
      </w:r>
    </w:p>
  </w:comment>
  <w:comment w:id="1" w:author="Nick Maxwell" w:date="2022-10-04T16:41:00Z" w:initials="NM">
    <w:p w14:paraId="5776B87F" w14:textId="77777777" w:rsidR="00365E6C" w:rsidRDefault="00365E6C" w:rsidP="00C743C3">
      <w:pPr>
        <w:pStyle w:val="CommentText"/>
      </w:pPr>
      <w:r>
        <w:rPr>
          <w:rStyle w:val="CommentReference"/>
        </w:rPr>
        <w:annotationRef/>
      </w:r>
      <w:r>
        <w:t>Yep, works for me!</w:t>
      </w:r>
    </w:p>
  </w:comment>
  <w:comment w:id="2" w:author="Mark Huff" w:date="2022-10-04T15:29:00Z" w:initials="MH">
    <w:p w14:paraId="74018B89" w14:textId="2C80CA0E" w:rsidR="00865AB4" w:rsidRDefault="00865AB4" w:rsidP="00D03F29">
      <w:pPr>
        <w:pStyle w:val="CommentText"/>
      </w:pPr>
      <w:r>
        <w:rPr>
          <w:rStyle w:val="CommentReference"/>
        </w:rPr>
        <w:annotationRef/>
      </w:r>
      <w:r>
        <w:t>Nick, I heavily edited this response. You had local costs reported twice...</w:t>
      </w:r>
    </w:p>
  </w:comment>
  <w:comment w:id="3" w:author="Nick Maxwell" w:date="2022-10-04T16:42:00Z" w:initials="NM">
    <w:p w14:paraId="68CD192E" w14:textId="77777777" w:rsidR="00365E6C" w:rsidRDefault="00365E6C" w:rsidP="00FD0E3B">
      <w:pPr>
        <w:pStyle w:val="CommentText"/>
      </w:pPr>
      <w:r>
        <w:rPr>
          <w:rStyle w:val="CommentReference"/>
        </w:rPr>
        <w:annotationRef/>
      </w:r>
      <w:r>
        <w:t>Ooops… glad you caught that.</w:t>
      </w:r>
    </w:p>
  </w:comment>
  <w:comment w:id="4" w:author="Mark Huff" w:date="2022-10-04T16:03:00Z" w:initials="MH">
    <w:p w14:paraId="2172FEC0" w14:textId="0B70786E" w:rsidR="001D52D4" w:rsidRDefault="001D52D4" w:rsidP="008F1582">
      <w:pPr>
        <w:pStyle w:val="CommentText"/>
      </w:pPr>
      <w:r>
        <w:rPr>
          <w:rStyle w:val="CommentReference"/>
        </w:rPr>
        <w:annotationRef/>
      </w:r>
      <w:r>
        <w:t>Great point here re: practice effects. They probably did counterbalance, knowing Shah's work, but I doubt she was a reviewer, so its fine to point this out.</w:t>
      </w:r>
    </w:p>
  </w:comment>
  <w:comment w:id="5" w:author="Maxwell, Nicholas" w:date="2022-09-26T10:14:00Z" w:initials="MN">
    <w:p w14:paraId="448961D6" w14:textId="576202CD"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6" w:author="Mark Huff" w:date="2022-10-04T16:03:00Z" w:initials="MH">
    <w:p w14:paraId="66125514" w14:textId="77777777" w:rsidR="001D52D4" w:rsidRDefault="001D52D4" w:rsidP="007B1173">
      <w:pPr>
        <w:pStyle w:val="CommentText"/>
      </w:pPr>
      <w:r>
        <w:rPr>
          <w:rStyle w:val="CommentReference"/>
        </w:rPr>
        <w:annotationRef/>
      </w:r>
      <w:r>
        <w:t>Updated</w:t>
      </w:r>
    </w:p>
  </w:comment>
  <w:comment w:id="7" w:author="Nick Maxwell" w:date="2022-09-25T08:58:00Z" w:initials="NM">
    <w:p w14:paraId="58370B62" w14:textId="19418B5D" w:rsidR="006E6EC9" w:rsidRDefault="006E6EC9" w:rsidP="00E6069C">
      <w:pPr>
        <w:pStyle w:val="CommentText"/>
      </w:pPr>
      <w:r>
        <w:rPr>
          <w:rStyle w:val="CommentReference"/>
        </w:rPr>
        <w:annotationRef/>
      </w:r>
      <w:r>
        <w:t>Was able to find the first one.</w:t>
      </w:r>
    </w:p>
  </w:comment>
  <w:comment w:id="8"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9" w:author="Mark Huff" w:date="2022-10-04T16:15:00Z" w:initials="MH">
    <w:p w14:paraId="7EE8368B" w14:textId="77777777" w:rsidR="001F7F61" w:rsidRDefault="001F7F61" w:rsidP="000A7DC6">
      <w:pPr>
        <w:pStyle w:val="CommentText"/>
      </w:pPr>
      <w:r>
        <w:rPr>
          <w:rStyle w:val="CommentReference"/>
        </w:rPr>
        <w:annotationRef/>
      </w:r>
      <w:r>
        <w:t>I found this chapter and attached it to the email. Please dig through it an incorporate into the revision.</w:t>
      </w:r>
    </w:p>
  </w:comment>
  <w:comment w:id="10" w:author="Nick Maxwell" w:date="2022-09-24T14:22:00Z" w:initials="NM">
    <w:p w14:paraId="63FE36A6" w14:textId="0ED817A7"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Balota and Balota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1" w:author="Mark Huff" w:date="2022-10-04T16:17:00Z" w:initials="MH">
    <w:p w14:paraId="13100E1B" w14:textId="77777777" w:rsidR="001F7F61" w:rsidRDefault="001F7F61" w:rsidP="00070160">
      <w:pPr>
        <w:pStyle w:val="CommentText"/>
      </w:pPr>
      <w:r>
        <w:rPr>
          <w:rStyle w:val="CommentReference"/>
        </w:rPr>
        <w:annotationRef/>
      </w:r>
      <w:r>
        <w:t>We discussed this already, but do not change them. A mixing cost is still a switch cost, so this becomes confusing.</w:t>
      </w:r>
    </w:p>
  </w:comment>
  <w:comment w:id="12" w:author="Mark Huff" w:date="2022-10-04T16:17:00Z" w:initials="MH">
    <w:p w14:paraId="7680B0B4" w14:textId="77777777" w:rsidR="001F7F61" w:rsidRDefault="001F7F61" w:rsidP="00B90252">
      <w:pPr>
        <w:pStyle w:val="CommentText"/>
      </w:pPr>
      <w:r>
        <w:rPr>
          <w:rStyle w:val="CommentReference"/>
        </w:rPr>
        <w:annotationRef/>
      </w:r>
      <w:r>
        <w:t>Found it! See attached.</w:t>
      </w:r>
    </w:p>
  </w:comment>
  <w:comment w:id="13" w:author="Nick Maxwell" w:date="2022-09-24T14:25:00Z" w:initials="NM">
    <w:p w14:paraId="4C190B37" w14:textId="52E2D99A" w:rsidR="00C976E0" w:rsidRDefault="00C976E0" w:rsidP="00AD52DD">
      <w:pPr>
        <w:pStyle w:val="CommentText"/>
      </w:pPr>
      <w:r>
        <w:rPr>
          <w:rStyle w:val="CommentReference"/>
        </w:rPr>
        <w:annotationRef/>
      </w:r>
      <w:r>
        <w:t>This a new term for me.</w:t>
      </w:r>
    </w:p>
  </w:comment>
  <w:comment w:id="14"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5" w:author="Mark Huff" w:date="2022-10-04T16:18:00Z" w:initials="MH">
    <w:p w14:paraId="342570B4" w14:textId="77777777" w:rsidR="001F7F61" w:rsidRDefault="001F7F61" w:rsidP="004D57CB">
      <w:pPr>
        <w:pStyle w:val="CommentText"/>
      </w:pPr>
      <w:r>
        <w:rPr>
          <w:rStyle w:val="CommentReference"/>
        </w:rPr>
        <w:annotationRef/>
      </w:r>
      <w:r>
        <w:t>Yes, this is correct.</w:t>
      </w:r>
    </w:p>
  </w:comment>
  <w:comment w:id="16" w:author="Mark Huff" w:date="2022-10-04T16:20:00Z" w:initials="MH">
    <w:p w14:paraId="5A160B87" w14:textId="77777777" w:rsidR="00713CD8" w:rsidRDefault="00713CD8" w:rsidP="00BB0B62">
      <w:pPr>
        <w:pStyle w:val="CommentText"/>
      </w:pPr>
      <w:r>
        <w:rPr>
          <w:rStyle w:val="CommentReference"/>
        </w:rPr>
        <w:annotationRef/>
      </w:r>
      <w:r>
        <w:t>I would repeat the explanation here and mention that you also addressed this with R1, comment 5.</w:t>
      </w:r>
    </w:p>
  </w:comment>
  <w:comment w:id="17" w:author="Maxwell, Nicholas" w:date="2022-10-03T14:44:00Z" w:initials="MN">
    <w:p w14:paraId="18B2826B" w14:textId="4EA3B7DF" w:rsidR="0042139F" w:rsidRDefault="00C337A1">
      <w:pPr>
        <w:pStyle w:val="CommentText"/>
      </w:pPr>
      <w:r>
        <w:rPr>
          <w:rStyle w:val="CommentReference"/>
        </w:rPr>
        <w:annotationRef/>
      </w:r>
      <w:r w:rsidR="0042139F">
        <w:t>This is one that I forgot to bring up in our meeting last week.</w:t>
      </w:r>
    </w:p>
    <w:p w14:paraId="1341F2E7" w14:textId="77777777" w:rsidR="0042139F" w:rsidRDefault="0042139F">
      <w:pPr>
        <w:pStyle w:val="CommentText"/>
      </w:pPr>
    </w:p>
    <w:p w14:paraId="662E935F" w14:textId="77777777" w:rsidR="0042139F" w:rsidRDefault="0042139F" w:rsidP="005B14CE">
      <w:pPr>
        <w:pStyle w:val="CommentText"/>
      </w:pPr>
      <w:r>
        <w:t>I used the code that you sent me, which I’m assuming computed these the same way as your 2015 paper?</w:t>
      </w:r>
    </w:p>
  </w:comment>
  <w:comment w:id="18" w:author="Mark Huff" w:date="2022-10-04T16:22:00Z" w:initials="MH">
    <w:p w14:paraId="79D1D3C7" w14:textId="77777777" w:rsidR="00713CD8" w:rsidRDefault="00713CD8" w:rsidP="00E048C1">
      <w:pPr>
        <w:pStyle w:val="CommentText"/>
      </w:pPr>
      <w:r>
        <w:rPr>
          <w:rStyle w:val="CommentReference"/>
        </w:rPr>
        <w:annotationRef/>
      </w:r>
      <w:r>
        <w:t>#facepalm These are switch costs that are reported (i.e., difference scores). The finding that they are lower on later bins means that there is a smaller difference between the two trial types. So to answer the question, they are not cumulative. We report the trial level bins in Figure 1.</w:t>
      </w:r>
    </w:p>
  </w:comment>
  <w:comment w:id="19" w:author="Nick Maxwell" w:date="2022-10-04T16:46:00Z" w:initials="NM">
    <w:p w14:paraId="28E4ED09" w14:textId="77777777" w:rsidR="00365E6C" w:rsidRDefault="00365E6C" w:rsidP="00BA1B5A">
      <w:pPr>
        <w:pStyle w:val="CommentText"/>
      </w:pPr>
      <w:r>
        <w:rPr>
          <w:rStyle w:val="CommentReference"/>
        </w:rPr>
        <w:annotationRef/>
      </w:r>
      <w:r>
        <w:t>Is this response good then? Just reiterating your comment here.</w:t>
      </w:r>
    </w:p>
  </w:comment>
  <w:comment w:id="20" w:author="Mark Huff" w:date="2022-10-04T16:26:00Z" w:initials="MH">
    <w:p w14:paraId="6CFEDA18" w14:textId="585C3B9A" w:rsidR="00713CD8" w:rsidRDefault="00713CD8" w:rsidP="003317BF">
      <w:pPr>
        <w:pStyle w:val="CommentText"/>
      </w:pPr>
      <w:r>
        <w:rPr>
          <w:rStyle w:val="CommentReference"/>
        </w:rPr>
        <w:annotationRef/>
      </w:r>
      <w:r>
        <w:t>I updated this one quite a bit too.</w:t>
      </w:r>
    </w:p>
  </w:comment>
  <w:comment w:id="21" w:author="Mark Huff" w:date="2022-10-04T16:31:00Z" w:initials="MH">
    <w:p w14:paraId="436DF6F8" w14:textId="77777777" w:rsidR="00296FC5" w:rsidRDefault="00296FC5" w:rsidP="005C42A2">
      <w:pPr>
        <w:pStyle w:val="CommentText"/>
      </w:pPr>
      <w:r>
        <w:rPr>
          <w:rStyle w:val="CommentReference"/>
        </w:rPr>
        <w:annotationRef/>
      </w:r>
      <w:r>
        <w:t>Updated a lot here too.</w:t>
      </w:r>
    </w:p>
  </w:comment>
  <w:comment w:id="22" w:author="Mark Huff" w:date="2022-10-04T16:32:00Z" w:initials="MH">
    <w:p w14:paraId="19FC9C4E" w14:textId="77777777" w:rsidR="00296FC5" w:rsidRDefault="00296FC5" w:rsidP="009E6B4D">
      <w:pPr>
        <w:pStyle w:val="CommentText"/>
      </w:pPr>
      <w:r>
        <w:rPr>
          <w:rStyle w:val="CommentReference"/>
        </w:rPr>
        <w:annotationRef/>
      </w:r>
      <w:r>
        <w:t>Now that we have the de Jong chapter, there might be an answer in there.</w:t>
      </w:r>
    </w:p>
  </w:comment>
  <w:comment w:id="23" w:author="Nick Maxwell" w:date="2022-09-24T13:27:00Z" w:initials="NM">
    <w:p w14:paraId="32CF26FF" w14:textId="031F9AD2"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A832E" w15:done="0"/>
  <w15:commentEx w15:paraId="5776B87F" w15:paraIdParent="565A832E" w15:done="0"/>
  <w15:commentEx w15:paraId="74018B89" w15:done="0"/>
  <w15:commentEx w15:paraId="68CD192E" w15:paraIdParent="74018B89" w15:done="0"/>
  <w15:commentEx w15:paraId="2172FEC0" w15:done="0"/>
  <w15:commentEx w15:paraId="448961D6" w15:done="0"/>
  <w15:commentEx w15:paraId="66125514" w15:paraIdParent="448961D6" w15:done="0"/>
  <w15:commentEx w15:paraId="58370B62" w15:done="0"/>
  <w15:commentEx w15:paraId="3CAE3DC7" w15:paraIdParent="58370B62" w15:done="0"/>
  <w15:commentEx w15:paraId="7EE8368B" w15:done="0"/>
  <w15:commentEx w15:paraId="5C816E2D" w15:done="0"/>
  <w15:commentEx w15:paraId="13100E1B" w15:paraIdParent="5C816E2D" w15:done="0"/>
  <w15:commentEx w15:paraId="7680B0B4" w15:done="0"/>
  <w15:commentEx w15:paraId="4C190B37" w15:done="0"/>
  <w15:commentEx w15:paraId="2069D9AE" w15:paraIdParent="4C190B37" w15:done="0"/>
  <w15:commentEx w15:paraId="342570B4" w15:paraIdParent="4C190B37" w15:done="0"/>
  <w15:commentEx w15:paraId="5A160B87" w15:done="0"/>
  <w15:commentEx w15:paraId="662E935F" w15:done="0"/>
  <w15:commentEx w15:paraId="79D1D3C7" w15:paraIdParent="662E935F" w15:done="0"/>
  <w15:commentEx w15:paraId="28E4ED09" w15:paraIdParent="662E935F" w15:done="0"/>
  <w15:commentEx w15:paraId="6CFEDA18" w15:done="0"/>
  <w15:commentEx w15:paraId="436DF6F8" w15:done="0"/>
  <w15:commentEx w15:paraId="19FC9C4E"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E5F" w16cex:dateUtc="2022-10-04T20:23:00Z"/>
  <w16cex:commentExtensible w16cex:durableId="26E6E0D1" w16cex:dateUtc="2022-10-04T21:41:00Z"/>
  <w16cex:commentExtensible w16cex:durableId="26E6CFEE" w16cex:dateUtc="2022-10-04T20:29:00Z"/>
  <w16cex:commentExtensible w16cex:durableId="26E6E0D8" w16cex:dateUtc="2022-10-04T21:42:00Z"/>
  <w16cex:commentExtensible w16cex:durableId="26E6D7BA" w16cex:dateUtc="2022-10-04T21:03:00Z"/>
  <w16cex:commentExtensible w16cex:durableId="26E6D7BF" w16cex:dateUtc="2022-10-04T21:03:00Z"/>
  <w16cex:commentExtensible w16cex:durableId="26DA96AD" w16cex:dateUtc="2022-09-25T13:58:00Z"/>
  <w16cex:commentExtensible w16cex:durableId="26E6DAB9" w16cex:dateUtc="2022-10-04T21:15:00Z"/>
  <w16cex:commentExtensible w16cex:durableId="26D99124" w16cex:dateUtc="2022-09-24T19:22:00Z"/>
  <w16cex:commentExtensible w16cex:durableId="26E6DAFE" w16cex:dateUtc="2022-10-04T21:17:00Z"/>
  <w16cex:commentExtensible w16cex:durableId="26E6DB10" w16cex:dateUtc="2022-10-04T21:17:00Z"/>
  <w16cex:commentExtensible w16cex:durableId="26D991D9" w16cex:dateUtc="2022-09-24T19:25:00Z"/>
  <w16cex:commentExtensible w16cex:durableId="26D9DAAC" w16cex:dateUtc="2022-09-25T00:36:00Z"/>
  <w16cex:commentExtensible w16cex:durableId="26E6DB68" w16cex:dateUtc="2022-10-04T21:18:00Z"/>
  <w16cex:commentExtensible w16cex:durableId="26E6DBC4" w16cex:dateUtc="2022-10-04T21:20:00Z"/>
  <w16cex:commentExtensible w16cex:durableId="26E6DC39" w16cex:dateUtc="2022-10-04T21:22:00Z"/>
  <w16cex:commentExtensible w16cex:durableId="26E6E203" w16cex:dateUtc="2022-10-04T21:46:00Z"/>
  <w16cex:commentExtensible w16cex:durableId="26E6DD2F" w16cex:dateUtc="2022-10-04T21:26:00Z"/>
  <w16cex:commentExtensible w16cex:durableId="26E6DE60" w16cex:dateUtc="2022-10-04T21:31:00Z"/>
  <w16cex:commentExtensible w16cex:durableId="26E6DEAE" w16cex:dateUtc="2022-10-04T21:32: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A832E" w16cid:durableId="26E6CE5F"/>
  <w16cid:commentId w16cid:paraId="5776B87F" w16cid:durableId="26E6E0D1"/>
  <w16cid:commentId w16cid:paraId="74018B89" w16cid:durableId="26E6CFEE"/>
  <w16cid:commentId w16cid:paraId="68CD192E" w16cid:durableId="26E6E0D8"/>
  <w16cid:commentId w16cid:paraId="2172FEC0" w16cid:durableId="26E6D7BA"/>
  <w16cid:commentId w16cid:paraId="448961D6" w16cid:durableId="26DBFA12"/>
  <w16cid:commentId w16cid:paraId="66125514" w16cid:durableId="26E6D7BF"/>
  <w16cid:commentId w16cid:paraId="58370B62" w16cid:durableId="26DA96AD"/>
  <w16cid:commentId w16cid:paraId="3CAE3DC7" w16cid:durableId="26DEDFEA"/>
  <w16cid:commentId w16cid:paraId="7EE8368B" w16cid:durableId="26E6DAB9"/>
  <w16cid:commentId w16cid:paraId="5C816E2D" w16cid:durableId="26D99124"/>
  <w16cid:commentId w16cid:paraId="13100E1B" w16cid:durableId="26E6DAFE"/>
  <w16cid:commentId w16cid:paraId="7680B0B4" w16cid:durableId="26E6DB10"/>
  <w16cid:commentId w16cid:paraId="4C190B37" w16cid:durableId="26D991D9"/>
  <w16cid:commentId w16cid:paraId="2069D9AE" w16cid:durableId="26D9DAAC"/>
  <w16cid:commentId w16cid:paraId="342570B4" w16cid:durableId="26E6DB68"/>
  <w16cid:commentId w16cid:paraId="5A160B87" w16cid:durableId="26E6DBC4"/>
  <w16cid:commentId w16cid:paraId="662E935F" w16cid:durableId="26E573D9"/>
  <w16cid:commentId w16cid:paraId="79D1D3C7" w16cid:durableId="26E6DC39"/>
  <w16cid:commentId w16cid:paraId="28E4ED09" w16cid:durableId="26E6E203"/>
  <w16cid:commentId w16cid:paraId="6CFEDA18" w16cid:durableId="26E6DD2F"/>
  <w16cid:commentId w16cid:paraId="436DF6F8" w16cid:durableId="26E6DE60"/>
  <w16cid:commentId w16cid:paraId="19FC9C4E" w16cid:durableId="26E6DEAE"/>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65FB" w14:textId="77777777" w:rsidR="00A559C7" w:rsidRDefault="00A559C7" w:rsidP="00750EF5">
      <w:pPr>
        <w:spacing w:after="0" w:line="240" w:lineRule="auto"/>
      </w:pPr>
      <w:r>
        <w:separator/>
      </w:r>
    </w:p>
  </w:endnote>
  <w:endnote w:type="continuationSeparator" w:id="0">
    <w:p w14:paraId="73D896D0" w14:textId="77777777" w:rsidR="00A559C7" w:rsidRDefault="00A559C7"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BDC9" w14:textId="77777777" w:rsidR="00A559C7" w:rsidRDefault="00A559C7" w:rsidP="00750EF5">
      <w:pPr>
        <w:spacing w:after="0" w:line="240" w:lineRule="auto"/>
      </w:pPr>
      <w:r>
        <w:separator/>
      </w:r>
    </w:p>
  </w:footnote>
  <w:footnote w:type="continuationSeparator" w:id="0">
    <w:p w14:paraId="267E4F0F" w14:textId="77777777" w:rsidR="00A559C7" w:rsidRDefault="00A559C7"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47B16"/>
    <w:rsid w:val="00060A02"/>
    <w:rsid w:val="00062243"/>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04D"/>
    <w:rsid w:val="000C41C1"/>
    <w:rsid w:val="000C4B54"/>
    <w:rsid w:val="000C6175"/>
    <w:rsid w:val="000D3975"/>
    <w:rsid w:val="000D533E"/>
    <w:rsid w:val="000E5484"/>
    <w:rsid w:val="000F5C90"/>
    <w:rsid w:val="001000B0"/>
    <w:rsid w:val="00106E73"/>
    <w:rsid w:val="0011168B"/>
    <w:rsid w:val="00111ED9"/>
    <w:rsid w:val="0012177E"/>
    <w:rsid w:val="00125296"/>
    <w:rsid w:val="00141489"/>
    <w:rsid w:val="0015213A"/>
    <w:rsid w:val="00152547"/>
    <w:rsid w:val="00161493"/>
    <w:rsid w:val="001633CB"/>
    <w:rsid w:val="0016380B"/>
    <w:rsid w:val="00187E67"/>
    <w:rsid w:val="001905D7"/>
    <w:rsid w:val="00197735"/>
    <w:rsid w:val="001A687F"/>
    <w:rsid w:val="001B2C46"/>
    <w:rsid w:val="001B575E"/>
    <w:rsid w:val="001B5A8B"/>
    <w:rsid w:val="001C6DF3"/>
    <w:rsid w:val="001D52D4"/>
    <w:rsid w:val="001E0624"/>
    <w:rsid w:val="001E2159"/>
    <w:rsid w:val="001F7F61"/>
    <w:rsid w:val="00231017"/>
    <w:rsid w:val="00235CA0"/>
    <w:rsid w:val="00240FC8"/>
    <w:rsid w:val="00241B6F"/>
    <w:rsid w:val="00242075"/>
    <w:rsid w:val="00245481"/>
    <w:rsid w:val="002571FD"/>
    <w:rsid w:val="00257CFE"/>
    <w:rsid w:val="00260903"/>
    <w:rsid w:val="00265581"/>
    <w:rsid w:val="00265BD7"/>
    <w:rsid w:val="00272FE1"/>
    <w:rsid w:val="00296FC5"/>
    <w:rsid w:val="002B231B"/>
    <w:rsid w:val="002B6AFB"/>
    <w:rsid w:val="002C20FE"/>
    <w:rsid w:val="002D129F"/>
    <w:rsid w:val="002D1972"/>
    <w:rsid w:val="002D568D"/>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65E6C"/>
    <w:rsid w:val="00371CD3"/>
    <w:rsid w:val="00371DAE"/>
    <w:rsid w:val="00374E93"/>
    <w:rsid w:val="0038181C"/>
    <w:rsid w:val="00384D39"/>
    <w:rsid w:val="003858FE"/>
    <w:rsid w:val="00386528"/>
    <w:rsid w:val="00395582"/>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D031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13CD8"/>
    <w:rsid w:val="007153ED"/>
    <w:rsid w:val="007170CA"/>
    <w:rsid w:val="007270B7"/>
    <w:rsid w:val="007275E5"/>
    <w:rsid w:val="007301E0"/>
    <w:rsid w:val="007365C2"/>
    <w:rsid w:val="00742E3D"/>
    <w:rsid w:val="00750EF5"/>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33F4F"/>
    <w:rsid w:val="0084182C"/>
    <w:rsid w:val="00865AB4"/>
    <w:rsid w:val="00871843"/>
    <w:rsid w:val="00876D2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4698"/>
    <w:rsid w:val="0094147A"/>
    <w:rsid w:val="00945A7C"/>
    <w:rsid w:val="00976CC1"/>
    <w:rsid w:val="0097737B"/>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64DA"/>
    <w:rsid w:val="00A268F8"/>
    <w:rsid w:val="00A2754B"/>
    <w:rsid w:val="00A35001"/>
    <w:rsid w:val="00A35E09"/>
    <w:rsid w:val="00A41587"/>
    <w:rsid w:val="00A501F8"/>
    <w:rsid w:val="00A559C7"/>
    <w:rsid w:val="00A56E06"/>
    <w:rsid w:val="00A6053D"/>
    <w:rsid w:val="00A716DD"/>
    <w:rsid w:val="00A736FB"/>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16F84"/>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04044"/>
    <w:rsid w:val="00C1225C"/>
    <w:rsid w:val="00C32CDC"/>
    <w:rsid w:val="00C337A1"/>
    <w:rsid w:val="00C54C37"/>
    <w:rsid w:val="00C65FBA"/>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35EA"/>
    <w:rsid w:val="00D835F0"/>
    <w:rsid w:val="00D878B8"/>
    <w:rsid w:val="00D87D12"/>
    <w:rsid w:val="00D934EC"/>
    <w:rsid w:val="00DA2DEC"/>
    <w:rsid w:val="00DA3DA3"/>
    <w:rsid w:val="00DB1296"/>
    <w:rsid w:val="00DB54EB"/>
    <w:rsid w:val="00DC4B43"/>
    <w:rsid w:val="00DD3D5D"/>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F0A84"/>
    <w:rsid w:val="00EF66B7"/>
    <w:rsid w:val="00F00700"/>
    <w:rsid w:val="00F26891"/>
    <w:rsid w:val="00F26BDF"/>
    <w:rsid w:val="00F40B06"/>
    <w:rsid w:val="00F50DC7"/>
    <w:rsid w:val="00F66319"/>
    <w:rsid w:val="00F73ED6"/>
    <w:rsid w:val="00F75D9A"/>
    <w:rsid w:val="00F85C07"/>
    <w:rsid w:val="00F9013B"/>
    <w:rsid w:val="00F951E0"/>
    <w:rsid w:val="00F969B8"/>
    <w:rsid w:val="00FA4577"/>
    <w:rsid w:val="00FA6633"/>
    <w:rsid w:val="00FB376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FA38-3FC1-4CD1-80D1-1AE5A27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4701</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cp:revision>
  <dcterms:created xsi:type="dcterms:W3CDTF">2022-10-04T21:33:00Z</dcterms:created>
  <dcterms:modified xsi:type="dcterms:W3CDTF">2022-10-04T21:54:00Z</dcterms:modified>
</cp:coreProperties>
</file>