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7488E9E"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B70782">
        <w:rPr>
          <w:rFonts w:ascii="Times New Roman" w:hAnsi="Times New Roman" w:cs="Times New Roman"/>
          <w:sz w:val="24"/>
          <w:szCs w:val="24"/>
        </w:rPr>
        <w:t>component of learning</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4FA719CF"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r w:rsidR="00A65292" w:rsidRPr="00924D50">
        <w:rPr>
          <w:rFonts w:ascii="Times New Roman" w:hAnsi="Times New Roman" w:cs="Times New Roman"/>
          <w:sz w:val="24"/>
          <w:szCs w:val="24"/>
          <w:highlight w:val="cyan"/>
        </w:rPr>
        <w:t>Halamish &amp; Undorf,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18643326"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makes no specific claims regarding the</w:t>
      </w:r>
      <w:r w:rsidR="0008518E">
        <w:rPr>
          <w:rFonts w:ascii="Times New Roman" w:hAnsi="Times New Roman" w:cs="Times New Roman"/>
          <w:sz w:val="24"/>
          <w:szCs w:val="24"/>
        </w:rPr>
        <w:t xml:space="preserv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891524">
        <w:rPr>
          <w:rFonts w:ascii="Times New Roman" w:hAnsi="Times New Roman" w:cs="Times New Roman"/>
          <w:sz w:val="24"/>
          <w:szCs w:val="24"/>
        </w:rPr>
        <w:t xml:space="preserve">that </w:t>
      </w:r>
      <w:r w:rsidR="00932C42">
        <w:rPr>
          <w:rFonts w:ascii="Times New Roman" w:hAnsi="Times New Roman" w:cs="Times New Roman"/>
          <w:sz w:val="24"/>
          <w:szCs w:val="24"/>
        </w:rPr>
        <w:t>JOLs strengthen</w:t>
      </w:r>
      <w:r w:rsidR="0008518E">
        <w:rPr>
          <w:rFonts w:ascii="Times New Roman" w:hAnsi="Times New Roman" w:cs="Times New Roman"/>
          <w:sz w:val="24"/>
          <w:szCs w:val="24"/>
        </w:rPr>
        <w:t xml:space="preserve">, it is likely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w:t>
      </w:r>
      <w:r w:rsidR="00891524">
        <w:rPr>
          <w:rFonts w:ascii="Times New Roman" w:hAnsi="Times New Roman" w:cs="Times New Roman"/>
          <w:sz w:val="24"/>
          <w:szCs w:val="24"/>
        </w:rPr>
        <w:t>as</w:t>
      </w:r>
      <w:r w:rsidR="0008518E">
        <w:rPr>
          <w:rFonts w:ascii="Times New Roman" w:hAnsi="Times New Roman" w:cs="Times New Roman"/>
          <w:sz w:val="24"/>
          <w:szCs w:val="24"/>
        </w:rPr>
        <w:t xml:space="preserve"> pair 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explored the degree to which 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recall for participants </w:t>
      </w:r>
      <w:r w:rsidR="00F43B13">
        <w:rPr>
          <w:rFonts w:ascii="Times New Roman" w:hAnsi="Times New Roman" w:cs="Times New Roman"/>
          <w:sz w:val="24"/>
          <w:szCs w:val="24"/>
        </w:rPr>
        <w:lastRenderedPageBreak/>
        <w:t xml:space="preserve">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Halamish and Undorf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54003123"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As noted above, most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Dunlosky,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273AC0D7"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when using categorized and uncategorized single-item lists,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Koriat’s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given that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ingle-item 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given that participants must assess how the item relates back to previously presented items within the 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50E43AF5"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explaining the role intrinsic cues as an underlying factor for reactivity to occur</w:t>
      </w:r>
      <w:r w:rsidR="004E688F">
        <w:rPr>
          <w:rFonts w:ascii="Times New Roman" w:hAnsi="Times New Roman" w:cs="Times New Roman"/>
          <w:sz w:val="24"/>
          <w:szCs w:val="24"/>
        </w:rPr>
        <w:t xml:space="preserve"> on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driving JOL reactivity with cue-target pairs would similarly affect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a notable</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r w:rsidR="00403356" w:rsidRPr="00403356">
        <w:rPr>
          <w:rFonts w:ascii="Times New Roman" w:hAnsi="Times New Roman" w:cs="Times New Roman"/>
          <w:color w:val="000000" w:themeColor="text1"/>
          <w:sz w:val="24"/>
          <w:szCs w:val="24"/>
          <w:highlight w:val="cyan"/>
        </w:rPr>
        <w:t>Senkova and Otani (2021)</w:t>
      </w:r>
      <w:r w:rsidR="00403356">
        <w:rPr>
          <w:rFonts w:ascii="Times New Roman" w:hAnsi="Times New Roman" w:cs="Times New Roman"/>
          <w:sz w:val="24"/>
          <w:szCs w:val="24"/>
        </w:rPr>
        <w:t xml:space="preserve"> assessed the effect of list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Senkova and Otani argued that positive JOL reactivity reported on categorized wordlists reflected an item-specific process rather than a relational encoding process. Considered alongside findings investigating the effects of relatedness on reactivity with cue-target pairs (e.g., Halamish &amp; Undorf, 2023; Maxwell &amp; Huff, 2022), it is likely 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75BC5E60"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making these judgments on categorized and uncategorized lists. As such, the present study sought to first replicate findings from Senkova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categorized lists </w:t>
      </w:r>
      <w:r w:rsidR="004E688F">
        <w:rPr>
          <w:rFonts w:ascii="Times New Roman" w:hAnsi="Times New Roman" w:cs="Times New Roman"/>
          <w:sz w:val="24"/>
          <w:szCs w:val="24"/>
        </w:rPr>
        <w:t>show</w:t>
      </w:r>
      <w:r w:rsidR="00F64E93">
        <w:rPr>
          <w:rFonts w:ascii="Times New Roman" w:hAnsi="Times New Roman" w:cs="Times New Roman"/>
          <w:sz w:val="24"/>
          <w:szCs w:val="24"/>
        </w:rPr>
        <w:t xml:space="preserve"> a greater memorial benefit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using both</w:t>
      </w:r>
      <w:r w:rsidR="00F64E93">
        <w:rPr>
          <w:rFonts w:ascii="Times New Roman" w:hAnsi="Times New Roman" w:cs="Times New Roman"/>
          <w:sz w:val="24"/>
          <w:szCs w:val="24"/>
        </w:rPr>
        <w:t xml:space="preserve"> free-recall (Experiment 1A) and 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7F59E286"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reported by Senkova and Otani (2021) showing that JOLs improve free-recall of </w:t>
      </w:r>
      <w:r w:rsidR="00EE04C7">
        <w:rPr>
          <w:rFonts w:ascii="Times New Roman" w:hAnsi="Times New Roman" w:cs="Times New Roman"/>
          <w:sz w:val="24"/>
          <w:szCs w:val="24"/>
        </w:rPr>
        <w:t>categorized but not uncategorized single-item lists.</w:t>
      </w:r>
      <w:r>
        <w:rPr>
          <w:rFonts w:ascii="Times New Roman" w:hAnsi="Times New Roman" w:cs="Times New Roman"/>
          <w:sz w:val="24"/>
          <w:szCs w:val="24"/>
        </w:rPr>
        <w:t xml:space="preserve"> </w:t>
      </w:r>
      <w:r w:rsidR="00852EC3">
        <w:rPr>
          <w:rFonts w:ascii="Times New Roman" w:hAnsi="Times New Roman" w:cs="Times New Roman"/>
          <w:sz w:val="24"/>
          <w:szCs w:val="24"/>
        </w:rPr>
        <w:t>As such</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in which participants silently read each item</w:t>
      </w:r>
      <w:r>
        <w:rPr>
          <w:rFonts w:ascii="Times New Roman" w:hAnsi="Times New Roman" w:cs="Times New Roman"/>
          <w:sz w:val="24"/>
          <w:szCs w:val="24"/>
        </w:rPr>
        <w:t xml:space="preserve">. Based on </w:t>
      </w:r>
      <w:r w:rsidR="00EE04C7">
        <w:rPr>
          <w:rFonts w:ascii="Times New Roman" w:hAnsi="Times New Roman" w:cs="Times New Roman"/>
          <w:sz w:val="24"/>
          <w:szCs w:val="24"/>
        </w:rPr>
        <w:t>previous research, it was expected that making JOLs would</w:t>
      </w:r>
      <w:r w:rsidR="00852EC3">
        <w:rPr>
          <w:rFonts w:ascii="Times New Roman" w:hAnsi="Times New Roman" w:cs="Times New Roman"/>
          <w:sz w:val="24"/>
          <w:szCs w:val="24"/>
        </w:rPr>
        <w:t xml:space="preserve"> </w:t>
      </w:r>
      <w:r w:rsidR="00EE04C7" w:rsidRPr="00C11878">
        <w:rPr>
          <w:rFonts w:ascii="Times New Roman" w:hAnsi="Times New Roman" w:cs="Times New Roman"/>
          <w:sz w:val="24"/>
          <w:szCs w:val="24"/>
          <w:highlight w:val="yellow"/>
        </w:rPr>
        <w:t>[PREDICTIONS]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Faul, Erdfelder,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w:t>
      </w:r>
      <w:r>
        <w:rPr>
          <w:rFonts w:ascii="Times New Roman" w:hAnsi="Times New Roman" w:cs="Times New Roman"/>
          <w:sz w:val="24"/>
          <w:szCs w:val="24"/>
        </w:rPr>
        <w:lastRenderedPageBreak/>
        <w:t xml:space="preserve">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040780FA"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all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xml:space="preserve">). This analysis compares two models, one </w:t>
      </w:r>
      <w:r w:rsidR="00717324">
        <w:rPr>
          <w:rFonts w:ascii="Times New Roman" w:hAnsi="Times New Roman" w:cs="Times New Roman"/>
          <w:sz w:val="24"/>
          <w:szCs w:val="24"/>
        </w:rPr>
        <w:t>of which assumes</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5F0C1B">
        <w:rPr>
          <w:rFonts w:ascii="Times New Roman" w:hAnsi="Times New Roman" w:cs="Times New Roman"/>
          <w:sz w:val="24"/>
          <w:szCs w:val="24"/>
        </w:rPr>
        <w:t xml:space="preserve">with the </w:t>
      </w:r>
      <w:r w:rsidR="00717324">
        <w:rPr>
          <w:rFonts w:ascii="Times New Roman" w:hAnsi="Times New Roman" w:cs="Times New Roman"/>
          <w:sz w:val="24"/>
          <w:szCs w:val="24"/>
        </w:rPr>
        <w:t>other</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5F0C1B">
        <w:rPr>
          <w:rFonts w:ascii="Times New Roman" w:hAnsi="Times New Roman" w:cs="Times New Roman"/>
          <w:sz w:val="24"/>
          <w:szCs w:val="24"/>
        </w:rPr>
        <w:t xml:space="preserve"> and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value </w:t>
      </w:r>
      <w:r w:rsidR="00172BF1" w:rsidRPr="00883ACD">
        <w:rPr>
          <w:rFonts w:ascii="Times New Roman" w:hAnsi="Times New Roman" w:cs="Times New Roman"/>
          <w:sz w:val="24"/>
          <w:szCs w:val="24"/>
        </w:rPr>
        <w:t xml:space="preserve">estimates the probability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5F0C1B">
        <w:rPr>
          <w:rFonts w:ascii="Times New Roman" w:hAnsi="Times New Roman" w:cs="Times New Roman"/>
          <w:sz w:val="24"/>
          <w:szCs w:val="24"/>
        </w:rPr>
        <w:t xml:space="preserve"> and </w:t>
      </w:r>
      <w:r w:rsidR="00172BF1" w:rsidRPr="00883ACD">
        <w:rPr>
          <w:rFonts w:ascii="Times New Roman" w:hAnsi="Times New Roman" w:cs="Times New Roman"/>
          <w:sz w:val="24"/>
          <w:szCs w:val="24"/>
        </w:rPr>
        <w:t>is sensitive to the sample size, providing increased confidence in null effects reported. F</w:t>
      </w:r>
      <w:r w:rsidR="005F0C1B">
        <w:rPr>
          <w:rFonts w:ascii="Times New Roman" w:hAnsi="Times New Roman" w:cs="Times New Roman"/>
          <w:sz w:val="24"/>
          <w:szCs w:val="24"/>
        </w:rPr>
        <w:t>inally, f</w:t>
      </w:r>
      <w:r w:rsidR="00172BF1" w:rsidRPr="00883ACD">
        <w:rPr>
          <w:rFonts w:ascii="Times New Roman" w:hAnsi="Times New Roman" w:cs="Times New Roman"/>
          <w:sz w:val="24"/>
          <w:szCs w:val="24"/>
        </w:rPr>
        <w:t xml:space="preserve">or completeness, </w:t>
      </w:r>
      <w:r w:rsidR="005F0C1B">
        <w:rPr>
          <w:rFonts w:ascii="Times New Roman" w:hAnsi="Times New Roman" w:cs="Times New Roman"/>
          <w:sz w:val="24"/>
          <w:szCs w:val="24"/>
        </w:rPr>
        <w:t>all comparisons are reported in the Appendix (Table A</w:t>
      </w:r>
      <w:r w:rsidR="005F0C1B" w:rsidRPr="005F0C1B">
        <w:rPr>
          <w:rFonts w:ascii="Times New Roman" w:hAnsi="Times New Roman" w:cs="Times New Roman"/>
          <w:sz w:val="24"/>
          <w:szCs w:val="24"/>
          <w:highlight w:val="green"/>
        </w:rPr>
        <w:t>X</w:t>
      </w:r>
      <w:r w:rsidR="005F0C1B">
        <w:rPr>
          <w:rFonts w:ascii="Times New Roman" w:hAnsi="Times New Roman" w:cs="Times New Roman"/>
          <w:sz w:val="24"/>
          <w:szCs w:val="24"/>
        </w:rPr>
        <w:t>).</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w:t>
      </w:r>
      <w:r>
        <w:rPr>
          <w:rFonts w:ascii="Times New Roman" w:hAnsi="Times New Roman" w:cs="Times New Roman"/>
          <w:sz w:val="24"/>
          <w:szCs w:val="24"/>
        </w:rPr>
        <w:lastRenderedPageBreak/>
        <w:t>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7CB998C"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recruited from Midwestern State University who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Pr>
          <w:rFonts w:ascii="Times New Roman" w:hAnsi="Times New Roman" w:cs="Times New Roman"/>
          <w:sz w:val="24"/>
          <w:szCs w:val="24"/>
        </w:rPr>
        <w:t xml:space="preserve">,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A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7AC4F7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1B used the same stimuli and materials as Experiment 1A, with the exception that the free-recall test</w:t>
      </w:r>
      <w:r w:rsidR="00852EC3">
        <w:rPr>
          <w:rFonts w:ascii="Times New Roman" w:hAnsi="Times New Roman" w:cs="Times New Roman"/>
          <w:sz w:val="24"/>
          <w:szCs w:val="24"/>
        </w:rPr>
        <w:t xml:space="preserve">s used in Experiment 1A </w:t>
      </w:r>
      <w:r>
        <w:rPr>
          <w:rFonts w:ascii="Times New Roman" w:hAnsi="Times New Roman" w:cs="Times New Roman"/>
          <w:sz w:val="24"/>
          <w:szCs w:val="24"/>
        </w:rPr>
        <w:t xml:space="preserve">were replaced with </w:t>
      </w:r>
      <w:r w:rsidR="00852EC3">
        <w:rPr>
          <w:rFonts w:ascii="Times New Roman" w:hAnsi="Times New Roman" w:cs="Times New Roman"/>
          <w:sz w:val="24"/>
          <w:szCs w:val="24"/>
        </w:rPr>
        <w:t>a single, 80-item old/new recognition test, which was presented following the final study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w:t>
      </w:r>
      <w:r w:rsidR="00852EC3">
        <w:rPr>
          <w:rFonts w:ascii="Times New Roman" w:hAnsi="Times New Roman" w:cs="Times New Roman"/>
          <w:sz w:val="24"/>
          <w:szCs w:val="24"/>
        </w:rPr>
        <w:lastRenderedPageBreak/>
        <w:t xml:space="preserve">to-back, with the order of list presentation randomized across participants. All JOL instructions were identical to Experiment 1A, and depending on their encoding group, participants either made JOLs concurrent with study, made list-wise JOLs following the completion of each list, or read each word silently. Consistent with the previous experiment, all encoding was self-paced. </w:t>
      </w:r>
    </w:p>
    <w:p w14:paraId="71211E8A" w14:textId="61E67426"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 xml:space="preserve">Immediately after this task, </w:t>
      </w:r>
      <w:r w:rsidR="00716E5D" w:rsidRPr="00716E5D">
        <w:rPr>
          <w:rFonts w:ascii="Times New Roman" w:hAnsi="Times New Roman" w:cs="Times New Roman"/>
          <w:sz w:val="24"/>
          <w:szCs w:val="24"/>
          <w:highlight w:val="yellow"/>
        </w:rPr>
        <w:t>[DESCRIBE THE RECOGNITION TEST]</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08C1C7AA"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[MSU TEXAS]</w:t>
      </w:r>
    </w:p>
    <w:p w14:paraId="67339A4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B23650"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CDA6E75"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2CC5EB7"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6C3C1" w14:textId="77777777" w:rsidR="004A4594" w:rsidRDefault="004A4594" w:rsidP="00CC28FF">
      <w:pPr>
        <w:spacing w:after="0" w:line="240" w:lineRule="auto"/>
      </w:pPr>
      <w:r>
        <w:separator/>
      </w:r>
    </w:p>
  </w:endnote>
  <w:endnote w:type="continuationSeparator" w:id="0">
    <w:p w14:paraId="6F7DFAAE" w14:textId="77777777" w:rsidR="004A4594" w:rsidRDefault="004A4594"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C0BF8" w14:textId="77777777" w:rsidR="004A4594" w:rsidRDefault="004A4594" w:rsidP="00CC28FF">
      <w:pPr>
        <w:spacing w:after="0" w:line="240" w:lineRule="auto"/>
      </w:pPr>
      <w:r>
        <w:separator/>
      </w:r>
    </w:p>
  </w:footnote>
  <w:footnote w:type="continuationSeparator" w:id="0">
    <w:p w14:paraId="436B24B4" w14:textId="77777777" w:rsidR="004A4594" w:rsidRDefault="004A4594"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114657"/>
    <w:rsid w:val="00162E4C"/>
    <w:rsid w:val="00172BF1"/>
    <w:rsid w:val="00191838"/>
    <w:rsid w:val="001D1866"/>
    <w:rsid w:val="001F67CC"/>
    <w:rsid w:val="00212B51"/>
    <w:rsid w:val="002B231B"/>
    <w:rsid w:val="002D1E69"/>
    <w:rsid w:val="002E2652"/>
    <w:rsid w:val="00340E64"/>
    <w:rsid w:val="003530B9"/>
    <w:rsid w:val="00373541"/>
    <w:rsid w:val="003A666C"/>
    <w:rsid w:val="003A7E9B"/>
    <w:rsid w:val="003B24A4"/>
    <w:rsid w:val="003C7B6F"/>
    <w:rsid w:val="003D0BCA"/>
    <w:rsid w:val="003E00D4"/>
    <w:rsid w:val="003F797F"/>
    <w:rsid w:val="00403356"/>
    <w:rsid w:val="00424BAE"/>
    <w:rsid w:val="00427928"/>
    <w:rsid w:val="00485DFF"/>
    <w:rsid w:val="0049062F"/>
    <w:rsid w:val="004A4594"/>
    <w:rsid w:val="004C4BEA"/>
    <w:rsid w:val="004E0D99"/>
    <w:rsid w:val="004E1C3A"/>
    <w:rsid w:val="004E688F"/>
    <w:rsid w:val="004F15CC"/>
    <w:rsid w:val="00585567"/>
    <w:rsid w:val="005B10DE"/>
    <w:rsid w:val="005E2264"/>
    <w:rsid w:val="005F0C1B"/>
    <w:rsid w:val="006217CB"/>
    <w:rsid w:val="006339E0"/>
    <w:rsid w:val="00642A60"/>
    <w:rsid w:val="006601A6"/>
    <w:rsid w:val="00686182"/>
    <w:rsid w:val="006B624F"/>
    <w:rsid w:val="006C3BE8"/>
    <w:rsid w:val="006F5A95"/>
    <w:rsid w:val="006F714B"/>
    <w:rsid w:val="00716E5D"/>
    <w:rsid w:val="00717324"/>
    <w:rsid w:val="00753857"/>
    <w:rsid w:val="0075547F"/>
    <w:rsid w:val="007A770B"/>
    <w:rsid w:val="007B1864"/>
    <w:rsid w:val="007B77F1"/>
    <w:rsid w:val="007F1018"/>
    <w:rsid w:val="008343B5"/>
    <w:rsid w:val="00852EC3"/>
    <w:rsid w:val="00891524"/>
    <w:rsid w:val="008A749B"/>
    <w:rsid w:val="008B6E3B"/>
    <w:rsid w:val="008D03F9"/>
    <w:rsid w:val="008E163C"/>
    <w:rsid w:val="009036BE"/>
    <w:rsid w:val="00924D50"/>
    <w:rsid w:val="00932C42"/>
    <w:rsid w:val="0099345D"/>
    <w:rsid w:val="009C3EA3"/>
    <w:rsid w:val="009D02CC"/>
    <w:rsid w:val="00A130EE"/>
    <w:rsid w:val="00A17957"/>
    <w:rsid w:val="00A56631"/>
    <w:rsid w:val="00A65292"/>
    <w:rsid w:val="00A70A86"/>
    <w:rsid w:val="00A76999"/>
    <w:rsid w:val="00AA4A1B"/>
    <w:rsid w:val="00AC032B"/>
    <w:rsid w:val="00AC0DFF"/>
    <w:rsid w:val="00AC3297"/>
    <w:rsid w:val="00AE0A9F"/>
    <w:rsid w:val="00B4535E"/>
    <w:rsid w:val="00B5675F"/>
    <w:rsid w:val="00B70782"/>
    <w:rsid w:val="00B72471"/>
    <w:rsid w:val="00BB7740"/>
    <w:rsid w:val="00BD6E9D"/>
    <w:rsid w:val="00C0441F"/>
    <w:rsid w:val="00C10203"/>
    <w:rsid w:val="00C11288"/>
    <w:rsid w:val="00C11878"/>
    <w:rsid w:val="00C542AA"/>
    <w:rsid w:val="00C557E7"/>
    <w:rsid w:val="00C61ADC"/>
    <w:rsid w:val="00C645A5"/>
    <w:rsid w:val="00C765DD"/>
    <w:rsid w:val="00C81412"/>
    <w:rsid w:val="00C90BC3"/>
    <w:rsid w:val="00CA3CDB"/>
    <w:rsid w:val="00CC01C8"/>
    <w:rsid w:val="00CC28FF"/>
    <w:rsid w:val="00CD0D1A"/>
    <w:rsid w:val="00CD5801"/>
    <w:rsid w:val="00CE6D70"/>
    <w:rsid w:val="00CE76EA"/>
    <w:rsid w:val="00D20FA3"/>
    <w:rsid w:val="00D768DA"/>
    <w:rsid w:val="00D853BF"/>
    <w:rsid w:val="00DE49CF"/>
    <w:rsid w:val="00DF3032"/>
    <w:rsid w:val="00E35B8A"/>
    <w:rsid w:val="00E6011E"/>
    <w:rsid w:val="00E6552C"/>
    <w:rsid w:val="00E902A1"/>
    <w:rsid w:val="00EB038F"/>
    <w:rsid w:val="00EE04C7"/>
    <w:rsid w:val="00EE6FE5"/>
    <w:rsid w:val="00F0159C"/>
    <w:rsid w:val="00F2724C"/>
    <w:rsid w:val="00F40BB1"/>
    <w:rsid w:val="00F43B13"/>
    <w:rsid w:val="00F443EF"/>
    <w:rsid w:val="00F6173F"/>
    <w:rsid w:val="00F6351D"/>
    <w:rsid w:val="00F63796"/>
    <w:rsid w:val="00F64E93"/>
    <w:rsid w:val="00F84AFD"/>
    <w:rsid w:val="00F9396C"/>
    <w:rsid w:val="00FA3488"/>
    <w:rsid w:val="00FD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2065</TotalTime>
  <Pages>17</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91</cp:revision>
  <dcterms:created xsi:type="dcterms:W3CDTF">2023-07-06T14:48:00Z</dcterms:created>
  <dcterms:modified xsi:type="dcterms:W3CDTF">2023-10-29T16:29:00Z</dcterms:modified>
</cp:coreProperties>
</file>