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47488E9E"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B70782">
        <w:rPr>
          <w:rFonts w:ascii="Times New Roman" w:hAnsi="Times New Roman" w:cs="Times New Roman"/>
          <w:sz w:val="24"/>
          <w:szCs w:val="24"/>
        </w:rPr>
        <w:t>component of learning</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4FA719CF"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Janes, Rivers, &amp; Dunlosky,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r w:rsidR="00A65292" w:rsidRPr="00924D50">
        <w:rPr>
          <w:rFonts w:ascii="Times New Roman" w:hAnsi="Times New Roman" w:cs="Times New Roman"/>
          <w:sz w:val="24"/>
          <w:szCs w:val="24"/>
          <w:highlight w:val="cyan"/>
        </w:rPr>
        <w:t>Halamish &amp; Undorf,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6EC30EDF"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08518E">
        <w:rPr>
          <w:rFonts w:ascii="Times New Roman" w:hAnsi="Times New Roman" w:cs="Times New Roman"/>
          <w:sz w:val="24"/>
          <w:szCs w:val="24"/>
        </w:rPr>
        <w:t xml:space="preserve">does not </w:t>
      </w:r>
      <w:r w:rsidR="00686182">
        <w:rPr>
          <w:rFonts w:ascii="Times New Roman" w:hAnsi="Times New Roman" w:cs="Times New Roman"/>
          <w:sz w:val="24"/>
          <w:szCs w:val="24"/>
        </w:rPr>
        <w:t xml:space="preserve">explicitly </w:t>
      </w:r>
      <w:r w:rsidR="0008518E">
        <w:rPr>
          <w:rFonts w:ascii="Times New Roman" w:hAnsi="Times New Roman" w:cs="Times New Roman"/>
          <w:sz w:val="24"/>
          <w:szCs w:val="24"/>
        </w:rPr>
        <w:t xml:space="preserve">specify the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932C42">
        <w:rPr>
          <w:rFonts w:ascii="Times New Roman" w:hAnsi="Times New Roman" w:cs="Times New Roman"/>
          <w:sz w:val="24"/>
          <w:szCs w:val="24"/>
        </w:rPr>
        <w:t>which JOLs strengthen</w:t>
      </w:r>
      <w:r w:rsidR="0008518E">
        <w:rPr>
          <w:rFonts w:ascii="Times New Roman" w:hAnsi="Times New Roman" w:cs="Times New Roman"/>
          <w:sz w:val="24"/>
          <w:szCs w:val="24"/>
        </w:rPr>
        <w:t xml:space="preserve">, it is likely </w:t>
      </w:r>
      <w:r w:rsidR="003A666C">
        <w:rPr>
          <w:rFonts w:ascii="Times New Roman" w:hAnsi="Times New Roman" w:cs="Times New Roman"/>
          <w:sz w:val="24"/>
          <w:szCs w:val="24"/>
        </w:rPr>
        <w:t>th</w:t>
      </w:r>
      <w:r w:rsidR="00686182">
        <w:rPr>
          <w:rFonts w:ascii="Times New Roman" w:hAnsi="Times New Roman" w:cs="Times New Roman"/>
          <w:sz w:val="24"/>
          <w:szCs w:val="24"/>
        </w:rPr>
        <w:t>at</w:t>
      </w:r>
      <w:r w:rsidR="003A666C">
        <w:rPr>
          <w:rFonts w:ascii="Times New Roman" w:hAnsi="Times New Roman" w:cs="Times New Roman"/>
          <w:sz w:val="24"/>
          <w:szCs w:val="24"/>
        </w:rPr>
        <w:t xml:space="preserve"> </w:t>
      </w:r>
      <w:r w:rsidR="00686182">
        <w:rPr>
          <w:rFonts w:ascii="Times New Roman" w:hAnsi="Times New Roman" w:cs="Times New Roman"/>
          <w:sz w:val="24"/>
          <w:szCs w:val="24"/>
        </w:rPr>
        <w:t>making</w:t>
      </w:r>
      <w:r w:rsidR="0008518E">
        <w:rPr>
          <w:rFonts w:ascii="Times New Roman" w:hAnsi="Times New Roman" w:cs="Times New Roman"/>
          <w:sz w:val="24"/>
          <w:szCs w:val="24"/>
        </w:rPr>
        <w:t xml:space="preserve">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strengthens</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given that pair relatedness is a highly salient cue for later remembering </w:t>
      </w:r>
      <w:r w:rsidR="0008518E" w:rsidRPr="0008518E">
        <w:rPr>
          <w:rFonts w:ascii="Times New Roman" w:hAnsi="Times New Roman" w:cs="Times New Roman"/>
          <w:sz w:val="24"/>
          <w:szCs w:val="24"/>
          <w:highlight w:val="cyan"/>
        </w:rPr>
        <w:t>(Mueller, Tauber, &amp; Dunlosky,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explored the degree to which 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w:t>
      </w:r>
      <w:r w:rsidR="00F43B13">
        <w:rPr>
          <w:rFonts w:ascii="Times New Roman" w:hAnsi="Times New Roman" w:cs="Times New Roman"/>
          <w:sz w:val="24"/>
          <w:szCs w:val="24"/>
        </w:rPr>
        <w:lastRenderedPageBreak/>
        <w:t xml:space="preserve">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6DC3ADA3"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Halamish and Undorf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54003123"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As noted above, most work investigating JOL reactivity has 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potential memory changes</w:t>
      </w:r>
      <w:r>
        <w:rPr>
          <w:rFonts w:ascii="Times New Roman" w:hAnsi="Times New Roman" w:cs="Times New Roman"/>
          <w:sz w:val="24"/>
          <w:szCs w:val="24"/>
        </w:rPr>
        <w:t xml:space="preserve">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w:t>
      </w:r>
      <w:r>
        <w:rPr>
          <w:rFonts w:ascii="Times New Roman" w:hAnsi="Times New Roman" w:cs="Times New Roman"/>
          <w:sz w:val="24"/>
          <w:szCs w:val="24"/>
        </w:rPr>
        <w:lastRenderedPageBreak/>
        <w:t xml:space="preserve">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Dunlosky,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xml:space="preserve">, Chang </w:t>
      </w:r>
      <w:r w:rsidR="00A76999">
        <w:rPr>
          <w:rFonts w:ascii="Times New Roman" w:hAnsi="Times New Roman" w:cs="Times New Roman"/>
          <w:sz w:val="24"/>
          <w:szCs w:val="24"/>
        </w:rPr>
        <w:t>and</w:t>
      </w:r>
      <w:r w:rsidR="00AC0DFF">
        <w:rPr>
          <w:rFonts w:ascii="Times New Roman" w:hAnsi="Times New Roman" w:cs="Times New Roman"/>
          <w:sz w:val="24"/>
          <w:szCs w:val="24"/>
        </w:rPr>
        <w:t xml:space="preserve">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273AC0D7"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when using categorized and uncategorized single-item lists,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Koriat’s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given that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ingle-item 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given that participants must assess how the item relates back to previously presented items within the 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50E43AF5"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current theories of JOL reactivity </w:t>
      </w:r>
      <w:r w:rsidR="004E688F">
        <w:rPr>
          <w:rFonts w:ascii="Times New Roman" w:hAnsi="Times New Roman" w:cs="Times New Roman"/>
          <w:sz w:val="24"/>
          <w:szCs w:val="24"/>
        </w:rPr>
        <w:t xml:space="preserve">primarily </w:t>
      </w:r>
      <w:r w:rsidR="00C90BC3">
        <w:rPr>
          <w:rFonts w:ascii="Times New Roman" w:hAnsi="Times New Roman" w:cs="Times New Roman"/>
          <w:sz w:val="24"/>
          <w:szCs w:val="24"/>
        </w:rPr>
        <w:t xml:space="preserve">focus on </w:t>
      </w:r>
      <w:r w:rsidR="00C90BC3">
        <w:rPr>
          <w:rFonts w:ascii="Times New Roman" w:hAnsi="Times New Roman" w:cs="Times New Roman"/>
          <w:sz w:val="24"/>
          <w:szCs w:val="24"/>
        </w:rPr>
        <w:lastRenderedPageBreak/>
        <w:t>explaining the role intrinsic cues as an underlying factor for reactivity to occur</w:t>
      </w:r>
      <w:r w:rsidR="004E688F">
        <w:rPr>
          <w:rFonts w:ascii="Times New Roman" w:hAnsi="Times New Roman" w:cs="Times New Roman"/>
          <w:sz w:val="24"/>
          <w:szCs w:val="24"/>
        </w:rPr>
        <w:t xml:space="preserve"> on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F0159C">
        <w:rPr>
          <w:rFonts w:ascii="Times New Roman" w:hAnsi="Times New Roman" w:cs="Times New Roman"/>
          <w:sz w:val="24"/>
          <w:szCs w:val="24"/>
        </w:rPr>
        <w:t xml:space="preserve">Thus, it remains unclear whether the relatedness effects driving JOL reactivity with cue-target pairs would similarly affect categorized word lists.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a notable</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r w:rsidR="00403356" w:rsidRPr="00403356">
        <w:rPr>
          <w:rFonts w:ascii="Times New Roman" w:hAnsi="Times New Roman" w:cs="Times New Roman"/>
          <w:color w:val="000000" w:themeColor="text1"/>
          <w:sz w:val="24"/>
          <w:szCs w:val="24"/>
          <w:highlight w:val="cyan"/>
        </w:rPr>
        <w:t>Senkova and Otani (2021)</w:t>
      </w:r>
      <w:r w:rsidR="00403356">
        <w:rPr>
          <w:rFonts w:ascii="Times New Roman" w:hAnsi="Times New Roman" w:cs="Times New Roman"/>
          <w:sz w:val="24"/>
          <w:szCs w:val="24"/>
        </w:rPr>
        <w:t xml:space="preserve"> assessed the effect of list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Senkova and Otani argued that positive JOL reactivity reported on categorized wordlists reflected an item-specific process rather than a relational encoding process. Considered alongside findings investigating the effects of relatedness on reactivity with cue-target pairs (e.g., Halamish &amp; Undorf, 2023; Maxwell &amp; Huff, 2022), it is likely that JOL reactivity reflects different underlying processes based on the type of stimuli that participants study.</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75BC5E60"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making these judgments on categorized and uncategorized lists. As such, the present study sought to first replicate findings from Senkova and </w:t>
      </w:r>
      <w:r w:rsidR="00F64E93">
        <w:rPr>
          <w:rFonts w:ascii="Times New Roman" w:hAnsi="Times New Roman" w:cs="Times New Roman"/>
          <w:sz w:val="24"/>
          <w:szCs w:val="24"/>
        </w:rPr>
        <w:lastRenderedPageBreak/>
        <w:t xml:space="preserve">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categorized lists </w:t>
      </w:r>
      <w:r w:rsidR="004E688F">
        <w:rPr>
          <w:rFonts w:ascii="Times New Roman" w:hAnsi="Times New Roman" w:cs="Times New Roman"/>
          <w:sz w:val="24"/>
          <w:szCs w:val="24"/>
        </w:rPr>
        <w:t>show</w:t>
      </w:r>
      <w:r w:rsidR="00F64E93">
        <w:rPr>
          <w:rFonts w:ascii="Times New Roman" w:hAnsi="Times New Roman" w:cs="Times New Roman"/>
          <w:sz w:val="24"/>
          <w:szCs w:val="24"/>
        </w:rPr>
        <w:t xml:space="preserve"> a greater memorial benefit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using both</w:t>
      </w:r>
      <w:r w:rsidR="00F64E93">
        <w:rPr>
          <w:rFonts w:ascii="Times New Roman" w:hAnsi="Times New Roman" w:cs="Times New Roman"/>
          <w:sz w:val="24"/>
          <w:szCs w:val="24"/>
        </w:rPr>
        <w:t xml:space="preserve"> free-recall (Experiment 1A) and 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6713136C"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previous findings reported by Senkova and Otani (2021) showing that JOLs improve free-recall of </w:t>
      </w:r>
      <w:r w:rsidR="00EE04C7">
        <w:rPr>
          <w:rFonts w:ascii="Times New Roman" w:hAnsi="Times New Roman" w:cs="Times New Roman"/>
          <w:sz w:val="24"/>
          <w:szCs w:val="24"/>
        </w:rPr>
        <w:t>categorized but not uncategorized single-item lists.</w:t>
      </w:r>
      <w:r>
        <w:rPr>
          <w:rFonts w:ascii="Times New Roman" w:hAnsi="Times New Roman" w:cs="Times New Roman"/>
          <w:sz w:val="24"/>
          <w:szCs w:val="24"/>
        </w:rPr>
        <w:t xml:space="preserve"> </w:t>
      </w:r>
      <w:r w:rsidR="00EE04C7">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in which participants silently read each item</w:t>
      </w:r>
      <w:r>
        <w:rPr>
          <w:rFonts w:ascii="Times New Roman" w:hAnsi="Times New Roman" w:cs="Times New Roman"/>
          <w:sz w:val="24"/>
          <w:szCs w:val="24"/>
        </w:rPr>
        <w:t xml:space="preserve">. Based on </w:t>
      </w:r>
      <w:r w:rsidR="00EE04C7">
        <w:rPr>
          <w:rFonts w:ascii="Times New Roman" w:hAnsi="Times New Roman" w:cs="Times New Roman"/>
          <w:sz w:val="24"/>
          <w:szCs w:val="24"/>
        </w:rPr>
        <w:t xml:space="preserve">previous research, it was expected that making JOLs would </w:t>
      </w:r>
      <w:r w:rsidR="00EE04C7" w:rsidRPr="00C11878">
        <w:rPr>
          <w:rFonts w:ascii="Times New Roman" w:hAnsi="Times New Roman" w:cs="Times New Roman"/>
          <w:sz w:val="24"/>
          <w:szCs w:val="24"/>
          <w:highlight w:val="yellow"/>
        </w:rPr>
        <w:t>[PREDICTIONS]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r w:rsidR="00212B51" w:rsidRPr="00212B51">
        <w:rPr>
          <w:rFonts w:ascii="Times New Roman" w:hAnsi="Times New Roman" w:cs="Times New Roman"/>
          <w:sz w:val="24"/>
          <w:szCs w:val="24"/>
          <w:highlight w:val="cyan"/>
        </w:rPr>
        <w:t>Faul, Erdfelder, Buchner, &amp; Lang, 2009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w:t>
      </w:r>
      <w:r>
        <w:rPr>
          <w:rFonts w:ascii="Times New Roman" w:hAnsi="Times New Roman" w:cs="Times New Roman"/>
          <w:sz w:val="24"/>
          <w:szCs w:val="24"/>
        </w:rPr>
        <w:lastRenderedPageBreak/>
        <w:t xml:space="preserve">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040780FA"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all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r w:rsidR="00172BF1" w:rsidRPr="002D1E69">
        <w:rPr>
          <w:rFonts w:ascii="Times New Roman" w:hAnsi="Times New Roman" w:cs="Times New Roman"/>
          <w:sz w:val="24"/>
          <w:szCs w:val="24"/>
          <w:highlight w:val="cyan"/>
        </w:rPr>
        <w:t>Wagenmakers, 2007</w:t>
      </w:r>
      <w:r w:rsidR="00172BF1" w:rsidRPr="00883ACD">
        <w:rPr>
          <w:rFonts w:ascii="Times New Roman" w:hAnsi="Times New Roman" w:cs="Times New Roman"/>
          <w:sz w:val="24"/>
          <w:szCs w:val="24"/>
        </w:rPr>
        <w:t xml:space="preserve">). This analysis compares two models, one </w:t>
      </w:r>
      <w:r w:rsidR="00717324">
        <w:rPr>
          <w:rFonts w:ascii="Times New Roman" w:hAnsi="Times New Roman" w:cs="Times New Roman"/>
          <w:sz w:val="24"/>
          <w:szCs w:val="24"/>
        </w:rPr>
        <w:t>of which assumes</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5F0C1B">
        <w:rPr>
          <w:rFonts w:ascii="Times New Roman" w:hAnsi="Times New Roman" w:cs="Times New Roman"/>
          <w:sz w:val="24"/>
          <w:szCs w:val="24"/>
        </w:rPr>
        <w:t xml:space="preserve">with the </w:t>
      </w:r>
      <w:r w:rsidR="00717324">
        <w:rPr>
          <w:rFonts w:ascii="Times New Roman" w:hAnsi="Times New Roman" w:cs="Times New Roman"/>
          <w:sz w:val="24"/>
          <w:szCs w:val="24"/>
        </w:rPr>
        <w:t>other</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5F0C1B">
        <w:rPr>
          <w:rFonts w:ascii="Times New Roman" w:hAnsi="Times New Roman" w:cs="Times New Roman"/>
          <w:sz w:val="24"/>
          <w:szCs w:val="24"/>
        </w:rPr>
        <w:t xml:space="preserve"> and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value </w:t>
      </w:r>
      <w:r w:rsidR="00172BF1" w:rsidRPr="00883ACD">
        <w:rPr>
          <w:rFonts w:ascii="Times New Roman" w:hAnsi="Times New Roman" w:cs="Times New Roman"/>
          <w:sz w:val="24"/>
          <w:szCs w:val="24"/>
        </w:rPr>
        <w:t xml:space="preserve">estimates the probability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5F0C1B">
        <w:rPr>
          <w:rFonts w:ascii="Times New Roman" w:hAnsi="Times New Roman" w:cs="Times New Roman"/>
          <w:sz w:val="24"/>
          <w:szCs w:val="24"/>
        </w:rPr>
        <w:t xml:space="preserve"> and </w:t>
      </w:r>
      <w:r w:rsidR="00172BF1" w:rsidRPr="00883ACD">
        <w:rPr>
          <w:rFonts w:ascii="Times New Roman" w:hAnsi="Times New Roman" w:cs="Times New Roman"/>
          <w:sz w:val="24"/>
          <w:szCs w:val="24"/>
        </w:rPr>
        <w:t>is sensitive to the sample size, providing increased confidence in null effects reported. F</w:t>
      </w:r>
      <w:r w:rsidR="005F0C1B">
        <w:rPr>
          <w:rFonts w:ascii="Times New Roman" w:hAnsi="Times New Roman" w:cs="Times New Roman"/>
          <w:sz w:val="24"/>
          <w:szCs w:val="24"/>
        </w:rPr>
        <w:t>inally, f</w:t>
      </w:r>
      <w:r w:rsidR="00172BF1" w:rsidRPr="00883ACD">
        <w:rPr>
          <w:rFonts w:ascii="Times New Roman" w:hAnsi="Times New Roman" w:cs="Times New Roman"/>
          <w:sz w:val="24"/>
          <w:szCs w:val="24"/>
        </w:rPr>
        <w:t xml:space="preserve">or completeness, </w:t>
      </w:r>
      <w:r w:rsidR="005F0C1B">
        <w:rPr>
          <w:rFonts w:ascii="Times New Roman" w:hAnsi="Times New Roman" w:cs="Times New Roman"/>
          <w:sz w:val="24"/>
          <w:szCs w:val="24"/>
        </w:rPr>
        <w:t>all comparisons are reported in the Appendix (Table A</w:t>
      </w:r>
      <w:r w:rsidR="005F0C1B" w:rsidRPr="005F0C1B">
        <w:rPr>
          <w:rFonts w:ascii="Times New Roman" w:hAnsi="Times New Roman" w:cs="Times New Roman"/>
          <w:sz w:val="24"/>
          <w:szCs w:val="24"/>
          <w:highlight w:val="green"/>
        </w:rPr>
        <w:t>X</w:t>
      </w:r>
      <w:r w:rsidR="005F0C1B">
        <w:rPr>
          <w:rFonts w:ascii="Times New Roman" w:hAnsi="Times New Roman" w:cs="Times New Roman"/>
          <w:sz w:val="24"/>
          <w:szCs w:val="24"/>
        </w:rPr>
        <w:t>).</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w:t>
      </w:r>
      <w:r>
        <w:rPr>
          <w:rFonts w:ascii="Times New Roman" w:hAnsi="Times New Roman" w:cs="Times New Roman"/>
          <w:sz w:val="24"/>
          <w:szCs w:val="24"/>
        </w:rPr>
        <w:lastRenderedPageBreak/>
        <w:t>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06B3A643"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recruited from Midwestern State University who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t>
      </w:r>
      <w:r w:rsidR="00BB7740">
        <w:rPr>
          <w:rFonts w:ascii="Times New Roman" w:hAnsi="Times New Roman" w:cs="Times New Roman"/>
          <w:sz w:val="24"/>
          <w:szCs w:val="24"/>
        </w:rPr>
        <w:t>that were previously described</w:t>
      </w:r>
      <w:r>
        <w:rPr>
          <w:rFonts w:ascii="Times New Roman" w:hAnsi="Times New Roman" w:cs="Times New Roman"/>
          <w:sz w:val="24"/>
          <w:szCs w:val="24"/>
        </w:rPr>
        <w:t xml:space="preserve"> were applied.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removed, leading to a total of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in the final sample (Item-wise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A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 All participants were native English speakers.</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5FAAEDCF" w:rsidR="00427928" w:rsidRDefault="006F5A95" w:rsidP="006F5A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with the exception that the free-recall tests were replaced with </w:t>
      </w:r>
      <w:commentRangeStart w:id="1"/>
      <w:r w:rsidR="00427928">
        <w:rPr>
          <w:rFonts w:ascii="Times New Roman" w:hAnsi="Times New Roman" w:cs="Times New Roman"/>
          <w:sz w:val="24"/>
          <w:szCs w:val="24"/>
        </w:rPr>
        <w:t>[WORDS HERE]</w:t>
      </w:r>
      <w:commentRangeEnd w:id="1"/>
      <w:r>
        <w:rPr>
          <w:rStyle w:val="CommentReference"/>
        </w:rPr>
        <w:commentReference w:id="1"/>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7339A4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B23650"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CDA6E7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2CC5EB7"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3-09-21T10:00:00Z" w:initials="NM">
    <w:p w14:paraId="3B72193B" w14:textId="79FE77FB" w:rsidR="006F5A95" w:rsidRDefault="006F5A95" w:rsidP="00BF01C7">
      <w:pPr>
        <w:pStyle w:val="CommentText"/>
      </w:pPr>
      <w:r>
        <w:rPr>
          <w:rStyle w:val="CommentReference"/>
        </w:rPr>
        <w:annotationRef/>
      </w:r>
      <w:r>
        <w:t>Model this after the paper with Anie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219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92D5" w16cex:dateUtc="2023-09-21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2193B" w16cid:durableId="28B692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7683B" w14:textId="77777777" w:rsidR="0001487E" w:rsidRDefault="0001487E" w:rsidP="00CC28FF">
      <w:pPr>
        <w:spacing w:after="0" w:line="240" w:lineRule="auto"/>
      </w:pPr>
      <w:r>
        <w:separator/>
      </w:r>
    </w:p>
  </w:endnote>
  <w:endnote w:type="continuationSeparator" w:id="0">
    <w:p w14:paraId="2391DB62" w14:textId="77777777" w:rsidR="0001487E" w:rsidRDefault="0001487E"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7353" w14:textId="77777777" w:rsidR="0001487E" w:rsidRDefault="0001487E" w:rsidP="00CC28FF">
      <w:pPr>
        <w:spacing w:after="0" w:line="240" w:lineRule="auto"/>
      </w:pPr>
      <w:r>
        <w:separator/>
      </w:r>
    </w:p>
  </w:footnote>
  <w:footnote w:type="continuationSeparator" w:id="0">
    <w:p w14:paraId="3086C177" w14:textId="77777777" w:rsidR="0001487E" w:rsidRDefault="0001487E"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487E"/>
    <w:rsid w:val="0008518E"/>
    <w:rsid w:val="000C0720"/>
    <w:rsid w:val="000C28B9"/>
    <w:rsid w:val="00114657"/>
    <w:rsid w:val="00162E4C"/>
    <w:rsid w:val="00172BF1"/>
    <w:rsid w:val="00191838"/>
    <w:rsid w:val="001D1866"/>
    <w:rsid w:val="001F67CC"/>
    <w:rsid w:val="00212B51"/>
    <w:rsid w:val="002B231B"/>
    <w:rsid w:val="002D1E69"/>
    <w:rsid w:val="002E2652"/>
    <w:rsid w:val="00340E64"/>
    <w:rsid w:val="003530B9"/>
    <w:rsid w:val="00373541"/>
    <w:rsid w:val="003A666C"/>
    <w:rsid w:val="003A7E9B"/>
    <w:rsid w:val="003B24A4"/>
    <w:rsid w:val="003C7B6F"/>
    <w:rsid w:val="003D0BCA"/>
    <w:rsid w:val="003E00D4"/>
    <w:rsid w:val="003F797F"/>
    <w:rsid w:val="00403356"/>
    <w:rsid w:val="00424BAE"/>
    <w:rsid w:val="00427928"/>
    <w:rsid w:val="00485DFF"/>
    <w:rsid w:val="0049062F"/>
    <w:rsid w:val="004C4BEA"/>
    <w:rsid w:val="004E0D99"/>
    <w:rsid w:val="004E1C3A"/>
    <w:rsid w:val="004E688F"/>
    <w:rsid w:val="004F15CC"/>
    <w:rsid w:val="00585567"/>
    <w:rsid w:val="005B10DE"/>
    <w:rsid w:val="005E2264"/>
    <w:rsid w:val="005F0C1B"/>
    <w:rsid w:val="006217CB"/>
    <w:rsid w:val="006339E0"/>
    <w:rsid w:val="00642A60"/>
    <w:rsid w:val="006601A6"/>
    <w:rsid w:val="00686182"/>
    <w:rsid w:val="006B624F"/>
    <w:rsid w:val="006C3BE8"/>
    <w:rsid w:val="006F5A95"/>
    <w:rsid w:val="006F714B"/>
    <w:rsid w:val="00717324"/>
    <w:rsid w:val="00753857"/>
    <w:rsid w:val="0075547F"/>
    <w:rsid w:val="007A770B"/>
    <w:rsid w:val="007B1864"/>
    <w:rsid w:val="007B77F1"/>
    <w:rsid w:val="007F1018"/>
    <w:rsid w:val="008343B5"/>
    <w:rsid w:val="008A749B"/>
    <w:rsid w:val="008B6E3B"/>
    <w:rsid w:val="008D03F9"/>
    <w:rsid w:val="008E163C"/>
    <w:rsid w:val="009036BE"/>
    <w:rsid w:val="00924D50"/>
    <w:rsid w:val="00932C42"/>
    <w:rsid w:val="0099345D"/>
    <w:rsid w:val="009C3EA3"/>
    <w:rsid w:val="009D02CC"/>
    <w:rsid w:val="00A130EE"/>
    <w:rsid w:val="00A17957"/>
    <w:rsid w:val="00A56631"/>
    <w:rsid w:val="00A65292"/>
    <w:rsid w:val="00A70A86"/>
    <w:rsid w:val="00A76999"/>
    <w:rsid w:val="00AA4A1B"/>
    <w:rsid w:val="00AC032B"/>
    <w:rsid w:val="00AC0DFF"/>
    <w:rsid w:val="00AC3297"/>
    <w:rsid w:val="00AE0A9F"/>
    <w:rsid w:val="00B4535E"/>
    <w:rsid w:val="00B5675F"/>
    <w:rsid w:val="00B70782"/>
    <w:rsid w:val="00B72471"/>
    <w:rsid w:val="00BB7740"/>
    <w:rsid w:val="00BD6E9D"/>
    <w:rsid w:val="00C0441F"/>
    <w:rsid w:val="00C10203"/>
    <w:rsid w:val="00C11288"/>
    <w:rsid w:val="00C11878"/>
    <w:rsid w:val="00C542AA"/>
    <w:rsid w:val="00C557E7"/>
    <w:rsid w:val="00C61ADC"/>
    <w:rsid w:val="00C645A5"/>
    <w:rsid w:val="00C765DD"/>
    <w:rsid w:val="00C81412"/>
    <w:rsid w:val="00C90BC3"/>
    <w:rsid w:val="00CA3CDB"/>
    <w:rsid w:val="00CC01C8"/>
    <w:rsid w:val="00CC28FF"/>
    <w:rsid w:val="00CD0D1A"/>
    <w:rsid w:val="00CD5801"/>
    <w:rsid w:val="00CE6D70"/>
    <w:rsid w:val="00CE76EA"/>
    <w:rsid w:val="00D20FA3"/>
    <w:rsid w:val="00D768DA"/>
    <w:rsid w:val="00D853BF"/>
    <w:rsid w:val="00DE49CF"/>
    <w:rsid w:val="00DF3032"/>
    <w:rsid w:val="00E35B8A"/>
    <w:rsid w:val="00E6011E"/>
    <w:rsid w:val="00E6552C"/>
    <w:rsid w:val="00E902A1"/>
    <w:rsid w:val="00EB038F"/>
    <w:rsid w:val="00EE04C7"/>
    <w:rsid w:val="00EE6FE5"/>
    <w:rsid w:val="00F0159C"/>
    <w:rsid w:val="00F2724C"/>
    <w:rsid w:val="00F40BB1"/>
    <w:rsid w:val="00F43B13"/>
    <w:rsid w:val="00F6173F"/>
    <w:rsid w:val="00F6351D"/>
    <w:rsid w:val="00F63796"/>
    <w:rsid w:val="00F64E93"/>
    <w:rsid w:val="00F84AFD"/>
    <w:rsid w:val="00F9396C"/>
    <w:rsid w:val="00FA3488"/>
    <w:rsid w:val="00FD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17</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89</cp:revision>
  <dcterms:created xsi:type="dcterms:W3CDTF">2023-07-06T14:48:00Z</dcterms:created>
  <dcterms:modified xsi:type="dcterms:W3CDTF">2023-10-07T20:47:00Z</dcterms:modified>
</cp:coreProperties>
</file>