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proofErr w:type="spellStart"/>
      <w:r w:rsidR="00A92D08">
        <w:rPr>
          <w:sz w:val="20"/>
          <w:szCs w:val="20"/>
        </w:rPr>
        <w:t>Yoonhee</w:t>
      </w:r>
      <w:proofErr w:type="spellEnd"/>
      <w:r w:rsidR="00A92D08">
        <w:rPr>
          <w:sz w:val="20"/>
          <w:szCs w:val="20"/>
        </w:rPr>
        <w:t xml:space="preserv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Pr="00BD6C42">
        <w:rPr>
          <w:rFonts w:ascii="Times New Roman" w:hAnsi="Times New Roman" w:cs="Times New Roman"/>
          <w:sz w:val="24"/>
          <w:szCs w:val="24"/>
        </w:rPr>
        <w:t>Both of the observed</w:t>
      </w:r>
      <w:proofErr w:type="gramEnd"/>
      <w:r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840CBA5" w14:textId="4885D8C0" w:rsidR="002E3D2B" w:rsidRDefault="002E3D2B">
      <w:pPr>
        <w:rPr>
          <w:rFonts w:ascii="Times New Roman" w:hAnsi="Times New Roman" w:cs="Times New Roman"/>
          <w:sz w:val="24"/>
          <w:szCs w:val="24"/>
        </w:rPr>
      </w:pPr>
      <w:commentRangeStart w:id="1"/>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
      <w:r w:rsidR="0037247A">
        <w:rPr>
          <w:rStyle w:val="CommentReference"/>
        </w:rPr>
        <w:commentReference w:id="1"/>
      </w:r>
      <w:r w:rsidR="00855696">
        <w:rPr>
          <w:rFonts w:ascii="Times New Roman" w:hAnsi="Times New Roman" w:cs="Times New Roman"/>
          <w:sz w:val="24"/>
          <w:szCs w:val="24"/>
        </w:rPr>
        <w:t xml:space="preserve">Please see my response to Reviewer 1 (comment </w:t>
      </w:r>
      <w:r w:rsidR="00855696" w:rsidRPr="00855696">
        <w:rPr>
          <w:rFonts w:ascii="Times New Roman" w:hAnsi="Times New Roman" w:cs="Times New Roman"/>
          <w:sz w:val="24"/>
          <w:szCs w:val="24"/>
          <w:highlight w:val="yellow"/>
        </w:rPr>
        <w:t>X</w:t>
      </w:r>
      <w:r w:rsidR="00855696">
        <w:rPr>
          <w:rFonts w:ascii="Times New Roman" w:hAnsi="Times New Roman" w:cs="Times New Roman"/>
          <w:sz w:val="24"/>
          <w:szCs w:val="24"/>
        </w:rPr>
        <w:t>)</w:t>
      </w:r>
      <w:r w:rsidR="006E435B">
        <w:rPr>
          <w:rFonts w:ascii="Times New Roman" w:hAnsi="Times New Roman" w:cs="Times New Roman"/>
          <w:sz w:val="24"/>
          <w:szCs w:val="24"/>
        </w:rPr>
        <w:t xml:space="preserve"> regarding </w:t>
      </w:r>
      <w:r w:rsidR="00234B12">
        <w:rPr>
          <w:rFonts w:ascii="Times New Roman" w:hAnsi="Times New Roman" w:cs="Times New Roman"/>
          <w:sz w:val="24"/>
          <w:szCs w:val="24"/>
        </w:rPr>
        <w:t xml:space="preserve">the </w:t>
      </w:r>
      <w:r w:rsidR="006E435B">
        <w:rPr>
          <w:rFonts w:ascii="Times New Roman" w:hAnsi="Times New Roman" w:cs="Times New Roman"/>
          <w:sz w:val="24"/>
          <w:szCs w:val="24"/>
        </w:rPr>
        <w:t xml:space="preserve">negative reactivity that was observed in Experiment 1A </w:t>
      </w:r>
      <w:r w:rsidR="00234B12">
        <w:rPr>
          <w:rFonts w:ascii="Times New Roman" w:hAnsi="Times New Roman" w:cs="Times New Roman"/>
          <w:sz w:val="24"/>
          <w:szCs w:val="24"/>
        </w:rPr>
        <w:t xml:space="preserve">when participants made item-level JOLs for </w:t>
      </w:r>
      <w:r w:rsidR="006E435B">
        <w:rPr>
          <w:rFonts w:ascii="Times New Roman" w:hAnsi="Times New Roman" w:cs="Times New Roman"/>
          <w:sz w:val="24"/>
          <w:szCs w:val="24"/>
        </w:rPr>
        <w:t xml:space="preserve">uncategorized word lists.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posits that item-level JOLs should only improve memory when memory is assessed via recognition testing but not free-recall.</w:t>
      </w:r>
      <w:r w:rsidR="006E435B">
        <w:rPr>
          <w:rFonts w:ascii="Times New Roman" w:hAnsi="Times New Roman" w:cs="Times New Roman"/>
          <w:sz w:val="24"/>
          <w:szCs w:val="24"/>
        </w:rPr>
        <w:t xml:space="preserve"> Because this account makes predictions regarding positive reactivity only, the lack of positive reactivity on uncategorized word lists in Experiment 1A is still consistent with an item-order account, even though negative reactivity emerged for this comparison. I have clarified this point in the Introduction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Additionally, this negative reactivity pattern is consistent with other studies which have found that item-level JOLs can sometimes (but not always) produce negative reactivity when memory is assessed via recall and study items lack strong relatedness cues (e.g., unrelated cue-target word pairs). I now note this point 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of the Introduction. Finally, in my revision, the negative reactivity pattern observed in Experiment 1A is now discussed in the Experiment 1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and General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Thank you for suggesting this additional literature. This paper appears to have been published shortly after I submitted my initial manuscript for review. [UPDATED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777777"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[CITE ALL THE THINGS, REFER BACK TO R2 RESPONSE]</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lastRenderedPageBreak/>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18FC7ADE" w14:textId="62197BB2" w:rsidR="00513603"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2(Counterbalance: A vs. B) × 2(List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w:t>
      </w:r>
      <w:r w:rsidR="00BD6C42" w:rsidRPr="00BD6C42">
        <w:rPr>
          <w:rFonts w:ascii="Times New Roman" w:hAnsi="Times New Roman" w:cs="Times New Roman"/>
          <w:sz w:val="24"/>
          <w:szCs w:val="24"/>
        </w:rPr>
        <w:lastRenderedPageBreak/>
        <w:t>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7782799C" w14:textId="0DFD6411"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given that all 96 test items were presented in a randomized order and not presented sequentially in lists). As such, false alarms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2"/>
      <w:r w:rsidR="00F924C7">
        <w:rPr>
          <w:rFonts w:ascii="Times New Roman" w:hAnsi="Times New Roman" w:cs="Times New Roman"/>
          <w:sz w:val="24"/>
          <w:szCs w:val="24"/>
        </w:rPr>
        <w:t>clarifying this point</w:t>
      </w:r>
      <w:commentRangeEnd w:id="2"/>
      <w:r w:rsidR="00E22666">
        <w:rPr>
          <w:rStyle w:val="CommentReference"/>
        </w:rPr>
        <w:commentReference w:id="2"/>
      </w:r>
      <w:r w:rsidR="00F924C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w:t>
      </w:r>
      <w:commentRangeStart w:id="3"/>
      <w:r w:rsidR="00BD6C42" w:rsidRPr="00BD6C42">
        <w:rPr>
          <w:rFonts w:ascii="Times New Roman" w:hAnsi="Times New Roman" w:cs="Times New Roman"/>
          <w:sz w:val="24"/>
          <w:szCs w:val="24"/>
        </w:rPr>
        <w:t>controls</w:t>
      </w:r>
      <w:commentRangeEnd w:id="3"/>
      <w:r w:rsidR="00267E36">
        <w:rPr>
          <w:rStyle w:val="CommentReference"/>
        </w:rPr>
        <w:commentReference w:id="3"/>
      </w:r>
      <w:r w:rsidR="00BD6C42" w:rsidRPr="00BD6C42">
        <w:rPr>
          <w:rFonts w:ascii="Times New Roman" w:hAnsi="Times New Roman" w:cs="Times New Roman"/>
          <w:sz w:val="24"/>
          <w:szCs w:val="24"/>
        </w:rPr>
        <w:t xml:space="preserve">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19379651"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Following the design of other DRM studies (e.g., </w:t>
      </w:r>
      <w:r w:rsidR="00E22666" w:rsidRPr="00E22666">
        <w:rPr>
          <w:rFonts w:ascii="Times New Roman" w:hAnsi="Times New Roman" w:cs="Times New Roman"/>
          <w:sz w:val="24"/>
          <w:szCs w:val="24"/>
          <w:highlight w:val="yellow"/>
        </w:rPr>
        <w:t>[CITE SOME STUFF]</w:t>
      </w:r>
      <w:r w:rsidR="00E22666">
        <w:rPr>
          <w:rFonts w:ascii="Times New Roman" w:hAnsi="Times New Roman" w:cs="Times New Roman"/>
          <w:sz w:val="24"/>
          <w:szCs w:val="24"/>
        </w:rPr>
        <w:t>, I separated false alarms for list item controls and critical lure controls</w:t>
      </w:r>
      <w:r w:rsidR="004B5110">
        <w:rPr>
          <w:rFonts w:ascii="Times New Roman" w:hAnsi="Times New Roman" w:cs="Times New Roman"/>
          <w:sz w:val="24"/>
          <w:szCs w:val="24"/>
        </w:rPr>
        <w:t xml:space="preserve"> (the term ‘control’ in this situation simply refers to non-presented items and is often used in the DRM literature (see </w:t>
      </w:r>
      <w:r w:rsidR="004B5110" w:rsidRPr="004B5110">
        <w:rPr>
          <w:rFonts w:ascii="Times New Roman" w:hAnsi="Times New Roman" w:cs="Times New Roman"/>
          <w:sz w:val="24"/>
          <w:szCs w:val="24"/>
          <w:highlight w:val="yellow"/>
        </w:rPr>
        <w:t>XXX</w:t>
      </w:r>
      <w:r w:rsidR="004B5110">
        <w:rPr>
          <w:rFonts w:ascii="Times New Roman" w:hAnsi="Times New Roman" w:cs="Times New Roman"/>
          <w:sz w:val="24"/>
          <w:szCs w:val="24"/>
        </w:rPr>
        <w:t>)</w:t>
      </w:r>
      <w:r w:rsidR="00E22666">
        <w:rPr>
          <w:rFonts w:ascii="Times New Roman" w:hAnsi="Times New Roman" w:cs="Times New Roman"/>
          <w:sz w:val="24"/>
          <w:szCs w:val="24"/>
        </w:rPr>
        <w:t xml:space="preserve">. However,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r w:rsidR="00E22666" w:rsidRPr="00E22666">
        <w:rPr>
          <w:rFonts w:ascii="Times New Roman" w:hAnsi="Times New Roman" w:cs="Times New Roman"/>
          <w:sz w:val="24"/>
          <w:szCs w:val="24"/>
          <w:highlight w:val="yellow"/>
        </w:rPr>
        <w:t>XX</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D0F8798" w:rsidR="002E3D2B" w:rsidRDefault="00513603">
      <w:pPr>
        <w:rPr>
          <w:rFonts w:ascii="Times New Roman" w:hAnsi="Times New Roman" w:cs="Times New Roman"/>
          <w:sz w:val="24"/>
          <w:szCs w:val="24"/>
        </w:rPr>
      </w:pPr>
      <w:commentRangeStart w:id="4"/>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4"/>
      <w:r w:rsidR="003B6E4E">
        <w:rPr>
          <w:rStyle w:val="CommentReference"/>
        </w:rPr>
        <w:commentReference w:id="4"/>
      </w:r>
      <w:r w:rsidR="004B5110">
        <w:rPr>
          <w:rFonts w:ascii="Times New Roman" w:hAnsi="Times New Roman" w:cs="Times New Roman"/>
          <w:sz w:val="24"/>
          <w:szCs w:val="24"/>
        </w:rPr>
        <w:t xml:space="preserve">Thank you for bringing this discrepancy to my attention. </w:t>
      </w:r>
      <w:r w:rsidRPr="00513603">
        <w:rPr>
          <w:rFonts w:ascii="Times New Roman" w:hAnsi="Times New Roman" w:cs="Times New Roman"/>
          <w:sz w:val="24"/>
          <w:szCs w:val="24"/>
          <w:highlight w:val="yellow"/>
        </w:rPr>
        <w:t>[WORDS HERE]</w:t>
      </w:r>
    </w:p>
    <w:p w14:paraId="55BBD686" w14:textId="2E259E92"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7F556367"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33967">
        <w:rPr>
          <w:rFonts w:ascii="Times New Roman" w:hAnsi="Times New Roman" w:cs="Times New Roman"/>
          <w:sz w:val="24"/>
          <w:szCs w:val="24"/>
        </w:rPr>
        <w:t xml:space="preserve">Please see my response to Reviewer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 xml:space="preserve">, Comment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0BAD8F30"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commentRangeStart w:id="5"/>
      <w:r w:rsidRPr="00BD6C42">
        <w:rPr>
          <w:rFonts w:ascii="Times New Roman" w:hAnsi="Times New Roman" w:cs="Times New Roman"/>
          <w:sz w:val="24"/>
          <w:szCs w:val="24"/>
        </w:rPr>
        <w:t xml:space="preserve">In Experiment </w:t>
      </w:r>
      <w:commentRangeEnd w:id="5"/>
      <w:r w:rsidR="007335A2">
        <w:rPr>
          <w:rStyle w:val="CommentReference"/>
        </w:rPr>
        <w:commentReference w:id="5"/>
      </w:r>
      <w:r w:rsidRPr="00BD6C42">
        <w:rPr>
          <w:rFonts w:ascii="Times New Roman" w:hAnsi="Times New Roman" w:cs="Times New Roman"/>
          <w:sz w:val="24"/>
          <w:szCs w:val="24"/>
        </w:rPr>
        <w:t xml:space="preserve">2, two subheadings of the Results are not accurate as </w:t>
      </w:r>
      <w:proofErr w:type="gramStart"/>
      <w:r w:rsidRPr="00BD6C42">
        <w:rPr>
          <w:rFonts w:ascii="Times New Roman" w:hAnsi="Times New Roman" w:cs="Times New Roman"/>
          <w:sz w:val="24"/>
          <w:szCs w:val="24"/>
        </w:rPr>
        <w:t>all of</w:t>
      </w:r>
      <w:proofErr w:type="gramEnd"/>
      <w:r w:rsidRPr="00BD6C42">
        <w:rPr>
          <w:rFonts w:ascii="Times New Roman" w:hAnsi="Times New Roman" w:cs="Times New Roman"/>
          <w:sz w:val="24"/>
          <w:szCs w:val="24"/>
        </w:rPr>
        <w:t xml:space="preserve"> the indices, hits, false alarms, d’, and c are the terms under Signal Detection Theory (SDT).</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recognition studies, </w:t>
      </w:r>
      <w:commentRangeStart w:id="6"/>
      <w:r w:rsidRPr="00BD6C42">
        <w:rPr>
          <w:rFonts w:ascii="Times New Roman" w:hAnsi="Times New Roman" w:cs="Times New Roman"/>
          <w:sz w:val="24"/>
          <w:szCs w:val="24"/>
        </w:rPr>
        <w:t>I would provide descriptive stats of d’ and c in tables.</w:t>
      </w:r>
      <w:commentRangeEnd w:id="6"/>
      <w:r w:rsidR="003B6E4E">
        <w:rPr>
          <w:rStyle w:val="CommentReference"/>
        </w:rPr>
        <w:commentReference w:id="6"/>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 O. Nelson and D. L. Nelson should be </w:t>
      </w:r>
      <w:commentRangeStart w:id="7"/>
      <w:r w:rsidRPr="00BD6C42">
        <w:rPr>
          <w:rFonts w:ascii="Times New Roman" w:hAnsi="Times New Roman" w:cs="Times New Roman"/>
          <w:sz w:val="24"/>
          <w:szCs w:val="24"/>
        </w:rPr>
        <w:t>distinguished.</w:t>
      </w:r>
      <w:commentRangeEnd w:id="7"/>
      <w:r w:rsidR="007335A2">
        <w:rPr>
          <w:rStyle w:val="CommentReference"/>
        </w:rPr>
        <w:commentReference w:id="7"/>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lastRenderedPageBreak/>
        <w:t>Response</w:t>
      </w:r>
      <w:r>
        <w:rPr>
          <w:rFonts w:ascii="Times New Roman" w:hAnsi="Times New Roman" w:cs="Times New Roman"/>
          <w:sz w:val="24"/>
          <w:szCs w:val="24"/>
        </w:rPr>
        <w:t>: Thank you for your attention to detail. These minor concerns have been addressed accordingly.</w:t>
      </w:r>
    </w:p>
    <w:p w14:paraId="7BAE29F2" w14:textId="32548B3F"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d′</w:t>
      </w:r>
      <w:r w:rsidR="00FA5F74" w:rsidRPr="00FA5F74">
        <w:rPr>
          <w:rFonts w:ascii="Times New Roman" w:hAnsi="Times New Roman" w:cs="Times New Roman"/>
          <w:i/>
          <w:iCs/>
          <w:sz w:val="24"/>
          <w:szCs w:val="24"/>
        </w:rPr>
        <w:t xml:space="preserve">,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FA5F74">
        <w:rPr>
          <w:rFonts w:ascii="Times New Roman" w:hAnsi="Times New Roman" w:cs="Times New Roman"/>
          <w:sz w:val="24"/>
          <w:szCs w:val="24"/>
          <w:highlight w:val="yellow"/>
        </w:rPr>
        <w:t>AX</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 xml:space="preserve">displays lexical properties for DRM lists, including mean BAS. </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w:t>
      </w:r>
      <w:r w:rsidR="00277A18">
        <w:rPr>
          <w:rFonts w:ascii="Times New Roman" w:eastAsia="Times New Roman" w:hAnsi="Times New Roman" w:cs="Times New Roman"/>
          <w:kern w:val="0"/>
          <w:sz w:val="24"/>
          <w:szCs w:val="24"/>
          <w14:ligatures w14:val="none"/>
        </w:rPr>
        <w:lastRenderedPageBreak/>
        <w:t xml:space="preserve">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 [ADD A TABLE WITH THE RTS] [FOLLOWING MY PREVIOUS WORK AND  MITCHUM ET AL</w:t>
      </w:r>
      <w:r w:rsidR="00D4417D">
        <w:rPr>
          <w:rFonts w:ascii="Times New Roman" w:eastAsia="Times New Roman" w:hAnsi="Times New Roman" w:cs="Times New Roman"/>
          <w:kern w:val="0"/>
          <w:sz w:val="24"/>
          <w:szCs w:val="24"/>
          <w14:ligatures w14:val="none"/>
        </w:rPr>
        <w:t xml:space="preserve"> AND JANES ET AL</w:t>
      </w:r>
      <w:r>
        <w:rPr>
          <w:rFonts w:ascii="Times New Roman" w:eastAsia="Times New Roman" w:hAnsi="Times New Roman" w:cs="Times New Roman"/>
          <w:kern w:val="0"/>
          <w:sz w:val="24"/>
          <w:szCs w:val="24"/>
          <w14:ligatures w14:val="none"/>
        </w:rPr>
        <w:t>]</w:t>
      </w:r>
      <w:r w:rsidR="00D4417D">
        <w:rPr>
          <w:rFonts w:ascii="Times New Roman" w:eastAsia="Times New Roman" w:hAnsi="Times New Roman" w:cs="Times New Roman"/>
          <w:kern w:val="0"/>
          <w:sz w:val="24"/>
          <w:szCs w:val="24"/>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8"/>
      <w:commentRangeStart w:id="9"/>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8"/>
      <w:r w:rsidR="0048514D">
        <w:rPr>
          <w:rStyle w:val="CommentReference"/>
        </w:rPr>
        <w:commentReference w:id="8"/>
      </w:r>
      <w:commentRangeEnd w:id="9"/>
      <w:r w:rsidR="00AC52FE">
        <w:rPr>
          <w:rStyle w:val="CommentReference"/>
        </w:rPr>
        <w:commentReference w:id="9"/>
      </w:r>
      <w:r w:rsidRPr="00BD6C42">
        <w:rPr>
          <w:rFonts w:ascii="Times New Roman" w:eastAsia="Times New Roman" w:hAnsi="Times New Roman" w:cs="Times New Roman"/>
          <w:kern w:val="0"/>
          <w:sz w:val="24"/>
          <w:szCs w:val="24"/>
          <w14:ligatures w14:val="none"/>
        </w:rPr>
        <w:t xml:space="preserve">On p.15, the author stated that for uncategorized lists, the difference in free recall between the three JOL conditions was not significant except for between item-JOL and no-JOL </w:t>
      </w:r>
      <w:r w:rsidRPr="00BD6C42">
        <w:rPr>
          <w:rFonts w:ascii="Times New Roman" w:eastAsia="Times New Roman" w:hAnsi="Times New Roman" w:cs="Times New Roman"/>
          <w:kern w:val="0"/>
          <w:sz w:val="24"/>
          <w:szCs w:val="24"/>
          <w14:ligatures w14:val="none"/>
        </w:rPr>
        <w:lastRenderedPageBreak/>
        <w:t>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71222BEF" w14:textId="4F32181F" w:rsidR="00DC21A7"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44392">
        <w:rPr>
          <w:rFonts w:ascii="Times New Roman" w:eastAsia="Times New Roman" w:hAnsi="Times New Roman" w:cs="Times New Roman"/>
          <w:kern w:val="0"/>
          <w:sz w:val="24"/>
          <w:szCs w:val="24"/>
          <w14:ligatures w14:val="none"/>
        </w:rPr>
        <w:t xml:space="preserve">Yes, in Experiment 1A, making item-level JOLs impaired participants’ free-recall compared to the no-JOL condition. As noted on pg. </w:t>
      </w:r>
      <w:r w:rsidR="00F44392" w:rsidRPr="00F44392">
        <w:rPr>
          <w:rFonts w:ascii="Times New Roman" w:eastAsia="Times New Roman" w:hAnsi="Times New Roman" w:cs="Times New Roman"/>
          <w:kern w:val="0"/>
          <w:sz w:val="24"/>
          <w:szCs w:val="24"/>
          <w:highlight w:val="yellow"/>
          <w14:ligatures w14:val="none"/>
        </w:rPr>
        <w:t>XX</w:t>
      </w:r>
      <w:r w:rsidR="00F44392">
        <w:rPr>
          <w:rFonts w:ascii="Times New Roman" w:eastAsia="Times New Roman" w:hAnsi="Times New Roman" w:cs="Times New Roman"/>
          <w:kern w:val="0"/>
          <w:sz w:val="24"/>
          <w:szCs w:val="24"/>
          <w14:ligatures w14:val="none"/>
        </w:rPr>
        <w:t xml:space="preserve"> of the revised introduction,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Because the item-order account makes no predictions regarding negative reactivity and instead simply predicts a lack of positive reactivity for item-level JOLs when free-recall testing is used, this pattern is in-line with this account. As such, in my initial submission, I elected not to focus specifically on negative reactivity and instead focused on the broader patterns.</w:t>
      </w:r>
    </w:p>
    <w:p w14:paraId="6FD659CE" w14:textId="0D4026EE" w:rsidR="00DC21A7"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081D473A" w14:textId="69BE939F" w:rsidR="00D4417D"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finding is now noted in the Experiment 1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and again noted in the General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In doing so, I have also the section in the General Discussion now links this pattern back to previous studies which have found that item-level JOLs can sometimes produce negative reactivity on unrelated cue-target word pairs (e.g., Mitchum et al., 2016).</w:t>
      </w:r>
    </w:p>
    <w:p w14:paraId="5C98713C"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10"/>
      <w:r w:rsidR="00D4417D" w:rsidRPr="00D4417D">
        <w:rPr>
          <w:rFonts w:ascii="Times New Roman" w:eastAsia="Times New Roman" w:hAnsi="Times New Roman" w:cs="Times New Roman"/>
          <w:b/>
          <w:bCs/>
          <w:kern w:val="0"/>
          <w:sz w:val="24"/>
          <w:szCs w:val="24"/>
          <w14:ligatures w14:val="none"/>
        </w:rPr>
        <w:t>Comment 10</w:t>
      </w:r>
      <w:commentRangeEnd w:id="10"/>
      <w:r w:rsidR="00AC52FE">
        <w:rPr>
          <w:rStyle w:val="CommentReference"/>
        </w:rPr>
        <w:commentReference w:id="10"/>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lastRenderedPageBreak/>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builds on prior JOL reactivity research (specifically, research by </w:t>
      </w:r>
      <w:proofErr w:type="spellStart"/>
      <w:r w:rsidR="00BD6C42" w:rsidRPr="00BD6C42">
        <w:rPr>
          <w:rFonts w:ascii="Times New Roman" w:eastAsia="Times New Roman" w:hAnsi="Times New Roman" w:cs="Times New Roman"/>
          <w:kern w:val="0"/>
          <w:sz w:val="24"/>
          <w:szCs w:val="24"/>
          <w14:ligatures w14:val="none"/>
        </w:rPr>
        <w:t>Senkova</w:t>
      </w:r>
      <w:proofErr w:type="spellEnd"/>
      <w:r w:rsidR="00BD6C42" w:rsidRPr="00BD6C42">
        <w:rPr>
          <w:rFonts w:ascii="Times New Roman" w:eastAsia="Times New Roman" w:hAnsi="Times New Roman" w:cs="Times New Roman"/>
          <w:kern w:val="0"/>
          <w:sz w:val="24"/>
          <w:szCs w:val="24"/>
          <w14:ligatures w14:val="none"/>
        </w:rPr>
        <w:t xml:space="preserve">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2"/>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2"/>
      <w:r w:rsidR="00A92D08">
        <w:rPr>
          <w:rStyle w:val="CommentReference"/>
        </w:rPr>
        <w:commentReference w:id="12"/>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0FEF68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[MENTION NEW TABLES AND ANALYSES, REFER BACK TO R1s COMMENT]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4:</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w:t>
      </w:r>
      <w:r w:rsidR="001B23FB">
        <w:rPr>
          <w:rFonts w:ascii="Times New Roman" w:eastAsia="Times New Roman" w:hAnsi="Times New Roman" w:cs="Times New Roman"/>
          <w:kern w:val="0"/>
          <w:sz w:val="24"/>
          <w:szCs w:val="24"/>
          <w14:ligatures w14:val="none"/>
        </w:rPr>
        <w:lastRenderedPageBreak/>
        <w:t xml:space="preserve">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3F65EC0E"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B23FB" w:rsidRPr="001B23FB">
        <w:rPr>
          <w:rFonts w:ascii="Times New Roman" w:eastAsia="Times New Roman" w:hAnsi="Times New Roman" w:cs="Times New Roman"/>
          <w:kern w:val="0"/>
          <w:sz w:val="24"/>
          <w:szCs w:val="24"/>
          <w:highlight w:val="yellow"/>
          <w14:ligatures w14:val="none"/>
        </w:rPr>
        <w:t>[MAYBE PLAY AROUND WITH THIS?]</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5T10:45:00Z" w:initials="NM">
    <w:p w14:paraId="4FCAE64B" w14:textId="77777777" w:rsidR="0037247A" w:rsidRDefault="0037247A" w:rsidP="0037247A">
      <w:pPr>
        <w:pStyle w:val="CommentText"/>
      </w:pPr>
      <w:r>
        <w:rPr>
          <w:rStyle w:val="CommentReference"/>
        </w:rPr>
        <w:annotationRef/>
      </w:r>
      <w:r>
        <w:t>Edit this to indicate that the negative was specifically between the item and global NOT the read. Edited for clarity!</w:t>
      </w:r>
    </w:p>
  </w:comment>
  <w:comment w:id="2" w:author="Nick Maxwell" w:date="2024-07-05T11:31:00Z" w:initials="NM">
    <w:p w14:paraId="4B312782" w14:textId="5AF1DBE1" w:rsidR="00E22666" w:rsidRDefault="00E22666" w:rsidP="00E22666">
      <w:pPr>
        <w:pStyle w:val="CommentText"/>
      </w:pPr>
      <w:r>
        <w:rPr>
          <w:rStyle w:val="CommentReference"/>
        </w:rPr>
        <w:annotationRef/>
      </w:r>
      <w:r>
        <w:t>Need to add this!</w:t>
      </w:r>
    </w:p>
  </w:comment>
  <w:comment w:id="3" w:author="Nick Maxwell" w:date="2024-07-02T15:41:00Z" w:initials="NM">
    <w:p w14:paraId="39B5AF39" w14:textId="1DF3F01C" w:rsidR="00267E36" w:rsidRDefault="00267E36" w:rsidP="00267E36">
      <w:pPr>
        <w:pStyle w:val="CommentText"/>
      </w:pPr>
      <w:r>
        <w:rPr>
          <w:rStyle w:val="CommentReference"/>
        </w:rPr>
        <w:annotationRef/>
      </w:r>
      <w:r>
        <w:t>Controls refer to non-presented items</w:t>
      </w:r>
    </w:p>
  </w:comment>
  <w:comment w:id="4" w:author="Nick Maxwell" w:date="2024-07-02T18:21:00Z" w:initials="NM">
    <w:p w14:paraId="77C49799" w14:textId="77777777" w:rsidR="003B6E4E" w:rsidRDefault="003B6E4E" w:rsidP="003B6E4E">
      <w:pPr>
        <w:pStyle w:val="CommentText"/>
      </w:pPr>
      <w:r>
        <w:rPr>
          <w:rStyle w:val="CommentReference"/>
        </w:rPr>
        <w:annotationRef/>
      </w:r>
      <w:r>
        <w:t>This was an oversight. Need to fix 1B so that its inline with 1A</w:t>
      </w:r>
    </w:p>
  </w:comment>
  <w:comment w:id="5" w:author="Nick Maxwell" w:date="2024-07-03T13:30:00Z" w:initials="NM">
    <w:p w14:paraId="4AEB3956" w14:textId="77777777" w:rsidR="007335A2" w:rsidRDefault="007335A2" w:rsidP="007335A2">
      <w:pPr>
        <w:pStyle w:val="CommentText"/>
      </w:pPr>
      <w:r>
        <w:rPr>
          <w:rStyle w:val="CommentReference"/>
        </w:rPr>
        <w:annotationRef/>
      </w:r>
      <w:r>
        <w:t>Done!</w:t>
      </w:r>
    </w:p>
  </w:comment>
  <w:comment w:id="6" w:author="Nick Maxwell" w:date="2024-07-02T18:26:00Z" w:initials="NM">
    <w:p w14:paraId="7AEFED69" w14:textId="6AEAB135" w:rsidR="003B6E4E" w:rsidRDefault="003B6E4E" w:rsidP="003B6E4E">
      <w:pPr>
        <w:pStyle w:val="CommentText"/>
      </w:pPr>
      <w:r>
        <w:rPr>
          <w:rStyle w:val="CommentReference"/>
        </w:rPr>
        <w:annotationRef/>
      </w:r>
      <w:r>
        <w:t>Add these to the respective tables (Make a separate table for EX 1B)</w:t>
      </w:r>
    </w:p>
  </w:comment>
  <w:comment w:id="7" w:author="Nick Maxwell" w:date="2024-07-03T13:30:00Z" w:initials="NM">
    <w:p w14:paraId="4EDFA070" w14:textId="77777777" w:rsidR="007335A2" w:rsidRDefault="007335A2" w:rsidP="007335A2">
      <w:pPr>
        <w:pStyle w:val="CommentText"/>
      </w:pPr>
      <w:r>
        <w:rPr>
          <w:rStyle w:val="CommentReference"/>
        </w:rPr>
        <w:annotationRef/>
      </w:r>
      <w:r>
        <w:t>Done!</w:t>
      </w:r>
    </w:p>
  </w:comment>
  <w:comment w:id="8"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9"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10"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1"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2"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0D66C" w15:done="0"/>
  <w15:commentEx w15:paraId="4FCAE64B" w15:done="0"/>
  <w15:commentEx w15:paraId="4B312782" w15:done="0"/>
  <w15:commentEx w15:paraId="39B5AF39" w15:done="0"/>
  <w15:commentEx w15:paraId="77C49799" w15:done="0"/>
  <w15:commentEx w15:paraId="4AEB3956" w15:done="0"/>
  <w15:commentEx w15:paraId="7AEFED69" w15:done="0"/>
  <w15:commentEx w15:paraId="4EDFA070"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73D24" w16cex:dateUtc="2024-07-05T15:45:00Z"/>
  <w16cex:commentExtensible w16cex:durableId="55874A20" w16cex:dateUtc="2024-07-05T16:31:00Z"/>
  <w16cex:commentExtensible w16cex:durableId="1579F920" w16cex:dateUtc="2024-07-02T20:41:00Z"/>
  <w16cex:commentExtensible w16cex:durableId="7705B253" w16cex:dateUtc="2024-07-02T23:21:00Z"/>
  <w16cex:commentExtensible w16cex:durableId="0DDA7EEE" w16cex:dateUtc="2024-07-03T18:30:00Z"/>
  <w16cex:commentExtensible w16cex:durableId="764B3845" w16cex:dateUtc="2024-07-02T23:26:00Z"/>
  <w16cex:commentExtensible w16cex:durableId="3FC66CEE" w16cex:dateUtc="2024-07-03T18:30:00Z"/>
  <w16cex:commentExtensible w16cex:durableId="652B3F4F" w16cex:dateUtc="2024-07-03T15:59: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0D66C" w16cid:durableId="2A2FEA4D"/>
  <w16cid:commentId w16cid:paraId="4FCAE64B" w16cid:durableId="11C73D24"/>
  <w16cid:commentId w16cid:paraId="4B312782" w16cid:durableId="55874A20"/>
  <w16cid:commentId w16cid:paraId="39B5AF39" w16cid:durableId="1579F920"/>
  <w16cid:commentId w16cid:paraId="77C49799" w16cid:durableId="7705B253"/>
  <w16cid:commentId w16cid:paraId="4AEB3956" w16cid:durableId="0DDA7EEE"/>
  <w16cid:commentId w16cid:paraId="7AEFED69" w16cid:durableId="764B3845"/>
  <w16cid:commentId w16cid:paraId="4EDFA070" w16cid:durableId="3FC66CEE"/>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C3C00"/>
    <w:rsid w:val="001B23FB"/>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B6E4E"/>
    <w:rsid w:val="0048514D"/>
    <w:rsid w:val="004B5110"/>
    <w:rsid w:val="004C09BA"/>
    <w:rsid w:val="004C1FF3"/>
    <w:rsid w:val="00513603"/>
    <w:rsid w:val="005574B6"/>
    <w:rsid w:val="006D6A57"/>
    <w:rsid w:val="006E435B"/>
    <w:rsid w:val="007335A2"/>
    <w:rsid w:val="00742319"/>
    <w:rsid w:val="0084364F"/>
    <w:rsid w:val="00855696"/>
    <w:rsid w:val="00895068"/>
    <w:rsid w:val="008A27E4"/>
    <w:rsid w:val="008D76D7"/>
    <w:rsid w:val="008F3C9F"/>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4417D"/>
    <w:rsid w:val="00DB6ED2"/>
    <w:rsid w:val="00DC21A7"/>
    <w:rsid w:val="00E22666"/>
    <w:rsid w:val="00E330DD"/>
    <w:rsid w:val="00EA0C0D"/>
    <w:rsid w:val="00EC32CF"/>
    <w:rsid w:val="00EE6B73"/>
    <w:rsid w:val="00F44392"/>
    <w:rsid w:val="00F5135A"/>
    <w:rsid w:val="00F924C7"/>
    <w:rsid w:val="00FA5F7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35</cp:revision>
  <dcterms:created xsi:type="dcterms:W3CDTF">2024-07-02T19:45:00Z</dcterms:created>
  <dcterms:modified xsi:type="dcterms:W3CDTF">2024-07-08T20:10:00Z</dcterms:modified>
</cp:coreProperties>
</file>