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CD80AF" w14:textId="2736A51B" w:rsidR="00F929BE" w:rsidRDefault="00B545B9" w:rsidP="00B545B9">
      <w:pPr>
        <w:jc w:val="center"/>
        <w:rPr>
          <w:b/>
          <w:bCs/>
        </w:rPr>
      </w:pPr>
      <w:r>
        <w:rPr>
          <w:b/>
          <w:bCs/>
        </w:rPr>
        <w:t>Methods</w:t>
      </w:r>
    </w:p>
    <w:p w14:paraId="7668BA2C" w14:textId="08CA030F" w:rsidR="00B545B9" w:rsidRDefault="00B545B9" w:rsidP="00B545B9">
      <w:pPr>
        <w:rPr>
          <w:b/>
          <w:bCs/>
        </w:rPr>
      </w:pPr>
      <w:r>
        <w:rPr>
          <w:b/>
          <w:bCs/>
        </w:rPr>
        <w:t>Participants</w:t>
      </w:r>
    </w:p>
    <w:p w14:paraId="45620FC0" w14:textId="1DD156DA" w:rsidR="00B545B9" w:rsidRDefault="00B545B9" w:rsidP="00B545B9">
      <w:r>
        <w:rPr>
          <w:b/>
          <w:bCs/>
        </w:rPr>
        <w:tab/>
      </w:r>
      <w:r w:rsidR="00F868A0">
        <w:t>Ninety-five</w:t>
      </w:r>
      <w:r>
        <w:t xml:space="preserve"> University of Southern Mississippi</w:t>
      </w:r>
      <w:r w:rsidR="008C6279">
        <w:t xml:space="preserve"> undergraduates</w:t>
      </w:r>
      <w:r>
        <w:t xml:space="preserve"> participated in this study for partial course credit</w:t>
      </w:r>
      <w:r w:rsidR="00935205">
        <w:t>.</w:t>
      </w:r>
      <w:r>
        <w:t xml:space="preserve"> All participants were native English speakers with normal or corrected-to-normal vision.</w:t>
      </w:r>
      <w:r w:rsidR="00F868A0" w:rsidRPr="0066400E">
        <w:rPr>
          <w:rFonts w:eastAsia="Arial" w:cs="Times New Roman"/>
          <w:szCs w:val="24"/>
        </w:rPr>
        <w:t xml:space="preserve"> </w:t>
      </w:r>
      <w:r w:rsidR="008C6279">
        <w:rPr>
          <w:rFonts w:eastAsia="Arial" w:cs="Times New Roman"/>
          <w:szCs w:val="24"/>
        </w:rPr>
        <w:t xml:space="preserve">A sensitivity analysis using </w:t>
      </w:r>
      <w:commentRangeStart w:id="0"/>
      <w:r w:rsidR="00F868A0" w:rsidRPr="0066400E">
        <w:rPr>
          <w:rFonts w:eastAsia="Arial" w:cs="Times New Roman"/>
          <w:i/>
          <w:szCs w:val="24"/>
        </w:rPr>
        <w:t>G*Power</w:t>
      </w:r>
      <w:r w:rsidR="00F868A0" w:rsidRPr="0066400E">
        <w:rPr>
          <w:rFonts w:eastAsia="Arial" w:cs="Times New Roman"/>
          <w:szCs w:val="24"/>
        </w:rPr>
        <w:t xml:space="preserve"> (</w:t>
      </w:r>
      <w:proofErr w:type="spellStart"/>
      <w:r w:rsidR="00F868A0" w:rsidRPr="0066400E">
        <w:rPr>
          <w:rFonts w:eastAsia="Arial" w:cs="Times New Roman"/>
          <w:szCs w:val="24"/>
        </w:rPr>
        <w:t>Faul</w:t>
      </w:r>
      <w:proofErr w:type="spellEnd"/>
      <w:r w:rsidR="00F868A0" w:rsidRPr="0066400E">
        <w:rPr>
          <w:rFonts w:eastAsia="Arial" w:cs="Times New Roman"/>
          <w:szCs w:val="24"/>
        </w:rPr>
        <w:t xml:space="preserve">, </w:t>
      </w:r>
      <w:proofErr w:type="spellStart"/>
      <w:r w:rsidR="00F868A0" w:rsidRPr="0066400E">
        <w:rPr>
          <w:rFonts w:eastAsia="Arial" w:cs="Times New Roman"/>
          <w:szCs w:val="24"/>
        </w:rPr>
        <w:t>Erdfelder</w:t>
      </w:r>
      <w:proofErr w:type="spellEnd"/>
      <w:r w:rsidR="00F868A0" w:rsidRPr="0066400E">
        <w:rPr>
          <w:rFonts w:eastAsia="Arial" w:cs="Times New Roman"/>
          <w:szCs w:val="24"/>
        </w:rPr>
        <w:t xml:space="preserve">, Lang, &amp; Buchner, 2007) </w:t>
      </w:r>
      <w:r w:rsidR="008C6279">
        <w:rPr>
          <w:rFonts w:eastAsia="Arial" w:cs="Times New Roman"/>
          <w:szCs w:val="24"/>
        </w:rPr>
        <w:t xml:space="preserve">indicated that our sample had </w:t>
      </w:r>
      <w:r w:rsidR="00F868A0">
        <w:rPr>
          <w:rFonts w:eastAsia="Arial" w:cs="Times New Roman"/>
          <w:szCs w:val="24"/>
        </w:rPr>
        <w:t xml:space="preserve">sufficient power (.80) </w:t>
      </w:r>
      <w:r w:rsidR="00F868A0" w:rsidRPr="0066400E">
        <w:rPr>
          <w:rFonts w:eastAsia="Arial" w:cs="Times New Roman"/>
          <w:szCs w:val="24"/>
        </w:rPr>
        <w:t xml:space="preserve">to detect a </w:t>
      </w:r>
      <w:r w:rsidR="00F868A0">
        <w:rPr>
          <w:rFonts w:eastAsia="Arial" w:cs="Times New Roman"/>
          <w:szCs w:val="24"/>
        </w:rPr>
        <w:t xml:space="preserve">small effect size (Cohen’s </w:t>
      </w:r>
      <w:r w:rsidR="00F868A0">
        <w:rPr>
          <w:rFonts w:eastAsia="Arial" w:cs="Times New Roman"/>
          <w:i/>
          <w:szCs w:val="24"/>
        </w:rPr>
        <w:t>d</w:t>
      </w:r>
      <w:r w:rsidR="00F868A0">
        <w:rPr>
          <w:rFonts w:eastAsia="Arial" w:cs="Times New Roman"/>
          <w:szCs w:val="24"/>
        </w:rPr>
        <w:t xml:space="preserve"> = 0.27) or larger</w:t>
      </w:r>
      <w:r w:rsidR="00F868A0" w:rsidRPr="0066400E">
        <w:rPr>
          <w:rFonts w:eastAsia="Arial" w:cs="Times New Roman"/>
          <w:szCs w:val="24"/>
        </w:rPr>
        <w:t>.</w:t>
      </w:r>
      <w:commentRangeEnd w:id="0"/>
      <w:r w:rsidR="008C6279">
        <w:rPr>
          <w:rStyle w:val="CommentReference"/>
        </w:rPr>
        <w:commentReference w:id="0"/>
      </w:r>
    </w:p>
    <w:p w14:paraId="00AF82C0" w14:textId="77777777" w:rsidR="00B545B9" w:rsidRDefault="00B545B9" w:rsidP="00B545B9">
      <w:pPr>
        <w:rPr>
          <w:b/>
          <w:bCs/>
        </w:rPr>
      </w:pPr>
      <w:r>
        <w:rPr>
          <w:b/>
          <w:bCs/>
        </w:rPr>
        <w:t>Materials</w:t>
      </w:r>
    </w:p>
    <w:p w14:paraId="44E77BA1" w14:textId="675C7A9C" w:rsidR="00BA1918" w:rsidRDefault="00B545B9">
      <w:r>
        <w:rPr>
          <w:b/>
          <w:bCs/>
        </w:rPr>
        <w:tab/>
      </w:r>
      <w:r w:rsidR="00CC0B2F">
        <w:t>The stimuli used were o</w:t>
      </w:r>
      <w:r w:rsidR="00A50752">
        <w:t xml:space="preserve">ne-hundred-eighty associative word pairs </w:t>
      </w:r>
      <w:r w:rsidR="008C6279">
        <w:t>used by</w:t>
      </w:r>
      <w:r w:rsidR="0028237F">
        <w:t xml:space="preserve"> Maxwell and Huff (under review). These word pairs were </w:t>
      </w:r>
      <w:r w:rsidR="00A50752">
        <w:t>taken from the University of South Florida Free Association Norms (Nelson et al., 2004).</w:t>
      </w:r>
      <w:r w:rsidR="00BA1918">
        <w:t xml:space="preserve"> </w:t>
      </w:r>
      <w:r w:rsidR="008C6279">
        <w:t xml:space="preserve">These pairs consisted of </w:t>
      </w:r>
      <w:r w:rsidR="00B625F9">
        <w:t xml:space="preserve"> 40 </w:t>
      </w:r>
      <w:r w:rsidR="00935205">
        <w:t xml:space="preserve">forward </w:t>
      </w:r>
      <w:r w:rsidR="008C6279">
        <w:t xml:space="preserve">associate </w:t>
      </w:r>
      <w:r w:rsidR="00935205">
        <w:t xml:space="preserve">pairs (e.g., credit-card), 40 backward </w:t>
      </w:r>
      <w:r w:rsidR="008C6279">
        <w:t xml:space="preserve">associate </w:t>
      </w:r>
      <w:r w:rsidR="00935205">
        <w:t xml:space="preserve">pairs (e.g., card-credit), 40 </w:t>
      </w:r>
      <w:r w:rsidR="008C6279">
        <w:t xml:space="preserve">symmetrical associate pairs (e.g., salt-pepper), 40 </w:t>
      </w:r>
      <w:r w:rsidR="00935205">
        <w:t xml:space="preserve">unrelated pairs (e.g. art-lion),, and 20 </w:t>
      </w:r>
      <w:r w:rsidR="008C6279">
        <w:t xml:space="preserve">buffer pairs that were not tested </w:t>
      </w:r>
      <w:r w:rsidR="00935205">
        <w:t xml:space="preserve"> to control for </w:t>
      </w:r>
      <w:r w:rsidR="00935205" w:rsidRPr="00B96769">
        <w:t>primacy and recency effects</w:t>
      </w:r>
      <w:r w:rsidR="00935205">
        <w:t xml:space="preserve">. The word pairs were divided evenly into two study </w:t>
      </w:r>
      <w:r w:rsidR="008C6279">
        <w:t>blocks</w:t>
      </w:r>
      <w:r w:rsidR="00CC0B2F">
        <w:t>,</w:t>
      </w:r>
      <w:r w:rsidR="00BC2668">
        <w:t xml:space="preserve"> each </w:t>
      </w:r>
      <w:r w:rsidR="008C6279">
        <w:t>containing</w:t>
      </w:r>
      <w:r w:rsidR="00BC2668">
        <w:t xml:space="preserve"> 20 forward, backward, unrelated, and symmetrical pairs and 10 buffer pairs, for a total of 90 pairs in each list. All participants saw both lists presented separately in study-test blocks, and the order of the </w:t>
      </w:r>
      <w:r w:rsidR="008C6279">
        <w:t>lists</w:t>
      </w:r>
      <w:r w:rsidR="00BC2668">
        <w:t xml:space="preserve"> was counterbalanced</w:t>
      </w:r>
      <w:r w:rsidR="008C6279">
        <w:t xml:space="preserve"> across participants</w:t>
      </w:r>
      <w:r w:rsidR="00BC2668">
        <w:t xml:space="preserve">. Each list </w:t>
      </w:r>
      <w:r w:rsidR="00CC0B2F">
        <w:t>began and ended with</w:t>
      </w:r>
      <w:r w:rsidR="00BC2668">
        <w:t xml:space="preserve"> five buffer pairs</w:t>
      </w:r>
      <w:r w:rsidR="00CC0B2F">
        <w:t>,</w:t>
      </w:r>
      <w:r w:rsidR="00BC2668">
        <w:t xml:space="preserve"> with the other pairs </w:t>
      </w:r>
      <w:r w:rsidR="008C6279">
        <w:t xml:space="preserve">randomized anew </w:t>
      </w:r>
      <w:r w:rsidR="00BC2668">
        <w:t xml:space="preserve">for each participant. </w:t>
      </w:r>
    </w:p>
    <w:p w14:paraId="5FAD80D2" w14:textId="67CD19DA" w:rsidR="00CE3633" w:rsidRDefault="00CE3633">
      <w:r>
        <w:tab/>
      </w:r>
      <w:r w:rsidR="008C6279">
        <w:t xml:space="preserve">Associative </w:t>
      </w:r>
      <w:r w:rsidR="008C6279">
        <w:rPr>
          <w:rFonts w:eastAsia="Arial" w:cs="Times New Roman"/>
          <w:szCs w:val="24"/>
        </w:rPr>
        <w:t>p</w:t>
      </w:r>
      <w:r>
        <w:rPr>
          <w:rFonts w:eastAsia="Arial" w:cs="Times New Roman"/>
          <w:szCs w:val="24"/>
        </w:rPr>
        <w:t>air</w:t>
      </w:r>
      <w:r w:rsidR="008C6279">
        <w:rPr>
          <w:rFonts w:eastAsia="Arial" w:cs="Times New Roman"/>
          <w:szCs w:val="24"/>
        </w:rPr>
        <w:t xml:space="preserve"> types</w:t>
      </w:r>
      <w:r w:rsidR="0028237F">
        <w:rPr>
          <w:rFonts w:eastAsia="Arial" w:cs="Times New Roman"/>
          <w:szCs w:val="24"/>
        </w:rPr>
        <w:t xml:space="preserve"> </w:t>
      </w:r>
      <w:r>
        <w:rPr>
          <w:rFonts w:eastAsia="Arial" w:cs="Times New Roman"/>
          <w:szCs w:val="24"/>
        </w:rPr>
        <w:t>were equated on associative strength (i.e., FAS</w:t>
      </w:r>
      <w:r w:rsidRPr="0066400E">
        <w:rPr>
          <w:rFonts w:eastAsia="Arial" w:cs="Times New Roman"/>
          <w:szCs w:val="24"/>
        </w:rPr>
        <w:t xml:space="preserve"> and </w:t>
      </w:r>
      <w:r>
        <w:rPr>
          <w:rFonts w:eastAsia="Arial" w:cs="Times New Roman"/>
          <w:szCs w:val="24"/>
        </w:rPr>
        <w:t>BAS) using the Nelson et al. (2004) free-association norms</w:t>
      </w:r>
      <w:r w:rsidR="0028237F">
        <w:rPr>
          <w:rFonts w:eastAsia="Arial" w:cs="Times New Roman"/>
          <w:szCs w:val="24"/>
        </w:rPr>
        <w:t>.</w:t>
      </w:r>
      <w:r w:rsidRPr="0066400E">
        <w:rPr>
          <w:rFonts w:eastAsia="Arial" w:cs="Times New Roman"/>
          <w:szCs w:val="24"/>
        </w:rPr>
        <w:t xml:space="preserve"> </w:t>
      </w:r>
      <w:r w:rsidR="00DD55E4">
        <w:rPr>
          <w:rFonts w:eastAsia="Arial" w:cs="Times New Roman"/>
          <w:szCs w:val="24"/>
        </w:rPr>
        <w:t>Additionally, these pairs were designed to</w:t>
      </w:r>
      <w:r w:rsidR="0028237F">
        <w:rPr>
          <w:rFonts w:eastAsia="Arial" w:cs="Times New Roman"/>
          <w:szCs w:val="24"/>
        </w:rPr>
        <w:t xml:space="preserve"> </w:t>
      </w:r>
      <w:r w:rsidR="00DD55E4">
        <w:rPr>
          <w:rFonts w:eastAsia="Arial" w:cs="Times New Roman"/>
          <w:szCs w:val="24"/>
        </w:rPr>
        <w:t xml:space="preserve">control </w:t>
      </w:r>
      <w:r w:rsidR="0028237F">
        <w:rPr>
          <w:rFonts w:eastAsia="Arial" w:cs="Times New Roman"/>
          <w:szCs w:val="24"/>
        </w:rPr>
        <w:t xml:space="preserve">for </w:t>
      </w:r>
      <w:r>
        <w:rPr>
          <w:rFonts w:eastAsia="Arial" w:cs="Times New Roman"/>
          <w:szCs w:val="24"/>
        </w:rPr>
        <w:t>lexical and semantic properties</w:t>
      </w:r>
      <w:r w:rsidR="00DD55E4">
        <w:rPr>
          <w:rFonts w:eastAsia="Arial" w:cs="Times New Roman"/>
          <w:szCs w:val="24"/>
        </w:rPr>
        <w:t xml:space="preserve"> that could potentially influence recall ability,</w:t>
      </w:r>
      <w:r>
        <w:rPr>
          <w:rFonts w:eastAsia="Arial" w:cs="Times New Roman"/>
          <w:szCs w:val="24"/>
        </w:rPr>
        <w:t xml:space="preserve"> including word</w:t>
      </w:r>
      <w:r w:rsidRPr="0066400E">
        <w:rPr>
          <w:rFonts w:eastAsia="Arial" w:cs="Times New Roman"/>
          <w:szCs w:val="24"/>
        </w:rPr>
        <w:t xml:space="preserve"> length, SUBTLEX frequency</w:t>
      </w:r>
      <w:r>
        <w:rPr>
          <w:rFonts w:eastAsia="Arial" w:cs="Times New Roman"/>
          <w:szCs w:val="24"/>
        </w:rPr>
        <w:t xml:space="preserve"> (Brysbaert &amp; New, 2009), and concreteness values </w:t>
      </w:r>
      <w:r w:rsidRPr="0066400E">
        <w:rPr>
          <w:rFonts w:eastAsia="Arial" w:cs="Times New Roman"/>
          <w:szCs w:val="24"/>
        </w:rPr>
        <w:t xml:space="preserve">from </w:t>
      </w:r>
      <w:r w:rsidR="00DD55E4">
        <w:rPr>
          <w:rFonts w:eastAsia="Arial" w:cs="Times New Roman"/>
          <w:szCs w:val="24"/>
        </w:rPr>
        <w:t xml:space="preserve">derived </w:t>
      </w:r>
      <w:r w:rsidR="00DD55E4">
        <w:rPr>
          <w:rFonts w:eastAsia="Arial" w:cs="Times New Roman"/>
          <w:szCs w:val="24"/>
        </w:rPr>
        <w:lastRenderedPageBreak/>
        <w:t xml:space="preserve">from </w:t>
      </w:r>
      <w:r w:rsidRPr="0066400E">
        <w:rPr>
          <w:rFonts w:eastAsia="Arial" w:cs="Times New Roman"/>
          <w:szCs w:val="24"/>
        </w:rPr>
        <w:t>the English Lexicon Project (</w:t>
      </w:r>
      <w:proofErr w:type="spellStart"/>
      <w:r w:rsidRPr="009907B5">
        <w:rPr>
          <w:rFonts w:eastAsia="Arial" w:cs="Times New Roman"/>
          <w:szCs w:val="24"/>
        </w:rPr>
        <w:t>Balota</w:t>
      </w:r>
      <w:proofErr w:type="spellEnd"/>
      <w:r w:rsidRPr="009907B5">
        <w:rPr>
          <w:rFonts w:eastAsia="Arial" w:cs="Times New Roman"/>
          <w:szCs w:val="24"/>
        </w:rPr>
        <w:t xml:space="preserve"> et al., 2007</w:t>
      </w:r>
      <w:r w:rsidRPr="00DD55E4">
        <w:rPr>
          <w:rFonts w:eastAsia="Arial" w:cs="Times New Roman"/>
          <w:szCs w:val="24"/>
        </w:rPr>
        <w:t>).</w:t>
      </w:r>
      <w:r w:rsidR="0028237F" w:rsidRPr="00DD55E4">
        <w:rPr>
          <w:rFonts w:eastAsia="Arial" w:cs="Times New Roman"/>
          <w:szCs w:val="24"/>
        </w:rPr>
        <w:t xml:space="preserve"> </w:t>
      </w:r>
      <w:r w:rsidR="008C6279">
        <w:rPr>
          <w:rFonts w:eastAsia="Arial" w:cs="Times New Roman"/>
          <w:szCs w:val="24"/>
        </w:rPr>
        <w:t xml:space="preserve">Further, the </w:t>
      </w:r>
      <w:proofErr w:type="gramStart"/>
      <w:r w:rsidR="008C6279">
        <w:rPr>
          <w:rFonts w:eastAsia="Arial" w:cs="Times New Roman"/>
          <w:szCs w:val="24"/>
        </w:rPr>
        <w:t xml:space="preserve">two </w:t>
      </w:r>
      <w:r w:rsidR="00DD55E4">
        <w:rPr>
          <w:rFonts w:eastAsia="Arial" w:cs="Times New Roman"/>
          <w:szCs w:val="24"/>
        </w:rPr>
        <w:t xml:space="preserve"> s</w:t>
      </w:r>
      <w:r w:rsidRPr="00DD55E4">
        <w:rPr>
          <w:rFonts w:eastAsia="Arial" w:cs="Times New Roman"/>
          <w:szCs w:val="24"/>
        </w:rPr>
        <w:t>tudy</w:t>
      </w:r>
      <w:proofErr w:type="gramEnd"/>
      <w:r w:rsidRPr="00DD55E4">
        <w:rPr>
          <w:rFonts w:eastAsia="Arial" w:cs="Times New Roman"/>
          <w:szCs w:val="24"/>
        </w:rPr>
        <w:t xml:space="preserve"> blocks were</w:t>
      </w:r>
      <w:r w:rsidR="008C6279">
        <w:rPr>
          <w:rFonts w:eastAsia="Arial" w:cs="Times New Roman"/>
          <w:szCs w:val="24"/>
        </w:rPr>
        <w:t xml:space="preserve"> also</w:t>
      </w:r>
      <w:r w:rsidRPr="00DD55E4">
        <w:rPr>
          <w:rFonts w:eastAsia="Arial" w:cs="Times New Roman"/>
          <w:szCs w:val="24"/>
        </w:rPr>
        <w:t xml:space="preserve"> matched on </w:t>
      </w:r>
      <w:r w:rsidR="0028237F" w:rsidRPr="00DD55E4">
        <w:rPr>
          <w:rFonts w:eastAsia="Arial" w:cs="Times New Roman"/>
          <w:szCs w:val="24"/>
        </w:rPr>
        <w:t xml:space="preserve">each of </w:t>
      </w:r>
      <w:r w:rsidRPr="00DD55E4">
        <w:rPr>
          <w:rFonts w:eastAsia="Arial" w:cs="Times New Roman"/>
          <w:szCs w:val="24"/>
        </w:rPr>
        <w:t>these properties</w:t>
      </w:r>
      <w:r w:rsidR="00DD55E4">
        <w:rPr>
          <w:rFonts w:eastAsia="Arial" w:cs="Times New Roman"/>
          <w:szCs w:val="24"/>
        </w:rPr>
        <w:t>. Thus,</w:t>
      </w:r>
      <w:r w:rsidRPr="00DD55E4">
        <w:rPr>
          <w:rFonts w:eastAsia="Arial" w:cs="Times New Roman"/>
          <w:szCs w:val="24"/>
        </w:rPr>
        <w:t xml:space="preserve"> mean associative overlap and lexical/semantic properties were equivalent between direction types and across study </w:t>
      </w:r>
      <w:r w:rsidR="008C6279">
        <w:rPr>
          <w:rFonts w:eastAsia="Arial" w:cs="Times New Roman"/>
          <w:szCs w:val="24"/>
        </w:rPr>
        <w:t>blocks</w:t>
      </w:r>
      <w:r w:rsidRPr="00DD55E4">
        <w:rPr>
          <w:rFonts w:eastAsia="Arial" w:cs="Times New Roman"/>
          <w:szCs w:val="24"/>
        </w:rPr>
        <w:t xml:space="preserve">. </w:t>
      </w:r>
      <w:r w:rsidR="00DD55E4">
        <w:rPr>
          <w:rFonts w:eastAsia="Arial" w:cs="Times New Roman"/>
          <w:szCs w:val="24"/>
        </w:rPr>
        <w:t>Finally</w:t>
      </w:r>
      <w:r w:rsidRPr="00DD55E4">
        <w:rPr>
          <w:rFonts w:eastAsia="Arial" w:cs="Times New Roman"/>
          <w:szCs w:val="24"/>
        </w:rPr>
        <w:t xml:space="preserve">, counterbalanced versions of the study lists were created that switched the order of the word pairs (i.e., forest-tree vs. tree-forest). </w:t>
      </w:r>
      <w:r w:rsidR="00DD55E4">
        <w:rPr>
          <w:rFonts w:eastAsia="Arial" w:cs="Times New Roman"/>
          <w:szCs w:val="24"/>
        </w:rPr>
        <w:t>As a result, forward pairs from one counterbalance became backward pairs on another</w:t>
      </w:r>
      <w:r w:rsidR="008C6279">
        <w:rPr>
          <w:rFonts w:eastAsia="Arial" w:cs="Times New Roman"/>
          <w:szCs w:val="24"/>
        </w:rPr>
        <w:t xml:space="preserve"> and vice versa</w:t>
      </w:r>
      <w:r w:rsidR="00DD55E4">
        <w:rPr>
          <w:rFonts w:eastAsia="Arial" w:cs="Times New Roman"/>
          <w:szCs w:val="24"/>
        </w:rPr>
        <w:t xml:space="preserve">. </w:t>
      </w:r>
      <w:r w:rsidR="008C6279">
        <w:rPr>
          <w:rFonts w:eastAsia="Arial" w:cs="Times New Roman"/>
          <w:szCs w:val="24"/>
        </w:rPr>
        <w:t>Alternating pair direction</w:t>
      </w:r>
      <w:r w:rsidR="008C6279" w:rsidRPr="00DD55E4">
        <w:rPr>
          <w:rFonts w:eastAsia="Arial" w:cs="Times New Roman"/>
          <w:szCs w:val="24"/>
        </w:rPr>
        <w:t xml:space="preserve"> </w:t>
      </w:r>
      <w:r w:rsidRPr="00DD55E4">
        <w:rPr>
          <w:rFonts w:eastAsia="Arial" w:cs="Times New Roman"/>
          <w:szCs w:val="24"/>
        </w:rPr>
        <w:t>allowed for greater control of item differences, particularly on forward and backward pairs, as the same items were used in both the forward and backward directions across counterbalances. Pair order was similarly flipped and counterbalanced across unrelated and symmetrical pairs.</w:t>
      </w:r>
    </w:p>
    <w:p w14:paraId="3B24B8E9" w14:textId="7C3E8951" w:rsidR="00BC2668" w:rsidRDefault="00BC2668">
      <w:r>
        <w:tab/>
        <w:t>The cued-recall test in each block contained all 80 cue words from the studied pairs</w:t>
      </w:r>
      <w:r w:rsidR="00C97C00">
        <w:t xml:space="preserve"> minus the buffer pairs which were not tested.</w:t>
      </w:r>
      <w:r>
        <w:t xml:space="preserve"> The cue word was shown next to a question mark that </w:t>
      </w:r>
      <w:r w:rsidR="004D756A">
        <w:t xml:space="preserve">had replaced the target word. The order of the test was randomly </w:t>
      </w:r>
      <w:r w:rsidR="00C97C00">
        <w:t xml:space="preserve">anew </w:t>
      </w:r>
      <w:r w:rsidR="004D756A">
        <w:t xml:space="preserve">for each participant. </w:t>
      </w:r>
    </w:p>
    <w:p w14:paraId="034CFCA0" w14:textId="1B40143E" w:rsidR="00BA1918" w:rsidRPr="00BA1918" w:rsidRDefault="00BA1918">
      <w:pPr>
        <w:rPr>
          <w:b/>
          <w:bCs/>
        </w:rPr>
      </w:pPr>
      <w:r w:rsidRPr="00BA1918">
        <w:rPr>
          <w:b/>
          <w:bCs/>
        </w:rPr>
        <w:t>Procedure</w:t>
      </w:r>
    </w:p>
    <w:p w14:paraId="5F555287" w14:textId="415F49BF" w:rsidR="00760A3C" w:rsidRDefault="00760A3C" w:rsidP="004D2F67">
      <w:pPr>
        <w:ind w:firstLine="720"/>
      </w:pPr>
      <w:r>
        <w:t xml:space="preserve">The design for this study was modeled after Maxwell and Huff (under review). </w:t>
      </w:r>
      <w:r w:rsidR="0042278A">
        <w:t xml:space="preserve">All participants were run individually on computers using the </w:t>
      </w:r>
      <w:r w:rsidR="0042278A">
        <w:rPr>
          <w:i/>
          <w:iCs/>
        </w:rPr>
        <w:t xml:space="preserve">E-Prime </w:t>
      </w:r>
      <w:r w:rsidR="0042278A" w:rsidRPr="0042278A">
        <w:t>3</w:t>
      </w:r>
      <w:r w:rsidR="0042278A">
        <w:t xml:space="preserve"> software (Psychology Software Tools, Pittsburgh, PA).</w:t>
      </w:r>
      <w:r>
        <w:t xml:space="preserve"> </w:t>
      </w:r>
      <w:r w:rsidR="0042278A">
        <w:t xml:space="preserve"> </w:t>
      </w:r>
      <w:r w:rsidRPr="00760A3C">
        <w:t xml:space="preserve">Participants were </w:t>
      </w:r>
      <w:r>
        <w:t>randomly assigned to</w:t>
      </w:r>
      <w:r w:rsidRPr="00760A3C">
        <w:t xml:space="preserve"> one of three different </w:t>
      </w:r>
      <w:r w:rsidR="00C97C00">
        <w:t xml:space="preserve">encoding </w:t>
      </w:r>
      <w:commentRangeStart w:id="1"/>
      <w:r w:rsidR="00C97C00">
        <w:t>groups</w:t>
      </w:r>
      <w:commentRangeEnd w:id="1"/>
      <w:r w:rsidR="00C97C00">
        <w:rPr>
          <w:rStyle w:val="CommentReference"/>
        </w:rPr>
        <w:commentReference w:id="1"/>
      </w:r>
      <w:r w:rsidR="00C97C00">
        <w:t>=</w:t>
      </w:r>
      <w:r>
        <w:t xml:space="preserve">: Item-specific, Relational, or a </w:t>
      </w:r>
      <w:r w:rsidR="00C97C00">
        <w:t>Read-</w:t>
      </w:r>
      <w:r>
        <w:t xml:space="preserve">only control. For each study </w:t>
      </w:r>
      <w:r w:rsidR="00C97C00">
        <w:t>group</w:t>
      </w:r>
      <w:r>
        <w:t>, p</w:t>
      </w:r>
      <w:r w:rsidR="00AF6314" w:rsidRPr="0042278A">
        <w:t>articipants</w:t>
      </w:r>
      <w:r w:rsidR="00AF6314">
        <w:t xml:space="preserve"> were told t</w:t>
      </w:r>
      <w:r w:rsidR="007D16D8">
        <w:t xml:space="preserve">hat they </w:t>
      </w:r>
      <w:r w:rsidR="00C97C00">
        <w:t>would study a series of</w:t>
      </w:r>
      <w:r w:rsidR="007D16D8">
        <w:t xml:space="preserve"> word pairs</w:t>
      </w:r>
      <w:r>
        <w:t xml:space="preserve"> </w:t>
      </w:r>
      <w:r w:rsidR="007D16D8">
        <w:t xml:space="preserve">and </w:t>
      </w:r>
      <w:r w:rsidR="00C97C00">
        <w:t>that their memory for these pairs would be tested later.</w:t>
      </w:r>
      <w:r w:rsidR="007D16D8">
        <w:t xml:space="preserve"> </w:t>
      </w:r>
      <w:r>
        <w:t xml:space="preserve">The cue word was always presented on the left and the target word was always presented on the right. </w:t>
      </w:r>
      <w:r w:rsidR="007D16D8">
        <w:t>Participants were instructed</w:t>
      </w:r>
      <w:r>
        <w:t xml:space="preserve"> to</w:t>
      </w:r>
      <w:r w:rsidR="007D16D8">
        <w:t xml:space="preserve"> rate</w:t>
      </w:r>
      <w:r w:rsidR="00C97C00">
        <w:t xml:space="preserve"> (via JOL)</w:t>
      </w:r>
      <w:r w:rsidR="007D16D8">
        <w:t xml:space="preserve"> how likely they were to remember the </w:t>
      </w:r>
      <w:r w:rsidR="00C97C00">
        <w:t xml:space="preserve">target </w:t>
      </w:r>
      <w:r w:rsidR="007D16D8">
        <w:t xml:space="preserve">word </w:t>
      </w:r>
      <w:r w:rsidR="00C97C00">
        <w:t>if they were only presented with the cue at test. JOL ratings were made using a</w:t>
      </w:r>
      <w:r w:rsidR="007D16D8">
        <w:t xml:space="preserve"> 0 to 100</w:t>
      </w:r>
      <w:r w:rsidR="00C97C00">
        <w:t xml:space="preserve"> scale</w:t>
      </w:r>
      <w:r w:rsidR="007D16D8">
        <w:t xml:space="preserve">, with 0 being “I </w:t>
      </w:r>
      <w:r w:rsidR="00F32AEB">
        <w:t xml:space="preserve">am certain I </w:t>
      </w:r>
      <w:r w:rsidR="007D16D8">
        <w:t xml:space="preserve">WILL NOT </w:t>
      </w:r>
      <w:r w:rsidR="00F32AEB">
        <w:t>REMEMBER</w:t>
      </w:r>
      <w:r w:rsidR="007D16D8">
        <w:t xml:space="preserve"> the word pair” and 100 being “I </w:t>
      </w:r>
      <w:r w:rsidR="00F32AEB">
        <w:t xml:space="preserve">am certain I </w:t>
      </w:r>
      <w:r w:rsidR="007D16D8">
        <w:t xml:space="preserve">WILL </w:t>
      </w:r>
      <w:r w:rsidR="00F32AEB">
        <w:t xml:space="preserve">REMEMBER </w:t>
      </w:r>
      <w:r w:rsidR="007D16D8">
        <w:t xml:space="preserve">the word pair.” Participants </w:t>
      </w:r>
      <w:r w:rsidR="007D16D8">
        <w:lastRenderedPageBreak/>
        <w:t>were also instructed to use the full range of the scale when providing their ratings to help reduce anchoring on the ends of the scale.</w:t>
      </w:r>
      <w:r w:rsidR="004F34DA">
        <w:t xml:space="preserve"> </w:t>
      </w:r>
    </w:p>
    <w:p w14:paraId="19617609" w14:textId="2E504B6B" w:rsidR="0042278A" w:rsidRDefault="00760A3C" w:rsidP="004D2F67">
      <w:pPr>
        <w:ind w:firstLine="720"/>
      </w:pPr>
      <w:r>
        <w:t>For</w:t>
      </w:r>
      <w:r w:rsidR="004F34DA">
        <w:t xml:space="preserve"> the Read </w:t>
      </w:r>
      <w:r w:rsidR="00C97C00">
        <w:t>group</w:t>
      </w:r>
      <w:r w:rsidR="004F34DA">
        <w:t>, participants were instructed to study the word pairs by reading them silently</w:t>
      </w:r>
      <w:r w:rsidR="00C97C00">
        <w:t xml:space="preserve"> to themselves which</w:t>
      </w:r>
      <w:r w:rsidR="004F34DA">
        <w:t xml:space="preserve"> served as the control condition. For the Relational </w:t>
      </w:r>
      <w:r w:rsidR="00C97C00">
        <w:t>group</w:t>
      </w:r>
      <w:r w:rsidR="004F34DA">
        <w:t xml:space="preserve">, participants were instructed to study the word pairs by thinking about how the words in each pair were related. The example given was if a participant saw the pair “Cat-Turtle”, they may think about how cats and turtles are both animals or how cats and turtles can both be pets. For the Item-Specific </w:t>
      </w:r>
      <w:r w:rsidR="00C97C00">
        <w:t>group</w:t>
      </w:r>
      <w:r w:rsidR="004F34DA">
        <w:t>, participants were instructed to study the word pairs by thinking about how the words in each pair were unique. The example given was if a participant saw the pair “Cat-Turtle”, they might think about how cats have fur</w:t>
      </w:r>
      <w:r w:rsidR="004D2F67">
        <w:t>,</w:t>
      </w:r>
      <w:r w:rsidR="004F34DA">
        <w:t xml:space="preserve"> </w:t>
      </w:r>
      <w:r w:rsidR="004D2F67">
        <w:t xml:space="preserve">but </w:t>
      </w:r>
      <w:r w:rsidR="004F34DA">
        <w:t>turtles have shells</w:t>
      </w:r>
      <w:r w:rsidR="004D2F67">
        <w:t xml:space="preserve"> or how cats are mammals, but turtles are reptiles. Participants only saw one type of study instruction. </w:t>
      </w:r>
      <w:r w:rsidR="007D16D8">
        <w:t xml:space="preserve">After the instructions, </w:t>
      </w:r>
      <w:r w:rsidR="0042278A">
        <w:t>participants</w:t>
      </w:r>
      <w:r w:rsidR="00F32AEB">
        <w:t xml:space="preserve"> completed a ten-word practice set. Participants</w:t>
      </w:r>
      <w:r w:rsidR="007D16D8">
        <w:t xml:space="preserve"> were </w:t>
      </w:r>
      <w:r w:rsidR="00F32AEB">
        <w:t xml:space="preserve">then </w:t>
      </w:r>
      <w:r w:rsidR="007D16D8">
        <w:t>given their fir</w:t>
      </w:r>
      <w:r w:rsidR="0042278A">
        <w:t>st block of word lists to study</w:t>
      </w:r>
      <w:r w:rsidR="00F32AEB">
        <w:t xml:space="preserve"> </w:t>
      </w:r>
      <w:r w:rsidR="0042278A">
        <w:t>at their own pace and provided their JOL rating</w:t>
      </w:r>
      <w:r w:rsidR="00F32AEB">
        <w:t>s</w:t>
      </w:r>
      <w:r w:rsidR="0042278A">
        <w:t xml:space="preserve"> while the word pair was displayed.</w:t>
      </w:r>
    </w:p>
    <w:p w14:paraId="4A44E8BB" w14:textId="57F530C7" w:rsidR="004D2F67" w:rsidRDefault="0042278A" w:rsidP="009E5953">
      <w:pPr>
        <w:ind w:firstLine="720"/>
      </w:pPr>
      <w:r>
        <w:t xml:space="preserve">After the first study block was completed, participants were given </w:t>
      </w:r>
      <w:r w:rsidR="00F32AEB">
        <w:t>two</w:t>
      </w:r>
      <w:r w:rsidR="004D2F67">
        <w:t xml:space="preserve"> minutes to complete a</w:t>
      </w:r>
      <w:r w:rsidR="00C97C00">
        <w:t>n arithmetic filler</w:t>
      </w:r>
      <w:r w:rsidR="004D2F67">
        <w:t xml:space="preserve">. Participants then completed a cued-recall task in which </w:t>
      </w:r>
      <w:r w:rsidR="00F32AEB">
        <w:t xml:space="preserve">only </w:t>
      </w:r>
      <w:r w:rsidR="004D2F67">
        <w:t xml:space="preserve">the cue word was </w:t>
      </w:r>
      <w:r w:rsidR="00F32AEB">
        <w:t>presented,</w:t>
      </w:r>
      <w:r w:rsidR="004D2F67">
        <w:t xml:space="preserve"> and they were asked to provide the target word from memory. Participants were encouraged to give their best guest as to what the target word was if they were unable to retrieve the target word, but partic</w:t>
      </w:r>
      <w:r w:rsidR="00B46DB5">
        <w:t>i</w:t>
      </w:r>
      <w:r w:rsidR="004D2F67">
        <w:t>pants were able to skip to the next cue by pressing enter if they could not remember.</w:t>
      </w:r>
      <w:r w:rsidR="00B46DB5">
        <w:t xml:space="preserve"> After the first cued-recall test was finished, participants then went through a second study/test block with the same </w:t>
      </w:r>
      <w:r w:rsidR="00C97C00">
        <w:t xml:space="preserve">encoding </w:t>
      </w:r>
      <w:r w:rsidR="00B46DB5">
        <w:t xml:space="preserve">instructions as the first block. Once participants had completed the second block, they were debriefed on the study. </w:t>
      </w:r>
      <w:r w:rsidR="00C97C00">
        <w:t>Participants generally completed the experiment in under 1 hour.</w:t>
      </w:r>
    </w:p>
    <w:p w14:paraId="5840B0CA" w14:textId="170FB5A0" w:rsidR="00BA1918" w:rsidRDefault="00BA1918" w:rsidP="00BA1918">
      <w:pPr>
        <w:jc w:val="center"/>
        <w:rPr>
          <w:b/>
          <w:bCs/>
        </w:rPr>
      </w:pPr>
      <w:r>
        <w:rPr>
          <w:b/>
          <w:bCs/>
        </w:rPr>
        <w:lastRenderedPageBreak/>
        <w:t>References</w:t>
      </w:r>
    </w:p>
    <w:p w14:paraId="50B7714C" w14:textId="192C0FB6" w:rsidR="00BA1918" w:rsidRDefault="00BA1918" w:rsidP="00BA1918">
      <w:pPr>
        <w:ind w:left="720" w:hanging="720"/>
        <w:rPr>
          <w:color w:val="000000" w:themeColor="text1"/>
          <w:shd w:val="clear" w:color="auto" w:fill="FFFFFF"/>
        </w:rPr>
      </w:pPr>
      <w:r w:rsidRPr="00DD55E4">
        <w:rPr>
          <w:color w:val="000000" w:themeColor="text1"/>
          <w:shd w:val="clear" w:color="auto" w:fill="FFFFFF"/>
        </w:rPr>
        <w:t xml:space="preserve">Nelson, D. L., </w:t>
      </w:r>
      <w:proofErr w:type="spellStart"/>
      <w:r w:rsidRPr="00DD55E4">
        <w:rPr>
          <w:color w:val="000000" w:themeColor="text1"/>
          <w:shd w:val="clear" w:color="auto" w:fill="FFFFFF"/>
        </w:rPr>
        <w:t>Mcevoy</w:t>
      </w:r>
      <w:proofErr w:type="spellEnd"/>
      <w:r w:rsidRPr="00DD55E4">
        <w:rPr>
          <w:color w:val="000000" w:themeColor="text1"/>
          <w:shd w:val="clear" w:color="auto" w:fill="FFFFFF"/>
        </w:rPr>
        <w:t>, C. L., &amp; Schreiber, T. A. (2004). The University of South Florida free association, rhyme, and word fragment norms. </w:t>
      </w:r>
      <w:r w:rsidRPr="00DD55E4">
        <w:rPr>
          <w:i/>
          <w:iCs/>
          <w:color w:val="000000" w:themeColor="text1"/>
        </w:rPr>
        <w:t>Behavior Research Methods, Instruments, &amp; Computers</w:t>
      </w:r>
      <w:r w:rsidRPr="00DD55E4">
        <w:rPr>
          <w:color w:val="000000" w:themeColor="text1"/>
          <w:shd w:val="clear" w:color="auto" w:fill="FFFFFF"/>
        </w:rPr>
        <w:t>, </w:t>
      </w:r>
      <w:r w:rsidRPr="00DD55E4">
        <w:rPr>
          <w:i/>
          <w:iCs/>
          <w:color w:val="000000" w:themeColor="text1"/>
        </w:rPr>
        <w:t>36</w:t>
      </w:r>
      <w:r w:rsidRPr="00DD55E4">
        <w:rPr>
          <w:color w:val="000000" w:themeColor="text1"/>
          <w:shd w:val="clear" w:color="auto" w:fill="FFFFFF"/>
        </w:rPr>
        <w:t>(3), 402–407. doi: 10.3758/bf03195588</w:t>
      </w:r>
    </w:p>
    <w:p w14:paraId="4A6366E6" w14:textId="626F5EB8" w:rsidR="00DD55E4" w:rsidRDefault="00DD55E4">
      <w:pPr>
        <w:rPr>
          <w:color w:val="000000" w:themeColor="text1"/>
          <w:shd w:val="clear" w:color="auto" w:fill="FFFFFF"/>
        </w:rPr>
      </w:pPr>
      <w:r>
        <w:rPr>
          <w:color w:val="000000" w:themeColor="text1"/>
          <w:shd w:val="clear" w:color="auto" w:fill="FFFFFF"/>
        </w:rPr>
        <w:br w:type="page"/>
      </w:r>
    </w:p>
    <w:p w14:paraId="65919886" w14:textId="7797CA9F" w:rsidR="00DD55E4" w:rsidRPr="00DD55E4" w:rsidRDefault="00DD55E4" w:rsidP="00DD55E4">
      <w:pPr>
        <w:spacing w:line="240" w:lineRule="auto"/>
        <w:ind w:left="720" w:hanging="720"/>
        <w:jc w:val="center"/>
        <w:rPr>
          <w:b/>
          <w:bCs/>
          <w:color w:val="000000" w:themeColor="text1"/>
        </w:rPr>
      </w:pPr>
      <w:r>
        <w:rPr>
          <w:noProof/>
        </w:rPr>
        <w:lastRenderedPageBreak/>
        <w:drawing>
          <wp:inline distT="0" distB="0" distL="0" distR="0" wp14:anchorId="15452C60" wp14:editId="60E510FE">
            <wp:extent cx="5486400" cy="2560320"/>
            <wp:effectExtent l="0" t="0" r="0"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12987EA" w14:textId="4EC9D336" w:rsidR="00BA1918" w:rsidRDefault="00DD55E4" w:rsidP="00DD55E4">
      <w:pPr>
        <w:spacing w:line="240" w:lineRule="auto"/>
        <w:jc w:val="center"/>
        <w:rPr>
          <w:b/>
          <w:bCs/>
        </w:rPr>
      </w:pPr>
      <w:r>
        <w:rPr>
          <w:noProof/>
        </w:rPr>
        <w:drawing>
          <wp:inline distT="0" distB="0" distL="0" distR="0" wp14:anchorId="1EDAEF3C" wp14:editId="6F7BD66B">
            <wp:extent cx="5486400" cy="256032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Pr>
          <w:noProof/>
        </w:rPr>
        <w:drawing>
          <wp:inline distT="0" distB="0" distL="0" distR="0" wp14:anchorId="661AAAF5" wp14:editId="1A6C95BC">
            <wp:extent cx="5486400" cy="2560320"/>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FB8B0E2" w14:textId="36D5CA71" w:rsidR="00DD55E4" w:rsidRPr="00DD55E4" w:rsidRDefault="00DD55E4" w:rsidP="00DD55E4">
      <w:pPr>
        <w:spacing w:after="160" w:line="259" w:lineRule="auto"/>
        <w:rPr>
          <w14:textOutline w14:w="9525" w14:cap="rnd" w14:cmpd="sng" w14:algn="ctr">
            <w14:noFill/>
            <w14:prstDash w14:val="solid"/>
            <w14:bevel/>
          </w14:textOutline>
        </w:rPr>
      </w:pPr>
      <w:r w:rsidRPr="00DD55E4">
        <w:rPr>
          <w:i/>
          <w:iCs/>
          <w14:textOutline w14:w="9525" w14:cap="rnd" w14:cmpd="sng" w14:algn="ctr">
            <w14:noFill/>
            <w14:prstDash w14:val="solid"/>
            <w14:bevel/>
          </w14:textOutline>
        </w:rPr>
        <w:t xml:space="preserve">Figure </w:t>
      </w:r>
      <w:r w:rsidR="009E5953">
        <w:rPr>
          <w:i/>
          <w:iCs/>
          <w14:textOutline w14:w="9525" w14:cap="rnd" w14:cmpd="sng" w14:algn="ctr">
            <w14:noFill/>
            <w14:prstDash w14:val="solid"/>
            <w14:bevel/>
          </w14:textOutline>
        </w:rPr>
        <w:t>1</w:t>
      </w:r>
      <w:bookmarkStart w:id="2" w:name="_GoBack"/>
      <w:bookmarkEnd w:id="2"/>
      <w:r w:rsidRPr="00DD55E4">
        <w:rPr>
          <w14:textOutline w14:w="9525" w14:cap="rnd" w14:cmpd="sng" w14:algn="ctr">
            <w14:noFill/>
            <w14:prstDash w14:val="solid"/>
            <w14:bevel/>
          </w14:textOutline>
        </w:rPr>
        <w:t xml:space="preserve">. Comparison of mean JOL ratings and recall rates across each pair type for </w:t>
      </w:r>
      <w:r w:rsidR="009663BE">
        <w:rPr>
          <w14:textOutline w14:w="9525" w14:cap="rnd" w14:cmpd="sng" w14:algn="ctr">
            <w14:noFill/>
            <w14:prstDash w14:val="solid"/>
            <w14:bevel/>
          </w14:textOutline>
        </w:rPr>
        <w:t xml:space="preserve">each of </w:t>
      </w:r>
      <w:r w:rsidRPr="00DD55E4">
        <w:rPr>
          <w14:textOutline w14:w="9525" w14:cap="rnd" w14:cmpd="sng" w14:algn="ctr">
            <w14:noFill/>
            <w14:prstDash w14:val="solid"/>
            <w14:bevel/>
          </w14:textOutline>
        </w:rPr>
        <w:t>the</w:t>
      </w:r>
      <w:r w:rsidR="009663BE">
        <w:rPr>
          <w14:textOutline w14:w="9525" w14:cap="rnd" w14:cmpd="sng" w14:algn="ctr">
            <w14:noFill/>
            <w14:prstDash w14:val="solid"/>
            <w14:bevel/>
          </w14:textOutline>
        </w:rPr>
        <w:t xml:space="preserve"> three</w:t>
      </w:r>
      <w:r w:rsidRPr="00DD55E4">
        <w:rPr>
          <w14:textOutline w14:w="9525" w14:cap="rnd" w14:cmpd="sng" w14:algn="ctr">
            <w14:noFill/>
            <w14:prstDash w14:val="solid"/>
            <w14:bevel/>
          </w14:textOutline>
        </w:rPr>
        <w:t xml:space="preserve"> </w:t>
      </w:r>
      <w:r w:rsidR="009663BE">
        <w:rPr>
          <w14:textOutline w14:w="9525" w14:cap="rnd" w14:cmpd="sng" w14:algn="ctr">
            <w14:noFill/>
            <w14:prstDash w14:val="solid"/>
            <w14:bevel/>
          </w14:textOutline>
        </w:rPr>
        <w:t>study conditions</w:t>
      </w:r>
      <w:r w:rsidRPr="00DD55E4">
        <w:rPr>
          <w14:textOutline w14:w="9525" w14:cap="rnd" w14:cmpd="sng" w14:algn="ctr">
            <w14:noFill/>
            <w14:prstDash w14:val="solid"/>
            <w14:bevel/>
          </w14:textOutline>
        </w:rPr>
        <w:t>. Error bars represent 95% confidence intervals.</w:t>
      </w:r>
    </w:p>
    <w:sectPr w:rsidR="00DD55E4" w:rsidRPr="00DD55E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ark Huff" w:date="2020-03-01T16:04:00Z" w:initials="MH">
    <w:p w14:paraId="7EC7245C" w14:textId="0D113A09" w:rsidR="008C6279" w:rsidRDefault="008C6279">
      <w:pPr>
        <w:pStyle w:val="CommentText"/>
      </w:pPr>
      <w:r>
        <w:rPr>
          <w:rStyle w:val="CommentReference"/>
        </w:rPr>
        <w:annotationRef/>
      </w:r>
      <w:r>
        <w:t xml:space="preserve">Move this down to the results section. I know this is more than you need to know, since we did not conduct an a priori power analysis, we are looking </w:t>
      </w:r>
      <w:proofErr w:type="gramStart"/>
      <w:r>
        <w:t>a the</w:t>
      </w:r>
      <w:proofErr w:type="gramEnd"/>
      <w:r>
        <w:t xml:space="preserve"> sensitivity of our sample to detect an effect. </w:t>
      </w:r>
      <w:proofErr w:type="gramStart"/>
      <w:r>
        <w:t>So</w:t>
      </w:r>
      <w:proofErr w:type="gramEnd"/>
      <w:r>
        <w:t xml:space="preserve"> it makes more sense to include this in the first paragraph in the results section.</w:t>
      </w:r>
    </w:p>
  </w:comment>
  <w:comment w:id="1" w:author="Mark Huff" w:date="2020-03-01T16:16:00Z" w:initials="MH">
    <w:p w14:paraId="3794CDE7" w14:textId="07740A25" w:rsidR="00C97C00" w:rsidRDefault="00C97C00">
      <w:pPr>
        <w:pStyle w:val="CommentText"/>
      </w:pPr>
      <w:r>
        <w:rPr>
          <w:rStyle w:val="CommentReference"/>
        </w:rPr>
        <w:annotationRef/>
      </w:r>
      <w:r>
        <w:t xml:space="preserve">If the variable is manipulated between subjects, use the term group (vs. condition). Since groups could only be different B/S variables, this helps your reader understand your design.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EC7245C" w15:done="0"/>
  <w15:commentEx w15:paraId="3794CDE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EC7245C" w16cid:durableId="22065BA2"/>
  <w16cid:commentId w16cid:paraId="3794CDE7" w16cid:durableId="22065E4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ark Huff">
    <w15:presenceInfo w15:providerId="Windows Live" w15:userId="1401e3e00133cd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B9"/>
    <w:rsid w:val="0028237F"/>
    <w:rsid w:val="0042278A"/>
    <w:rsid w:val="004D2F67"/>
    <w:rsid w:val="004D756A"/>
    <w:rsid w:val="004F34DA"/>
    <w:rsid w:val="00760A3C"/>
    <w:rsid w:val="007D16D8"/>
    <w:rsid w:val="008C6279"/>
    <w:rsid w:val="00935205"/>
    <w:rsid w:val="009663BE"/>
    <w:rsid w:val="009E5953"/>
    <w:rsid w:val="00A50752"/>
    <w:rsid w:val="00A565E4"/>
    <w:rsid w:val="00AF6314"/>
    <w:rsid w:val="00B46DB5"/>
    <w:rsid w:val="00B545B9"/>
    <w:rsid w:val="00B625F9"/>
    <w:rsid w:val="00B96769"/>
    <w:rsid w:val="00BA1918"/>
    <w:rsid w:val="00BA535A"/>
    <w:rsid w:val="00BC2668"/>
    <w:rsid w:val="00C97C00"/>
    <w:rsid w:val="00CC0B2F"/>
    <w:rsid w:val="00CC1462"/>
    <w:rsid w:val="00CE3633"/>
    <w:rsid w:val="00DD55E4"/>
    <w:rsid w:val="00E416E7"/>
    <w:rsid w:val="00F32AEB"/>
    <w:rsid w:val="00F868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DDF02"/>
  <w15:chartTrackingRefBased/>
  <w15:docId w15:val="{F055744B-77CF-4A8E-8E19-534B7C7DE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line="480"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8C6279"/>
    <w:rPr>
      <w:sz w:val="16"/>
      <w:szCs w:val="16"/>
    </w:rPr>
  </w:style>
  <w:style w:type="paragraph" w:styleId="CommentText">
    <w:name w:val="annotation text"/>
    <w:basedOn w:val="Normal"/>
    <w:link w:val="CommentTextChar"/>
    <w:uiPriority w:val="99"/>
    <w:semiHidden/>
    <w:unhideWhenUsed/>
    <w:rsid w:val="008C6279"/>
    <w:pPr>
      <w:spacing w:line="240" w:lineRule="auto"/>
    </w:pPr>
    <w:rPr>
      <w:sz w:val="20"/>
      <w:szCs w:val="20"/>
    </w:rPr>
  </w:style>
  <w:style w:type="character" w:customStyle="1" w:styleId="CommentTextChar">
    <w:name w:val="Comment Text Char"/>
    <w:basedOn w:val="DefaultParagraphFont"/>
    <w:link w:val="CommentText"/>
    <w:uiPriority w:val="99"/>
    <w:semiHidden/>
    <w:rsid w:val="008C6279"/>
    <w:rPr>
      <w:sz w:val="20"/>
      <w:szCs w:val="20"/>
    </w:rPr>
  </w:style>
  <w:style w:type="paragraph" w:styleId="CommentSubject">
    <w:name w:val="annotation subject"/>
    <w:basedOn w:val="CommentText"/>
    <w:next w:val="CommentText"/>
    <w:link w:val="CommentSubjectChar"/>
    <w:uiPriority w:val="99"/>
    <w:semiHidden/>
    <w:unhideWhenUsed/>
    <w:rsid w:val="008C6279"/>
    <w:rPr>
      <w:b/>
      <w:bCs/>
    </w:rPr>
  </w:style>
  <w:style w:type="character" w:customStyle="1" w:styleId="CommentSubjectChar">
    <w:name w:val="Comment Subject Char"/>
    <w:basedOn w:val="CommentTextChar"/>
    <w:link w:val="CommentSubject"/>
    <w:uiPriority w:val="99"/>
    <w:semiHidden/>
    <w:rsid w:val="008C6279"/>
    <w:rPr>
      <w:b/>
      <w:bCs/>
      <w:sz w:val="20"/>
      <w:szCs w:val="20"/>
    </w:rPr>
  </w:style>
  <w:style w:type="paragraph" w:styleId="BalloonText">
    <w:name w:val="Balloon Text"/>
    <w:basedOn w:val="Normal"/>
    <w:link w:val="BalloonTextChar"/>
    <w:uiPriority w:val="99"/>
    <w:semiHidden/>
    <w:unhideWhenUsed/>
    <w:rsid w:val="008C627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627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webSettings" Target="webSettings.xml"/><Relationship Id="rId7" Type="http://schemas.openxmlformats.org/officeDocument/2006/relationships/chart" Target="charts/chart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microsoft.com/office/2011/relationships/people" Target="people.xml"/><Relationship Id="rId5" Type="http://schemas.microsoft.com/office/2011/relationships/commentsExtended" Target="commentsExtended.xml"/><Relationship Id="rId10" Type="http://schemas.openxmlformats.org/officeDocument/2006/relationships/fontTable" Target="fontTable.xml"/><Relationship Id="rId4" Type="http://schemas.openxmlformats.org/officeDocument/2006/relationships/comments" Target="comments.xml"/><Relationship Id="rId9" Type="http://schemas.openxmlformats.org/officeDocument/2006/relationships/chart" Target="charts/chart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320" b="1"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Experiment 1: Item-Specific Study</a:t>
            </a:r>
          </a:p>
        </c:rich>
      </c:tx>
      <c:overlay val="0"/>
      <c:spPr>
        <a:noFill/>
        <a:ln>
          <a:noFill/>
        </a:ln>
        <a:effectLst/>
      </c:spPr>
      <c:txPr>
        <a:bodyPr rot="0" spcFirstLastPara="1" vertOverflow="ellipsis" vert="horz" wrap="square" anchor="ctr" anchorCtr="1"/>
        <a:lstStyle/>
        <a:p>
          <a:pPr>
            <a:defRPr sz="1320" b="1"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Sheet1!$B$1</c:f>
              <c:strCache>
                <c:ptCount val="1"/>
                <c:pt idx="0">
                  <c:v>JOLs</c:v>
                </c:pt>
              </c:strCache>
            </c:strRef>
          </c:tx>
          <c:spPr>
            <a:solidFill>
              <a:schemeClr val="dk1">
                <a:tint val="88500"/>
              </a:schemeClr>
            </a:solidFill>
            <a:ln>
              <a:noFill/>
            </a:ln>
            <a:effectLst/>
          </c:spPr>
          <c:invertIfNegative val="0"/>
          <c:cat>
            <c:strRef>
              <c:f>Sheet1!$A$2:$A$5</c:f>
              <c:strCache>
                <c:ptCount val="4"/>
                <c:pt idx="0">
                  <c:v>Backward</c:v>
                </c:pt>
                <c:pt idx="1">
                  <c:v>Forward</c:v>
                </c:pt>
                <c:pt idx="2">
                  <c:v>Symmetrical</c:v>
                </c:pt>
                <c:pt idx="3">
                  <c:v>Unrelated</c:v>
                </c:pt>
              </c:strCache>
            </c:strRef>
          </c:cat>
          <c:val>
            <c:numRef>
              <c:f>Sheet1!$B$2:$B$5</c:f>
              <c:numCache>
                <c:formatCode>General</c:formatCode>
                <c:ptCount val="4"/>
                <c:pt idx="0">
                  <c:v>69.55</c:v>
                </c:pt>
                <c:pt idx="1">
                  <c:v>68.67</c:v>
                </c:pt>
                <c:pt idx="2">
                  <c:v>71.62</c:v>
                </c:pt>
                <c:pt idx="3">
                  <c:v>40.64</c:v>
                </c:pt>
              </c:numCache>
            </c:numRef>
          </c:val>
          <c:extLst>
            <c:ext xmlns:c16="http://schemas.microsoft.com/office/drawing/2014/chart" uri="{C3380CC4-5D6E-409C-BE32-E72D297353CC}">
              <c16:uniqueId val="{00000000-FACE-43ED-AAA4-B8010028A7B0}"/>
            </c:ext>
          </c:extLst>
        </c:ser>
        <c:ser>
          <c:idx val="1"/>
          <c:order val="1"/>
          <c:tx>
            <c:strRef>
              <c:f>Sheet1!$C$1</c:f>
              <c:strCache>
                <c:ptCount val="1"/>
                <c:pt idx="0">
                  <c:v>Recall</c:v>
                </c:pt>
              </c:strCache>
            </c:strRef>
          </c:tx>
          <c:spPr>
            <a:solidFill>
              <a:schemeClr val="dk1">
                <a:tint val="55000"/>
              </a:schemeClr>
            </a:solidFill>
            <a:ln>
              <a:noFill/>
            </a:ln>
            <a:effectLst/>
          </c:spPr>
          <c:invertIfNegative val="0"/>
          <c:cat>
            <c:strRef>
              <c:f>Sheet1!$A$2:$A$5</c:f>
              <c:strCache>
                <c:ptCount val="4"/>
                <c:pt idx="0">
                  <c:v>Backward</c:v>
                </c:pt>
                <c:pt idx="1">
                  <c:v>Forward</c:v>
                </c:pt>
                <c:pt idx="2">
                  <c:v>Symmetrical</c:v>
                </c:pt>
                <c:pt idx="3">
                  <c:v>Unrelated</c:v>
                </c:pt>
              </c:strCache>
            </c:strRef>
          </c:cat>
          <c:val>
            <c:numRef>
              <c:f>Sheet1!$C$2:$C$5</c:f>
              <c:numCache>
                <c:formatCode>General</c:formatCode>
                <c:ptCount val="4"/>
                <c:pt idx="0">
                  <c:v>59.01</c:v>
                </c:pt>
                <c:pt idx="1">
                  <c:v>78.84</c:v>
                </c:pt>
                <c:pt idx="2">
                  <c:v>78.239999999999995</c:v>
                </c:pt>
                <c:pt idx="3">
                  <c:v>14.35</c:v>
                </c:pt>
              </c:numCache>
            </c:numRef>
          </c:val>
          <c:extLst>
            <c:ext xmlns:c16="http://schemas.microsoft.com/office/drawing/2014/chart" uri="{C3380CC4-5D6E-409C-BE32-E72D297353CC}">
              <c16:uniqueId val="{00000001-FACE-43ED-AAA4-B8010028A7B0}"/>
            </c:ext>
          </c:extLst>
        </c:ser>
        <c:dLbls>
          <c:showLegendKey val="0"/>
          <c:showVal val="0"/>
          <c:showCatName val="0"/>
          <c:showSerName val="0"/>
          <c:showPercent val="0"/>
          <c:showBubbleSize val="0"/>
        </c:dLbls>
        <c:gapWidth val="219"/>
        <c:overlap val="-27"/>
        <c:axId val="1617097584"/>
        <c:axId val="1527660544"/>
      </c:barChart>
      <c:catAx>
        <c:axId val="1617097584"/>
        <c:scaling>
          <c:orientation val="minMax"/>
        </c:scaling>
        <c:delete val="0"/>
        <c:axPos val="b"/>
        <c:title>
          <c:tx>
            <c:rich>
              <a:bodyPr rot="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Pair Direction</a:t>
                </a:r>
              </a:p>
            </c:rich>
          </c:tx>
          <c:overlay val="0"/>
          <c:spPr>
            <a:noFill/>
            <a:ln>
              <a:noFill/>
            </a:ln>
            <a:effectLst/>
          </c:spPr>
          <c:txPr>
            <a:bodyPr rot="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crossAx val="1527660544"/>
        <c:crosses val="autoZero"/>
        <c:auto val="1"/>
        <c:lblAlgn val="ctr"/>
        <c:lblOffset val="100"/>
        <c:noMultiLvlLbl val="0"/>
      </c:catAx>
      <c:valAx>
        <c:axId val="1527660544"/>
        <c:scaling>
          <c:orientation val="minMax"/>
          <c:max val="100"/>
        </c:scaling>
        <c:delete val="0"/>
        <c:axPos val="l"/>
        <c:title>
          <c:tx>
            <c:rich>
              <a:bodyPr rot="-540000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Mean % JOL/Recall</a:t>
                </a:r>
              </a:p>
            </c:rich>
          </c:tx>
          <c:overlay val="0"/>
          <c:spPr>
            <a:noFill/>
            <a:ln>
              <a:noFill/>
            </a:ln>
            <a:effectLst/>
          </c:spPr>
          <c:txPr>
            <a:bodyPr rot="-540000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crossAx val="1617097584"/>
        <c:crosses val="autoZero"/>
        <c:crossBetween val="between"/>
        <c:majorUnit val="20"/>
      </c:valAx>
      <c:spPr>
        <a:noFill/>
        <a:ln>
          <a:noFill/>
        </a:ln>
        <a:effectLst/>
      </c:spPr>
    </c:plotArea>
    <c:legend>
      <c:legendPos val="r"/>
      <c:layout>
        <c:manualLayout>
          <c:xMode val="edge"/>
          <c:yMode val="edge"/>
          <c:x val="0.89699839603382914"/>
          <c:y val="9.1943819522559644E-2"/>
          <c:w val="0.10300160396617089"/>
          <c:h val="0.143318335208099"/>
        </c:manualLayout>
      </c:layout>
      <c:overlay val="0"/>
      <c:spPr>
        <a:noFill/>
        <a:ln>
          <a:noFill/>
        </a:ln>
        <a:effectLst/>
      </c:spPr>
      <c:txPr>
        <a:bodyPr rot="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sz="1100">
          <a:ln>
            <a:noFill/>
          </a:ln>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1"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Experiment</a:t>
            </a:r>
            <a:r>
              <a:rPr lang="en-US" b="1" baseline="0">
                <a:solidFill>
                  <a:schemeClr val="tx1"/>
                </a:solidFill>
              </a:rPr>
              <a:t> 1: Read Study</a:t>
            </a:r>
            <a:endParaRPr lang="en-US" b="1">
              <a:solidFill>
                <a:schemeClr val="tx1"/>
              </a:solidFill>
            </a:endParaRPr>
          </a:p>
        </c:rich>
      </c:tx>
      <c:overlay val="0"/>
      <c:spPr>
        <a:noFill/>
        <a:ln>
          <a:noFill/>
        </a:ln>
        <a:effectLst/>
      </c:spPr>
      <c:txPr>
        <a:bodyPr rot="0" spcFirstLastPara="1" vertOverflow="ellipsis" vert="horz" wrap="square" anchor="ctr" anchorCtr="1"/>
        <a:lstStyle/>
        <a:p>
          <a:pPr>
            <a:defRPr sz="1320" b="1"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Sheet1!$B$1</c:f>
              <c:strCache>
                <c:ptCount val="1"/>
                <c:pt idx="0">
                  <c:v>JOL</c:v>
                </c:pt>
              </c:strCache>
            </c:strRef>
          </c:tx>
          <c:spPr>
            <a:solidFill>
              <a:schemeClr val="dk1">
                <a:tint val="88500"/>
              </a:schemeClr>
            </a:solidFill>
            <a:ln>
              <a:noFill/>
            </a:ln>
            <a:effectLst/>
          </c:spPr>
          <c:invertIfNegative val="0"/>
          <c:cat>
            <c:strRef>
              <c:f>Sheet1!$A$2:$A$5</c:f>
              <c:strCache>
                <c:ptCount val="4"/>
                <c:pt idx="0">
                  <c:v>Backward</c:v>
                </c:pt>
                <c:pt idx="1">
                  <c:v>Forward</c:v>
                </c:pt>
                <c:pt idx="2">
                  <c:v>Symmetrical</c:v>
                </c:pt>
                <c:pt idx="3">
                  <c:v>Unrelated</c:v>
                </c:pt>
              </c:strCache>
            </c:strRef>
          </c:cat>
          <c:val>
            <c:numRef>
              <c:f>Sheet1!$B$2:$B$5</c:f>
              <c:numCache>
                <c:formatCode>General</c:formatCode>
                <c:ptCount val="4"/>
                <c:pt idx="0">
                  <c:v>68.62</c:v>
                </c:pt>
                <c:pt idx="1">
                  <c:v>70.040000000000006</c:v>
                </c:pt>
                <c:pt idx="2">
                  <c:v>80.22</c:v>
                </c:pt>
                <c:pt idx="3">
                  <c:v>24.85</c:v>
                </c:pt>
              </c:numCache>
            </c:numRef>
          </c:val>
          <c:extLst>
            <c:ext xmlns:c16="http://schemas.microsoft.com/office/drawing/2014/chart" uri="{C3380CC4-5D6E-409C-BE32-E72D297353CC}">
              <c16:uniqueId val="{00000000-096B-447C-9460-F0B72531F9C9}"/>
            </c:ext>
          </c:extLst>
        </c:ser>
        <c:ser>
          <c:idx val="1"/>
          <c:order val="1"/>
          <c:tx>
            <c:strRef>
              <c:f>Sheet1!$C$1</c:f>
              <c:strCache>
                <c:ptCount val="1"/>
                <c:pt idx="0">
                  <c:v>Recall</c:v>
                </c:pt>
              </c:strCache>
            </c:strRef>
          </c:tx>
          <c:spPr>
            <a:solidFill>
              <a:schemeClr val="dk1">
                <a:tint val="55000"/>
              </a:schemeClr>
            </a:solidFill>
            <a:ln>
              <a:noFill/>
            </a:ln>
            <a:effectLst/>
          </c:spPr>
          <c:invertIfNegative val="0"/>
          <c:cat>
            <c:strRef>
              <c:f>Sheet1!$A$2:$A$5</c:f>
              <c:strCache>
                <c:ptCount val="4"/>
                <c:pt idx="0">
                  <c:v>Backward</c:v>
                </c:pt>
                <c:pt idx="1">
                  <c:v>Forward</c:v>
                </c:pt>
                <c:pt idx="2">
                  <c:v>Symmetrical</c:v>
                </c:pt>
                <c:pt idx="3">
                  <c:v>Unrelated</c:v>
                </c:pt>
              </c:strCache>
            </c:strRef>
          </c:cat>
          <c:val>
            <c:numRef>
              <c:f>Sheet1!$C$2:$C$5</c:f>
              <c:numCache>
                <c:formatCode>General</c:formatCode>
                <c:ptCount val="4"/>
                <c:pt idx="0">
                  <c:v>37.78</c:v>
                </c:pt>
                <c:pt idx="1">
                  <c:v>65.23</c:v>
                </c:pt>
                <c:pt idx="2">
                  <c:v>64.849999999999994</c:v>
                </c:pt>
                <c:pt idx="3">
                  <c:v>14.76</c:v>
                </c:pt>
              </c:numCache>
            </c:numRef>
          </c:val>
          <c:extLst>
            <c:ext xmlns:c16="http://schemas.microsoft.com/office/drawing/2014/chart" uri="{C3380CC4-5D6E-409C-BE32-E72D297353CC}">
              <c16:uniqueId val="{00000001-096B-447C-9460-F0B72531F9C9}"/>
            </c:ext>
          </c:extLst>
        </c:ser>
        <c:dLbls>
          <c:showLegendKey val="0"/>
          <c:showVal val="0"/>
          <c:showCatName val="0"/>
          <c:showSerName val="0"/>
          <c:showPercent val="0"/>
          <c:showBubbleSize val="0"/>
        </c:dLbls>
        <c:gapWidth val="219"/>
        <c:overlap val="-27"/>
        <c:axId val="1617097584"/>
        <c:axId val="1527660544"/>
      </c:barChart>
      <c:catAx>
        <c:axId val="1617097584"/>
        <c:scaling>
          <c:orientation val="minMax"/>
        </c:scaling>
        <c:delete val="0"/>
        <c:axPos val="b"/>
        <c:title>
          <c:tx>
            <c:rich>
              <a:bodyPr rot="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Pair</a:t>
                </a:r>
                <a:r>
                  <a:rPr lang="en-US" b="1" baseline="0">
                    <a:solidFill>
                      <a:schemeClr val="tx1"/>
                    </a:solidFill>
                  </a:rPr>
                  <a:t> Direction</a:t>
                </a:r>
                <a:endParaRPr lang="en-US" b="1">
                  <a:solidFill>
                    <a:schemeClr val="tx1"/>
                  </a:solidFill>
                </a:endParaRPr>
              </a:p>
            </c:rich>
          </c:tx>
          <c:overlay val="0"/>
          <c:spPr>
            <a:noFill/>
            <a:ln>
              <a:noFill/>
            </a:ln>
            <a:effectLst/>
          </c:spPr>
          <c:txPr>
            <a:bodyPr rot="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crossAx val="1527660544"/>
        <c:crosses val="autoZero"/>
        <c:auto val="1"/>
        <c:lblAlgn val="ctr"/>
        <c:lblOffset val="100"/>
        <c:noMultiLvlLbl val="0"/>
      </c:catAx>
      <c:valAx>
        <c:axId val="1527660544"/>
        <c:scaling>
          <c:orientation val="minMax"/>
          <c:max val="100"/>
        </c:scaling>
        <c:delete val="0"/>
        <c:axPos val="l"/>
        <c:title>
          <c:tx>
            <c:rich>
              <a:bodyPr rot="-540000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Mean % JOL/Recall</a:t>
                </a:r>
              </a:p>
            </c:rich>
          </c:tx>
          <c:overlay val="0"/>
          <c:spPr>
            <a:noFill/>
            <a:ln>
              <a:noFill/>
            </a:ln>
            <a:effectLst/>
          </c:spPr>
          <c:txPr>
            <a:bodyPr rot="-540000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crossAx val="1617097584"/>
        <c:crosses val="autoZero"/>
        <c:crossBetween val="between"/>
        <c:majorUnit val="20"/>
      </c:valAx>
      <c:spPr>
        <a:noFill/>
        <a:ln>
          <a:noFill/>
        </a:ln>
        <a:effectLst/>
      </c:spPr>
    </c:plotArea>
    <c:legend>
      <c:legendPos val="r"/>
      <c:layout>
        <c:manualLayout>
          <c:xMode val="edge"/>
          <c:yMode val="edge"/>
          <c:x val="0.89699839603382914"/>
          <c:y val="9.1943819522559644E-2"/>
          <c:w val="0.10300160396617089"/>
          <c:h val="0.143318335208099"/>
        </c:manualLayout>
      </c:layout>
      <c:overlay val="0"/>
      <c:spPr>
        <a:noFill/>
        <a:ln>
          <a:noFill/>
        </a:ln>
        <a:effectLst/>
      </c:spPr>
      <c:txPr>
        <a:bodyPr rot="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chart>
  <c:spPr>
    <a:solidFill>
      <a:schemeClr val="bg1"/>
    </a:solidFill>
    <a:ln w="9525" cap="flat" cmpd="sng" algn="ctr">
      <a:noFill/>
      <a:round/>
    </a:ln>
    <a:effectLst/>
  </c:spPr>
  <c:txPr>
    <a:bodyPr/>
    <a:lstStyle/>
    <a:p>
      <a:pPr>
        <a:defRPr sz="1100">
          <a:ln>
            <a:noFill/>
          </a:ln>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1"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Experiment</a:t>
            </a:r>
            <a:r>
              <a:rPr lang="en-US" b="1" baseline="0">
                <a:solidFill>
                  <a:schemeClr val="tx1"/>
                </a:solidFill>
              </a:rPr>
              <a:t> 1: Relational Study</a:t>
            </a:r>
            <a:endParaRPr lang="en-US" b="1">
              <a:solidFill>
                <a:schemeClr val="tx1"/>
              </a:solidFill>
            </a:endParaRPr>
          </a:p>
        </c:rich>
      </c:tx>
      <c:overlay val="0"/>
      <c:spPr>
        <a:noFill/>
        <a:ln>
          <a:noFill/>
        </a:ln>
        <a:effectLst/>
      </c:spPr>
      <c:txPr>
        <a:bodyPr rot="0" spcFirstLastPara="1" vertOverflow="ellipsis" vert="horz" wrap="square" anchor="ctr" anchorCtr="1"/>
        <a:lstStyle/>
        <a:p>
          <a:pPr>
            <a:defRPr sz="1320" b="1"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9.491123505395159E-2"/>
          <c:y val="0.13996031746031745"/>
          <c:w val="0.76840569407990655"/>
          <c:h val="0.67409417572803398"/>
        </c:manualLayout>
      </c:layout>
      <c:barChart>
        <c:barDir val="col"/>
        <c:grouping val="clustered"/>
        <c:varyColors val="0"/>
        <c:ser>
          <c:idx val="0"/>
          <c:order val="0"/>
          <c:tx>
            <c:strRef>
              <c:f>Sheet1!$B$1</c:f>
              <c:strCache>
                <c:ptCount val="1"/>
                <c:pt idx="0">
                  <c:v>JOLs</c:v>
                </c:pt>
              </c:strCache>
            </c:strRef>
          </c:tx>
          <c:spPr>
            <a:solidFill>
              <a:schemeClr val="dk1">
                <a:tint val="88500"/>
              </a:schemeClr>
            </a:solidFill>
            <a:ln>
              <a:noFill/>
            </a:ln>
            <a:effectLst/>
          </c:spPr>
          <c:invertIfNegative val="0"/>
          <c:cat>
            <c:strRef>
              <c:f>Sheet1!$A$2:$A$5</c:f>
              <c:strCache>
                <c:ptCount val="4"/>
                <c:pt idx="0">
                  <c:v>Backward</c:v>
                </c:pt>
                <c:pt idx="1">
                  <c:v>Forward</c:v>
                </c:pt>
                <c:pt idx="2">
                  <c:v>Symmetrical</c:v>
                </c:pt>
                <c:pt idx="3">
                  <c:v>Unrelated</c:v>
                </c:pt>
              </c:strCache>
            </c:strRef>
          </c:cat>
          <c:val>
            <c:numRef>
              <c:f>Sheet1!$B$2:$B$5</c:f>
              <c:numCache>
                <c:formatCode>General</c:formatCode>
                <c:ptCount val="4"/>
                <c:pt idx="0">
                  <c:v>71.17</c:v>
                </c:pt>
                <c:pt idx="1">
                  <c:v>71.28</c:v>
                </c:pt>
                <c:pt idx="2">
                  <c:v>75.180000000000007</c:v>
                </c:pt>
                <c:pt idx="3">
                  <c:v>39.89</c:v>
                </c:pt>
              </c:numCache>
            </c:numRef>
          </c:val>
          <c:extLst>
            <c:ext xmlns:c16="http://schemas.microsoft.com/office/drawing/2014/chart" uri="{C3380CC4-5D6E-409C-BE32-E72D297353CC}">
              <c16:uniqueId val="{00000000-5118-4BAD-92F1-0987BAE1D1A2}"/>
            </c:ext>
          </c:extLst>
        </c:ser>
        <c:ser>
          <c:idx val="1"/>
          <c:order val="1"/>
          <c:tx>
            <c:strRef>
              <c:f>Sheet1!$C$1</c:f>
              <c:strCache>
                <c:ptCount val="1"/>
                <c:pt idx="0">
                  <c:v>Recall</c:v>
                </c:pt>
              </c:strCache>
            </c:strRef>
          </c:tx>
          <c:spPr>
            <a:solidFill>
              <a:schemeClr val="dk1">
                <a:tint val="55000"/>
              </a:schemeClr>
            </a:solidFill>
            <a:ln>
              <a:noFill/>
            </a:ln>
            <a:effectLst/>
          </c:spPr>
          <c:invertIfNegative val="0"/>
          <c:cat>
            <c:strRef>
              <c:f>Sheet1!$A$2:$A$5</c:f>
              <c:strCache>
                <c:ptCount val="4"/>
                <c:pt idx="0">
                  <c:v>Backward</c:v>
                </c:pt>
                <c:pt idx="1">
                  <c:v>Forward</c:v>
                </c:pt>
                <c:pt idx="2">
                  <c:v>Symmetrical</c:v>
                </c:pt>
                <c:pt idx="3">
                  <c:v>Unrelated</c:v>
                </c:pt>
              </c:strCache>
            </c:strRef>
          </c:cat>
          <c:val>
            <c:numRef>
              <c:f>Sheet1!$C$2:$C$5</c:f>
              <c:numCache>
                <c:formatCode>General</c:formatCode>
                <c:ptCount val="4"/>
                <c:pt idx="0">
                  <c:v>53.77</c:v>
                </c:pt>
                <c:pt idx="1">
                  <c:v>77.94</c:v>
                </c:pt>
                <c:pt idx="2">
                  <c:v>76.540000000000006</c:v>
                </c:pt>
                <c:pt idx="3">
                  <c:v>33.75</c:v>
                </c:pt>
              </c:numCache>
            </c:numRef>
          </c:val>
          <c:extLst>
            <c:ext xmlns:c16="http://schemas.microsoft.com/office/drawing/2014/chart" uri="{C3380CC4-5D6E-409C-BE32-E72D297353CC}">
              <c16:uniqueId val="{00000001-5118-4BAD-92F1-0987BAE1D1A2}"/>
            </c:ext>
          </c:extLst>
        </c:ser>
        <c:dLbls>
          <c:showLegendKey val="0"/>
          <c:showVal val="0"/>
          <c:showCatName val="0"/>
          <c:showSerName val="0"/>
          <c:showPercent val="0"/>
          <c:showBubbleSize val="0"/>
        </c:dLbls>
        <c:gapWidth val="219"/>
        <c:overlap val="-27"/>
        <c:axId val="1617097584"/>
        <c:axId val="1527660544"/>
      </c:barChart>
      <c:catAx>
        <c:axId val="1617097584"/>
        <c:scaling>
          <c:orientation val="minMax"/>
        </c:scaling>
        <c:delete val="0"/>
        <c:axPos val="b"/>
        <c:title>
          <c:tx>
            <c:rich>
              <a:bodyPr rot="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Pair</a:t>
                </a:r>
                <a:r>
                  <a:rPr lang="en-US" b="1" baseline="0">
                    <a:solidFill>
                      <a:schemeClr val="tx1"/>
                    </a:solidFill>
                  </a:rPr>
                  <a:t> Direction</a:t>
                </a:r>
                <a:endParaRPr lang="en-US" b="1">
                  <a:solidFill>
                    <a:schemeClr val="tx1"/>
                  </a:solidFill>
                </a:endParaRPr>
              </a:p>
            </c:rich>
          </c:tx>
          <c:layout>
            <c:manualLayout>
              <c:xMode val="edge"/>
              <c:yMode val="edge"/>
              <c:x val="0.40633056284631081"/>
              <c:y val="0.9143185226846644"/>
            </c:manualLayout>
          </c:layout>
          <c:overlay val="0"/>
          <c:spPr>
            <a:noFill/>
            <a:ln>
              <a:noFill/>
            </a:ln>
            <a:effectLst/>
          </c:spPr>
          <c:txPr>
            <a:bodyPr rot="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crossAx val="1527660544"/>
        <c:crosses val="autoZero"/>
        <c:auto val="1"/>
        <c:lblAlgn val="ctr"/>
        <c:lblOffset val="100"/>
        <c:noMultiLvlLbl val="0"/>
      </c:catAx>
      <c:valAx>
        <c:axId val="1527660544"/>
        <c:scaling>
          <c:orientation val="minMax"/>
          <c:max val="100"/>
        </c:scaling>
        <c:delete val="0"/>
        <c:axPos val="l"/>
        <c:title>
          <c:tx>
            <c:rich>
              <a:bodyPr rot="-540000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r>
                  <a:rPr lang="en-US" b="1">
                    <a:solidFill>
                      <a:schemeClr val="tx1"/>
                    </a:solidFill>
                  </a:rPr>
                  <a:t>Mean % JOL/Recall</a:t>
                </a:r>
              </a:p>
            </c:rich>
          </c:tx>
          <c:overlay val="0"/>
          <c:spPr>
            <a:noFill/>
            <a:ln>
              <a:noFill/>
            </a:ln>
            <a:effectLst/>
          </c:spPr>
          <c:txPr>
            <a:bodyPr rot="-540000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crossAx val="1617097584"/>
        <c:crosses val="autoZero"/>
        <c:crossBetween val="between"/>
        <c:majorUnit val="20"/>
      </c:valAx>
      <c:spPr>
        <a:noFill/>
        <a:ln>
          <a:noFill/>
        </a:ln>
        <a:effectLst/>
      </c:spPr>
    </c:plotArea>
    <c:legend>
      <c:legendPos val="r"/>
      <c:layout>
        <c:manualLayout>
          <c:xMode val="edge"/>
          <c:yMode val="edge"/>
          <c:x val="0.89699839603382914"/>
          <c:y val="9.1943819522559644E-2"/>
          <c:w val="0.10300160396617089"/>
          <c:h val="0.143318335208099"/>
        </c:manualLayout>
      </c:layout>
      <c:overlay val="0"/>
      <c:spPr>
        <a:noFill/>
        <a:ln>
          <a:noFill/>
        </a:ln>
        <a:effectLst/>
      </c:spPr>
      <c:txPr>
        <a:bodyPr rot="0" spcFirstLastPara="1" vertOverflow="ellipsis" vert="horz" wrap="square" anchor="ctr" anchorCtr="1"/>
        <a:lstStyle/>
        <a:p>
          <a:pPr>
            <a:defRPr sz="1100" b="1" i="0" u="none" strike="noStrike" kern="120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chart>
  <c:spPr>
    <a:solidFill>
      <a:schemeClr val="bg1"/>
    </a:solidFill>
    <a:ln w="9525" cap="flat" cmpd="sng" algn="ctr">
      <a:noFill/>
      <a:round/>
    </a:ln>
    <a:effectLst/>
  </c:spPr>
  <c:txPr>
    <a:bodyPr/>
    <a:lstStyle/>
    <a:p>
      <a:pPr>
        <a:defRPr sz="1100">
          <a:ln>
            <a:noFill/>
          </a:ln>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2.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0</TotalTime>
  <Pages>5</Pages>
  <Words>924</Words>
  <Characters>5268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Cates</dc:creator>
  <cp:keywords/>
  <dc:description/>
  <cp:lastModifiedBy>Emily Cates</cp:lastModifiedBy>
  <cp:revision>2</cp:revision>
  <dcterms:created xsi:type="dcterms:W3CDTF">2020-03-03T20:48:00Z</dcterms:created>
  <dcterms:modified xsi:type="dcterms:W3CDTF">2020-03-03T20:48:00Z</dcterms:modified>
</cp:coreProperties>
</file>