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39236" w14:textId="77777777" w:rsidR="00041FC1" w:rsidRPr="0066400E" w:rsidRDefault="00041FC1" w:rsidP="00041FC1">
      <w:pPr>
        <w:spacing w:line="480" w:lineRule="auto"/>
        <w:ind w:right="20"/>
        <w:contextualSpacing/>
        <w:jc w:val="center"/>
        <w:rPr>
          <w:rFonts w:eastAsia="Arial" w:cs="Times New Roman"/>
          <w:b/>
          <w:szCs w:val="24"/>
        </w:rPr>
      </w:pPr>
      <w:r w:rsidRPr="0066400E">
        <w:rPr>
          <w:rFonts w:eastAsia="Arial" w:cs="Times New Roman"/>
          <w:b/>
          <w:szCs w:val="24"/>
        </w:rPr>
        <w:t>Methods</w:t>
      </w:r>
    </w:p>
    <w:p w14:paraId="59BCF71C" w14:textId="77777777" w:rsidR="00041FC1" w:rsidRDefault="00041FC1" w:rsidP="00041FC1">
      <w:pPr>
        <w:spacing w:line="480" w:lineRule="auto"/>
        <w:ind w:right="20"/>
        <w:contextualSpacing/>
        <w:rPr>
          <w:rFonts w:eastAsia="Arial" w:cs="Times New Roman"/>
          <w:szCs w:val="24"/>
        </w:rPr>
      </w:pPr>
      <w:r w:rsidRPr="0066400E">
        <w:rPr>
          <w:rFonts w:eastAsia="Arial" w:cs="Times New Roman"/>
          <w:b/>
          <w:szCs w:val="24"/>
        </w:rPr>
        <w:t>Participants</w:t>
      </w:r>
    </w:p>
    <w:p w14:paraId="4160D0AD" w14:textId="77777777" w:rsidR="00041FC1" w:rsidRDefault="00041FC1" w:rsidP="00041FC1">
      <w:pPr>
        <w:spacing w:line="480" w:lineRule="auto"/>
        <w:ind w:right="20" w:firstLine="720"/>
        <w:contextualSpacing/>
        <w:rPr>
          <w:rFonts w:eastAsia="Arial" w:cs="Times New Roman"/>
          <w:szCs w:val="24"/>
        </w:rPr>
      </w:pPr>
      <w:r w:rsidRPr="0066400E">
        <w:rPr>
          <w:rFonts w:eastAsia="Arial" w:cs="Times New Roman"/>
          <w:szCs w:val="24"/>
        </w:rPr>
        <w:t xml:space="preserve">Thirty-one University of Southern Mississippi </w:t>
      </w:r>
      <w:r>
        <w:rPr>
          <w:rFonts w:eastAsia="Arial" w:cs="Times New Roman"/>
          <w:szCs w:val="24"/>
        </w:rPr>
        <w:t xml:space="preserve">undergraduates </w:t>
      </w:r>
      <w:r w:rsidRPr="0066400E">
        <w:rPr>
          <w:rFonts w:eastAsia="Arial" w:cs="Times New Roman"/>
          <w:szCs w:val="24"/>
        </w:rPr>
        <w:t xml:space="preserve">participated for partial course credit. </w:t>
      </w:r>
      <w:bookmarkStart w:id="0" w:name="_Hlk8287287"/>
      <w:r>
        <w:rPr>
          <w:rFonts w:eastAsia="Arial" w:cs="Times New Roman"/>
          <w:szCs w:val="24"/>
        </w:rPr>
        <w:t>T</w:t>
      </w:r>
      <w:r w:rsidRPr="0066400E">
        <w:rPr>
          <w:rFonts w:eastAsia="Arial" w:cs="Times New Roman"/>
          <w:szCs w:val="24"/>
        </w:rPr>
        <w:t xml:space="preserve">hree </w:t>
      </w:r>
      <w:r>
        <w:rPr>
          <w:rFonts w:eastAsia="Arial" w:cs="Times New Roman"/>
          <w:szCs w:val="24"/>
        </w:rPr>
        <w:t xml:space="preserve">participants were excluded for failure to report 10% or more of their JOL responses (described below), </w:t>
      </w:r>
      <w:bookmarkEnd w:id="0"/>
      <w:r w:rsidRPr="0066400E">
        <w:rPr>
          <w:rFonts w:eastAsia="Arial" w:cs="Times New Roman"/>
          <w:szCs w:val="24"/>
        </w:rPr>
        <w:t>leaving 28 participants for analysis.</w:t>
      </w:r>
      <w:r>
        <w:rPr>
          <w:rFonts w:eastAsia="Arial" w:cs="Times New Roman"/>
          <w:szCs w:val="24"/>
        </w:rPr>
        <w:t xml:space="preserve"> All participants were native English speakers with normal or corrected-to-normal vision.</w:t>
      </w:r>
      <w:r w:rsidRPr="0066400E">
        <w:rPr>
          <w:rFonts w:eastAsia="Arial" w:cs="Times New Roman"/>
          <w:szCs w:val="24"/>
        </w:rPr>
        <w:t xml:space="preserve"> </w:t>
      </w:r>
      <w:r>
        <w:rPr>
          <w:rFonts w:eastAsia="Arial" w:cs="Times New Roman"/>
          <w:szCs w:val="24"/>
        </w:rPr>
        <w:t>A sensitivity analysis conducted with</w:t>
      </w:r>
      <w:r w:rsidRPr="0066400E">
        <w:rPr>
          <w:rFonts w:eastAsia="Arial" w:cs="Times New Roman"/>
          <w:szCs w:val="24"/>
        </w:rPr>
        <w:t xml:space="preserve"> </w:t>
      </w:r>
      <w:r w:rsidRPr="0066400E">
        <w:rPr>
          <w:rFonts w:eastAsia="Arial" w:cs="Times New Roman"/>
          <w:i/>
          <w:szCs w:val="24"/>
        </w:rPr>
        <w:t>G*Power</w:t>
      </w:r>
      <w:r w:rsidRPr="0066400E">
        <w:rPr>
          <w:rFonts w:eastAsia="Arial" w:cs="Times New Roman"/>
          <w:szCs w:val="24"/>
        </w:rPr>
        <w:t xml:space="preserve"> (</w:t>
      </w:r>
      <w:proofErr w:type="spellStart"/>
      <w:r w:rsidRPr="0066400E">
        <w:rPr>
          <w:rFonts w:eastAsia="Arial" w:cs="Times New Roman"/>
          <w:szCs w:val="24"/>
        </w:rPr>
        <w:t>Faul</w:t>
      </w:r>
      <w:proofErr w:type="spellEnd"/>
      <w:r w:rsidRPr="0066400E">
        <w:rPr>
          <w:rFonts w:eastAsia="Arial" w:cs="Times New Roman"/>
          <w:szCs w:val="24"/>
        </w:rPr>
        <w:t xml:space="preserve">, </w:t>
      </w:r>
      <w:proofErr w:type="spellStart"/>
      <w:r w:rsidRPr="0066400E">
        <w:rPr>
          <w:rFonts w:eastAsia="Arial" w:cs="Times New Roman"/>
          <w:szCs w:val="24"/>
        </w:rPr>
        <w:t>Erdfelder</w:t>
      </w:r>
      <w:proofErr w:type="spellEnd"/>
      <w:r w:rsidRPr="0066400E">
        <w:rPr>
          <w:rFonts w:eastAsia="Arial" w:cs="Times New Roman"/>
          <w:szCs w:val="24"/>
        </w:rPr>
        <w:t xml:space="preserve">, Lang, &amp; Buchner, 2007) </w:t>
      </w:r>
      <w:r>
        <w:rPr>
          <w:rFonts w:eastAsia="Arial" w:cs="Times New Roman"/>
          <w:szCs w:val="24"/>
        </w:rPr>
        <w:t>indicated</w:t>
      </w:r>
      <w:r w:rsidRPr="0066400E">
        <w:rPr>
          <w:rFonts w:eastAsia="Arial" w:cs="Times New Roman"/>
          <w:szCs w:val="24"/>
        </w:rPr>
        <w:t xml:space="preserve"> that </w:t>
      </w:r>
      <w:r>
        <w:rPr>
          <w:rFonts w:eastAsia="Arial" w:cs="Times New Roman"/>
          <w:szCs w:val="24"/>
        </w:rPr>
        <w:t>our</w:t>
      </w:r>
      <w:r w:rsidRPr="0066400E">
        <w:rPr>
          <w:rFonts w:eastAsia="Arial" w:cs="Times New Roman"/>
          <w:szCs w:val="24"/>
        </w:rPr>
        <w:t xml:space="preserve"> sample size </w:t>
      </w:r>
      <w:r>
        <w:rPr>
          <w:rFonts w:eastAsia="Arial" w:cs="Times New Roman"/>
          <w:szCs w:val="24"/>
        </w:rPr>
        <w:t xml:space="preserve">provided adequate power (.80) </w:t>
      </w:r>
      <w:r w:rsidRPr="0066400E">
        <w:rPr>
          <w:rFonts w:eastAsia="Arial" w:cs="Times New Roman"/>
          <w:szCs w:val="24"/>
        </w:rPr>
        <w:t xml:space="preserve">to detect a </w:t>
      </w:r>
      <w:r>
        <w:rPr>
          <w:rFonts w:eastAsia="Arial" w:cs="Times New Roman"/>
          <w:szCs w:val="24"/>
        </w:rPr>
        <w:t xml:space="preserve">small effect size (Cohen’s </w:t>
      </w:r>
      <w:r>
        <w:rPr>
          <w:rFonts w:eastAsia="Arial" w:cs="Times New Roman"/>
          <w:i/>
          <w:szCs w:val="24"/>
        </w:rPr>
        <w:t>d</w:t>
      </w:r>
      <w:r>
        <w:rPr>
          <w:rFonts w:eastAsia="Arial" w:cs="Times New Roman"/>
          <w:szCs w:val="24"/>
        </w:rPr>
        <w:t xml:space="preserve"> = 0.27) or larger</w:t>
      </w:r>
      <w:r w:rsidRPr="0066400E">
        <w:rPr>
          <w:rFonts w:eastAsia="Arial" w:cs="Times New Roman"/>
          <w:szCs w:val="24"/>
        </w:rPr>
        <w:t>.</w:t>
      </w:r>
    </w:p>
    <w:p w14:paraId="3A325F14" w14:textId="77777777" w:rsidR="00041FC1" w:rsidRPr="00F5609B" w:rsidRDefault="00041FC1" w:rsidP="00041FC1">
      <w:pPr>
        <w:spacing w:line="480" w:lineRule="auto"/>
        <w:ind w:right="20"/>
        <w:contextualSpacing/>
        <w:rPr>
          <w:rFonts w:eastAsia="Arial" w:cs="Times New Roman"/>
          <w:b/>
          <w:szCs w:val="24"/>
        </w:rPr>
      </w:pPr>
      <w:r>
        <w:rPr>
          <w:rFonts w:eastAsia="Arial" w:cs="Times New Roman"/>
          <w:b/>
          <w:szCs w:val="24"/>
        </w:rPr>
        <w:t>Materials</w:t>
      </w:r>
    </w:p>
    <w:p w14:paraId="39766120" w14:textId="77777777" w:rsidR="00041FC1" w:rsidRDefault="00041FC1" w:rsidP="00041FC1">
      <w:pPr>
        <w:spacing w:line="480" w:lineRule="auto"/>
        <w:ind w:firstLine="584"/>
        <w:contextualSpacing/>
        <w:rPr>
          <w:rFonts w:eastAsia="Arial" w:cs="Times New Roman"/>
          <w:szCs w:val="24"/>
        </w:rPr>
      </w:pPr>
      <w:r w:rsidRPr="0066400E">
        <w:rPr>
          <w:rFonts w:eastAsia="Arial" w:cs="Times New Roman"/>
          <w:szCs w:val="24"/>
        </w:rPr>
        <w:t>One</w:t>
      </w:r>
      <w:r>
        <w:rPr>
          <w:rFonts w:eastAsia="Arial" w:cs="Times New Roman"/>
          <w:szCs w:val="24"/>
        </w:rPr>
        <w:t>-</w:t>
      </w:r>
      <w:r w:rsidRPr="0066400E">
        <w:rPr>
          <w:rFonts w:eastAsia="Arial" w:cs="Times New Roman"/>
          <w:szCs w:val="24"/>
        </w:rPr>
        <w:t>hundred</w:t>
      </w:r>
      <w:r>
        <w:rPr>
          <w:rFonts w:eastAsia="Arial" w:cs="Times New Roman"/>
          <w:szCs w:val="24"/>
        </w:rPr>
        <w:t>-</w:t>
      </w:r>
      <w:r w:rsidRPr="0066400E">
        <w:rPr>
          <w:rFonts w:eastAsia="Arial" w:cs="Times New Roman"/>
          <w:szCs w:val="24"/>
        </w:rPr>
        <w:t xml:space="preserve">eighty associative word pairs were </w:t>
      </w:r>
      <w:r>
        <w:rPr>
          <w:rFonts w:eastAsia="Arial" w:cs="Times New Roman"/>
          <w:szCs w:val="24"/>
        </w:rPr>
        <w:t>taken</w:t>
      </w:r>
      <w:r w:rsidRPr="0066400E">
        <w:rPr>
          <w:rFonts w:eastAsia="Arial" w:cs="Times New Roman"/>
          <w:szCs w:val="24"/>
        </w:rPr>
        <w:t xml:space="preserve"> from the </w:t>
      </w:r>
      <w:r>
        <w:rPr>
          <w:rFonts w:eastAsia="Arial" w:cs="Times New Roman"/>
          <w:szCs w:val="24"/>
        </w:rPr>
        <w:t xml:space="preserve">University of </w:t>
      </w:r>
      <w:r w:rsidRPr="0066400E">
        <w:rPr>
          <w:rFonts w:eastAsia="Arial" w:cs="Times New Roman"/>
          <w:szCs w:val="24"/>
        </w:rPr>
        <w:t>South Florida Free Association Norms (Nelson et al., 2004). These pairs consisted of 40 asymmetric forward pairs in which association only occurred in the forward direction (</w:t>
      </w:r>
      <w:r>
        <w:rPr>
          <w:rFonts w:eastAsia="Arial" w:cs="Times New Roman"/>
          <w:szCs w:val="24"/>
        </w:rPr>
        <w:t>e.g.,</w:t>
      </w:r>
      <w:r w:rsidRPr="0066400E">
        <w:rPr>
          <w:rFonts w:eastAsia="Arial" w:cs="Times New Roman"/>
          <w:szCs w:val="24"/>
        </w:rPr>
        <w:t xml:space="preserve"> </w:t>
      </w:r>
      <w:r>
        <w:rPr>
          <w:rFonts w:eastAsia="Arial" w:cs="Times New Roman"/>
          <w:szCs w:val="24"/>
        </w:rPr>
        <w:t>bounce-ball</w:t>
      </w:r>
      <w:r w:rsidRPr="0066400E">
        <w:rPr>
          <w:rFonts w:eastAsia="Arial" w:cs="Times New Roman"/>
          <w:szCs w:val="24"/>
        </w:rPr>
        <w:t>), 40 asymmetric backward pairs in which association only occurred in the backward direction (</w:t>
      </w:r>
      <w:r>
        <w:rPr>
          <w:rFonts w:eastAsia="Arial" w:cs="Times New Roman"/>
          <w:szCs w:val="24"/>
        </w:rPr>
        <w:t>e.g.,</w:t>
      </w:r>
      <w:r w:rsidRPr="0066400E">
        <w:rPr>
          <w:rFonts w:eastAsia="Arial" w:cs="Times New Roman"/>
          <w:szCs w:val="24"/>
        </w:rPr>
        <w:t xml:space="preserve"> </w:t>
      </w:r>
      <w:r>
        <w:rPr>
          <w:rFonts w:eastAsia="Arial" w:cs="Times New Roman"/>
          <w:szCs w:val="24"/>
        </w:rPr>
        <w:t>ball-bounce</w:t>
      </w:r>
      <w:r w:rsidRPr="0066400E">
        <w:rPr>
          <w:rFonts w:eastAsia="Arial" w:cs="Times New Roman"/>
          <w:szCs w:val="24"/>
        </w:rPr>
        <w:t>), 40 symmetric pairs in which forward and backward strength were equivalent (</w:t>
      </w:r>
      <w:r>
        <w:rPr>
          <w:rFonts w:eastAsia="Arial" w:cs="Times New Roman"/>
          <w:szCs w:val="24"/>
        </w:rPr>
        <w:t>e.g.,</w:t>
      </w:r>
      <w:r w:rsidRPr="0066400E">
        <w:rPr>
          <w:rFonts w:eastAsia="Arial" w:cs="Times New Roman"/>
          <w:szCs w:val="24"/>
        </w:rPr>
        <w:t xml:space="preserve"> </w:t>
      </w:r>
      <w:r>
        <w:rPr>
          <w:rFonts w:eastAsia="Arial" w:cs="Times New Roman"/>
          <w:szCs w:val="24"/>
        </w:rPr>
        <w:t>o</w:t>
      </w:r>
      <w:r w:rsidRPr="0066400E">
        <w:rPr>
          <w:rFonts w:eastAsia="Arial" w:cs="Times New Roman"/>
          <w:szCs w:val="24"/>
        </w:rPr>
        <w:t>n-</w:t>
      </w:r>
      <w:r>
        <w:rPr>
          <w:rFonts w:eastAsia="Arial" w:cs="Times New Roman"/>
          <w:szCs w:val="24"/>
        </w:rPr>
        <w:t>o</w:t>
      </w:r>
      <w:r w:rsidRPr="0066400E">
        <w:rPr>
          <w:rFonts w:eastAsia="Arial" w:cs="Times New Roman"/>
          <w:szCs w:val="24"/>
        </w:rPr>
        <w:t>ﬀ)</w:t>
      </w:r>
      <w:r>
        <w:rPr>
          <w:rFonts w:eastAsia="Arial" w:cs="Times New Roman"/>
          <w:szCs w:val="24"/>
        </w:rPr>
        <w:t xml:space="preserve">, </w:t>
      </w:r>
      <w:r w:rsidRPr="0066400E">
        <w:rPr>
          <w:rFonts w:eastAsia="Arial" w:cs="Times New Roman"/>
          <w:szCs w:val="24"/>
        </w:rPr>
        <w:t>40 unrelated pairs (</w:t>
      </w:r>
      <w:r>
        <w:rPr>
          <w:rFonts w:eastAsia="Arial" w:cs="Times New Roman"/>
          <w:szCs w:val="24"/>
        </w:rPr>
        <w:t>e.g., b</w:t>
      </w:r>
      <w:r w:rsidRPr="0066400E">
        <w:rPr>
          <w:rFonts w:eastAsia="Arial" w:cs="Times New Roman"/>
          <w:szCs w:val="24"/>
        </w:rPr>
        <w:t>uilding-</w:t>
      </w:r>
      <w:r>
        <w:rPr>
          <w:rFonts w:eastAsia="Arial" w:cs="Times New Roman"/>
          <w:szCs w:val="24"/>
        </w:rPr>
        <w:t>c</w:t>
      </w:r>
      <w:r w:rsidRPr="0066400E">
        <w:rPr>
          <w:rFonts w:eastAsia="Arial" w:cs="Times New Roman"/>
          <w:szCs w:val="24"/>
        </w:rPr>
        <w:t>at), and 20 non-tested buffer</w:t>
      </w:r>
      <w:r>
        <w:rPr>
          <w:rFonts w:eastAsia="Arial" w:cs="Times New Roman"/>
          <w:szCs w:val="24"/>
        </w:rPr>
        <w:t>s</w:t>
      </w:r>
      <w:r w:rsidRPr="0066400E">
        <w:rPr>
          <w:rFonts w:eastAsia="Arial" w:cs="Times New Roman"/>
          <w:szCs w:val="24"/>
        </w:rPr>
        <w:t xml:space="preserve"> to control for primacy and recency effects. Pairs were equally distributed across two study lists, </w:t>
      </w:r>
      <w:r>
        <w:rPr>
          <w:rFonts w:eastAsia="Arial" w:cs="Times New Roman"/>
          <w:szCs w:val="24"/>
        </w:rPr>
        <w:t xml:space="preserve">each </w:t>
      </w:r>
      <w:r w:rsidRPr="0066400E">
        <w:rPr>
          <w:rFonts w:eastAsia="Arial" w:cs="Times New Roman"/>
          <w:szCs w:val="24"/>
        </w:rPr>
        <w:t xml:space="preserve">consisting of 20 symmetrical, forward, backward, and unrelated </w:t>
      </w:r>
      <w:r>
        <w:rPr>
          <w:rFonts w:eastAsia="Arial" w:cs="Times New Roman"/>
          <w:szCs w:val="24"/>
        </w:rPr>
        <w:t>pairs</w:t>
      </w:r>
      <w:r w:rsidRPr="0066400E">
        <w:rPr>
          <w:rFonts w:eastAsia="Arial" w:cs="Times New Roman"/>
          <w:szCs w:val="24"/>
        </w:rPr>
        <w:t xml:space="preserve"> and 10 buﬀer</w:t>
      </w:r>
      <w:r>
        <w:rPr>
          <w:rFonts w:eastAsia="Arial" w:cs="Times New Roman"/>
          <w:szCs w:val="24"/>
        </w:rPr>
        <w:t>s</w:t>
      </w:r>
      <w:r w:rsidRPr="0066400E">
        <w:rPr>
          <w:rFonts w:eastAsia="Arial" w:cs="Times New Roman"/>
          <w:szCs w:val="24"/>
        </w:rPr>
        <w:t xml:space="preserve">. All participants were presented with </w:t>
      </w:r>
      <w:r>
        <w:rPr>
          <w:rFonts w:eastAsia="Arial" w:cs="Times New Roman"/>
          <w:szCs w:val="24"/>
        </w:rPr>
        <w:t>both</w:t>
      </w:r>
      <w:r w:rsidRPr="0066400E">
        <w:rPr>
          <w:rFonts w:eastAsia="Arial" w:cs="Times New Roman"/>
          <w:szCs w:val="24"/>
        </w:rPr>
        <w:t xml:space="preserve"> lists </w:t>
      </w:r>
      <w:r>
        <w:rPr>
          <w:rFonts w:eastAsia="Arial" w:cs="Times New Roman"/>
          <w:szCs w:val="24"/>
        </w:rPr>
        <w:t>which</w:t>
      </w:r>
      <w:r w:rsidRPr="0066400E">
        <w:rPr>
          <w:rFonts w:eastAsia="Arial" w:cs="Times New Roman"/>
          <w:szCs w:val="24"/>
        </w:rPr>
        <w:t xml:space="preserve"> were </w:t>
      </w:r>
      <w:r>
        <w:rPr>
          <w:rFonts w:eastAsia="Arial" w:cs="Times New Roman"/>
          <w:szCs w:val="24"/>
        </w:rPr>
        <w:t>separated</w:t>
      </w:r>
      <w:r w:rsidRPr="0066400E">
        <w:rPr>
          <w:rFonts w:eastAsia="Arial" w:cs="Times New Roman"/>
          <w:szCs w:val="24"/>
        </w:rPr>
        <w:t xml:space="preserve"> into two study-test blocks, the order of which was counterbalanced across participants. Both study lists were organized such that ﬁve buﬀer </w:t>
      </w:r>
      <w:r>
        <w:rPr>
          <w:rFonts w:eastAsia="Arial" w:cs="Times New Roman"/>
          <w:szCs w:val="24"/>
        </w:rPr>
        <w:t>pairs</w:t>
      </w:r>
      <w:r w:rsidRPr="0066400E">
        <w:rPr>
          <w:rFonts w:eastAsia="Arial" w:cs="Times New Roman"/>
          <w:szCs w:val="24"/>
        </w:rPr>
        <w:t xml:space="preserve"> were presented at the beginning and end of </w:t>
      </w:r>
      <w:r>
        <w:rPr>
          <w:rFonts w:eastAsia="Arial" w:cs="Times New Roman"/>
          <w:szCs w:val="24"/>
        </w:rPr>
        <w:t>each</w:t>
      </w:r>
      <w:r w:rsidRPr="0066400E">
        <w:rPr>
          <w:rFonts w:eastAsia="Arial" w:cs="Times New Roman"/>
          <w:szCs w:val="24"/>
        </w:rPr>
        <w:t xml:space="preserve"> list</w:t>
      </w:r>
      <w:r>
        <w:rPr>
          <w:rFonts w:eastAsia="Arial" w:cs="Times New Roman"/>
          <w:szCs w:val="24"/>
        </w:rPr>
        <w:t>,</w:t>
      </w:r>
      <w:r w:rsidRPr="0066400E">
        <w:rPr>
          <w:rFonts w:eastAsia="Arial" w:cs="Times New Roman"/>
          <w:szCs w:val="24"/>
        </w:rPr>
        <w:t xml:space="preserve"> with the </w:t>
      </w:r>
      <w:r>
        <w:rPr>
          <w:rFonts w:eastAsia="Arial" w:cs="Times New Roman"/>
          <w:szCs w:val="24"/>
        </w:rPr>
        <w:t>remaining pairs randomized anew for each participant</w:t>
      </w:r>
      <w:r w:rsidRPr="0066400E">
        <w:rPr>
          <w:rFonts w:eastAsia="Arial" w:cs="Times New Roman"/>
          <w:szCs w:val="24"/>
        </w:rPr>
        <w:t xml:space="preserve">. Thus, each study </w:t>
      </w:r>
      <w:r>
        <w:rPr>
          <w:rFonts w:eastAsia="Arial" w:cs="Times New Roman"/>
          <w:szCs w:val="24"/>
        </w:rPr>
        <w:t xml:space="preserve">block </w:t>
      </w:r>
      <w:r w:rsidRPr="0066400E">
        <w:rPr>
          <w:rFonts w:eastAsia="Arial" w:cs="Times New Roman"/>
          <w:szCs w:val="24"/>
        </w:rPr>
        <w:t>contained 90 pairs</w:t>
      </w:r>
      <w:r>
        <w:rPr>
          <w:rFonts w:eastAsia="Arial" w:cs="Times New Roman"/>
          <w:szCs w:val="24"/>
        </w:rPr>
        <w:t xml:space="preserve"> (80 tested, 10 buffer). Additionally, pair types 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r w:rsidRPr="0066400E">
        <w:rPr>
          <w:rFonts w:eastAsia="Arial" w:cs="Times New Roman"/>
          <w:szCs w:val="24"/>
        </w:rPr>
        <w:t xml:space="preserve"> </w:t>
      </w:r>
      <w:r>
        <w:rPr>
          <w:rFonts w:eastAsia="Arial" w:cs="Times New Roman"/>
          <w:szCs w:val="24"/>
        </w:rPr>
        <w:t>and</w:t>
      </w:r>
      <w:r w:rsidRPr="0066400E">
        <w:rPr>
          <w:rFonts w:eastAsia="Arial" w:cs="Times New Roman"/>
          <w:szCs w:val="24"/>
        </w:rPr>
        <w:t xml:space="preserve"> </w:t>
      </w:r>
      <w:r>
        <w:rPr>
          <w:rFonts w:eastAsia="Arial" w:cs="Times New Roman"/>
          <w:szCs w:val="24"/>
        </w:rPr>
        <w:t>lexical and semantic properties including word</w:t>
      </w:r>
      <w:r w:rsidRPr="0066400E">
        <w:rPr>
          <w:rFonts w:eastAsia="Arial" w:cs="Times New Roman"/>
          <w:szCs w:val="24"/>
        </w:rPr>
        <w:t xml:space="preserve"> </w:t>
      </w:r>
      <w:r w:rsidRPr="0066400E">
        <w:rPr>
          <w:rFonts w:eastAsia="Arial" w:cs="Times New Roman"/>
          <w:szCs w:val="24"/>
        </w:rPr>
        <w:lastRenderedPageBreak/>
        <w:t>length, SUBTLEX frequency</w:t>
      </w:r>
      <w:r>
        <w:rPr>
          <w:rFonts w:eastAsia="Arial" w:cs="Times New Roman"/>
          <w:szCs w:val="24"/>
        </w:rPr>
        <w:t xml:space="preserve"> (</w:t>
      </w:r>
      <w:proofErr w:type="spellStart"/>
      <w:r>
        <w:rPr>
          <w:rFonts w:eastAsia="Arial" w:cs="Times New Roman"/>
          <w:szCs w:val="24"/>
        </w:rPr>
        <w:t>Brysbaert</w:t>
      </w:r>
      <w:proofErr w:type="spellEnd"/>
      <w:r>
        <w:rPr>
          <w:rFonts w:eastAsia="Arial" w:cs="Times New Roman"/>
          <w:szCs w:val="24"/>
        </w:rPr>
        <w:t xml:space="preserve"> &amp; New, 2009), and concreteness values </w:t>
      </w:r>
      <w:r w:rsidRPr="0066400E">
        <w:rPr>
          <w:rFonts w:eastAsia="Arial" w:cs="Times New Roman"/>
          <w:szCs w:val="24"/>
        </w:rPr>
        <w:t>from the English Lexicon Project (</w:t>
      </w:r>
      <w:proofErr w:type="spellStart"/>
      <w:r w:rsidRPr="009907B5">
        <w:rPr>
          <w:rFonts w:eastAsia="Arial" w:cs="Times New Roman"/>
          <w:szCs w:val="24"/>
        </w:rPr>
        <w:t>Balota</w:t>
      </w:r>
      <w:proofErr w:type="spellEnd"/>
      <w:r w:rsidRPr="009907B5">
        <w:rPr>
          <w:rFonts w:eastAsia="Arial" w:cs="Times New Roman"/>
          <w:szCs w:val="24"/>
        </w:rPr>
        <w:t xml:space="preserve"> et al., 2007). Associative</w:t>
      </w:r>
      <w:r>
        <w:rPr>
          <w:rFonts w:eastAsia="Arial" w:cs="Times New Roman"/>
          <w:szCs w:val="24"/>
        </w:rPr>
        <w:t xml:space="preserve"> strength and semantic/lexical properties of the pair types are reported in the </w:t>
      </w:r>
      <w:r w:rsidRPr="00C0097D">
        <w:rPr>
          <w:rFonts w:eastAsia="Arial" w:cs="Times New Roman"/>
          <w:szCs w:val="24"/>
        </w:rPr>
        <w:t>Appendix (Table</w:t>
      </w:r>
      <w:r>
        <w:rPr>
          <w:rFonts w:eastAsia="Arial" w:cs="Times New Roman"/>
          <w:szCs w:val="24"/>
        </w:rPr>
        <w:t>s</w:t>
      </w:r>
      <w:r w:rsidRPr="00C0097D">
        <w:rPr>
          <w:rFonts w:eastAsia="Arial" w:cs="Times New Roman"/>
          <w:szCs w:val="24"/>
        </w:rPr>
        <w:t xml:space="preserve"> A</w:t>
      </w:r>
      <w:r>
        <w:rPr>
          <w:rFonts w:eastAsia="Arial" w:cs="Times New Roman"/>
          <w:szCs w:val="24"/>
        </w:rPr>
        <w:t>1-A2</w:t>
      </w:r>
      <w:r w:rsidRPr="00C0097D">
        <w:rPr>
          <w:rFonts w:eastAsia="Arial" w:cs="Times New Roman"/>
          <w:szCs w:val="24"/>
        </w:rPr>
        <w:t>).</w:t>
      </w:r>
      <w:r>
        <w:rPr>
          <w:rFonts w:eastAsia="Arial" w:cs="Times New Roman"/>
          <w:szCs w:val="24"/>
        </w:rPr>
        <w:t xml:space="preserve"> Furthermore, all study blocks were matched on these properties so that mean associative overlap and lexical/semantic properties were equivalent between direction types and across study lists. For all pair types, c</w:t>
      </w:r>
      <w:r w:rsidRPr="0066400E">
        <w:rPr>
          <w:rFonts w:eastAsia="Arial" w:cs="Times New Roman"/>
          <w:szCs w:val="24"/>
        </w:rPr>
        <w:t xml:space="preserve">ounterbalanced versions of the study lists were created that switched the order of the word pairs (i.e., </w:t>
      </w:r>
      <w:r>
        <w:rPr>
          <w:rFonts w:eastAsia="Arial" w:cs="Times New Roman"/>
          <w:szCs w:val="24"/>
        </w:rPr>
        <w:t>f</w:t>
      </w:r>
      <w:r w:rsidRPr="0066400E">
        <w:rPr>
          <w:rFonts w:eastAsia="Arial" w:cs="Times New Roman"/>
          <w:szCs w:val="24"/>
        </w:rPr>
        <w:t>orest-</w:t>
      </w:r>
      <w:r>
        <w:rPr>
          <w:rFonts w:eastAsia="Arial" w:cs="Times New Roman"/>
          <w:szCs w:val="24"/>
        </w:rPr>
        <w:t>t</w:t>
      </w:r>
      <w:r w:rsidRPr="0066400E">
        <w:rPr>
          <w:rFonts w:eastAsia="Arial" w:cs="Times New Roman"/>
          <w:szCs w:val="24"/>
        </w:rPr>
        <w:t xml:space="preserve">ree vs. </w:t>
      </w:r>
      <w:r>
        <w:rPr>
          <w:rFonts w:eastAsia="Arial" w:cs="Times New Roman"/>
          <w:szCs w:val="24"/>
        </w:rPr>
        <w:t>t</w:t>
      </w:r>
      <w:r w:rsidRPr="0066400E">
        <w:rPr>
          <w:rFonts w:eastAsia="Arial" w:cs="Times New Roman"/>
          <w:szCs w:val="24"/>
        </w:rPr>
        <w:t>ree-</w:t>
      </w:r>
      <w:r>
        <w:rPr>
          <w:rFonts w:eastAsia="Arial" w:cs="Times New Roman"/>
          <w:szCs w:val="24"/>
        </w:rPr>
        <w:t>f</w:t>
      </w:r>
      <w:r w:rsidRPr="0066400E">
        <w:rPr>
          <w:rFonts w:eastAsia="Arial" w:cs="Times New Roman"/>
          <w:szCs w:val="24"/>
        </w:rPr>
        <w:t>orest)</w:t>
      </w:r>
      <w:r>
        <w:rPr>
          <w:rFonts w:eastAsia="Arial" w:cs="Times New Roman"/>
          <w:szCs w:val="24"/>
        </w:rPr>
        <w:t xml:space="preserve">. This allowed for </w:t>
      </w:r>
      <w:r w:rsidRPr="0066400E">
        <w:rPr>
          <w:rFonts w:eastAsia="Arial" w:cs="Times New Roman"/>
          <w:szCs w:val="24"/>
        </w:rPr>
        <w:t xml:space="preserve">greater control </w:t>
      </w:r>
      <w:r>
        <w:rPr>
          <w:rFonts w:eastAsia="Arial" w:cs="Times New Roman"/>
          <w:szCs w:val="24"/>
        </w:rPr>
        <w:t>of item differences, particularly on forward and backward pairs, as the same items were used in both the forward and backward directions across counterbalances. Pair order was similarly flipped and counterbalanced across unrelated and symmetrical pairs.</w:t>
      </w:r>
    </w:p>
    <w:p w14:paraId="0D78E0D2" w14:textId="77777777" w:rsidR="00041FC1" w:rsidRDefault="00041FC1" w:rsidP="00041FC1">
      <w:pPr>
        <w:spacing w:line="480" w:lineRule="auto"/>
        <w:ind w:firstLine="584"/>
        <w:contextualSpacing/>
        <w:rPr>
          <w:rFonts w:eastAsia="Arial" w:cs="Times New Roman"/>
          <w:szCs w:val="24"/>
        </w:rPr>
      </w:pPr>
      <w:r>
        <w:rPr>
          <w:rFonts w:eastAsia="Arial" w:cs="Times New Roman"/>
          <w:szCs w:val="24"/>
        </w:rPr>
        <w:t>The cued-recall test in each block consisted of all 80 cues from the original study items (minus buffers). The cue was presented next to a blank space that was to be completed with the studied target word. Test order was randomized anew for each participant.</w:t>
      </w:r>
    </w:p>
    <w:p w14:paraId="715583BF" w14:textId="77777777" w:rsidR="00041FC1" w:rsidRPr="00F5609B" w:rsidRDefault="00041FC1" w:rsidP="00041FC1">
      <w:pPr>
        <w:spacing w:line="480" w:lineRule="auto"/>
        <w:contextualSpacing/>
        <w:rPr>
          <w:rFonts w:eastAsia="Arial" w:cs="Times New Roman"/>
          <w:b/>
          <w:szCs w:val="24"/>
        </w:rPr>
      </w:pPr>
      <w:r>
        <w:rPr>
          <w:rFonts w:eastAsia="Arial" w:cs="Times New Roman"/>
          <w:b/>
          <w:szCs w:val="24"/>
        </w:rPr>
        <w:t>Procedure</w:t>
      </w:r>
    </w:p>
    <w:p w14:paraId="78AC1DB6" w14:textId="77777777" w:rsidR="00041FC1" w:rsidRPr="0066400E" w:rsidRDefault="00041FC1" w:rsidP="00041FC1">
      <w:pPr>
        <w:spacing w:line="480" w:lineRule="auto"/>
        <w:ind w:right="40" w:firstLine="584"/>
        <w:contextualSpacing/>
        <w:rPr>
          <w:rFonts w:eastAsia="Arial" w:cs="Times New Roman"/>
          <w:szCs w:val="24"/>
        </w:rPr>
      </w:pPr>
      <w:r w:rsidRPr="0066400E">
        <w:rPr>
          <w:rFonts w:eastAsia="Arial" w:cs="Times New Roman"/>
          <w:szCs w:val="24"/>
        </w:rPr>
        <w:t>All participants were tested individually via computer</w:t>
      </w:r>
      <w:r>
        <w:rPr>
          <w:rFonts w:eastAsia="Arial" w:cs="Times New Roman"/>
          <w:szCs w:val="24"/>
        </w:rPr>
        <w:t>s</w:t>
      </w:r>
      <w:r w:rsidRPr="0066400E">
        <w:rPr>
          <w:rFonts w:eastAsia="Arial" w:cs="Times New Roman"/>
          <w:szCs w:val="24"/>
        </w:rPr>
        <w:t xml:space="preserve"> running </w:t>
      </w:r>
      <w:r w:rsidRPr="0066400E">
        <w:rPr>
          <w:rFonts w:eastAsia="Arial" w:cs="Times New Roman"/>
          <w:i/>
          <w:szCs w:val="24"/>
        </w:rPr>
        <w:t>E-</w:t>
      </w:r>
      <w:r>
        <w:rPr>
          <w:rFonts w:eastAsia="Arial" w:cs="Times New Roman"/>
          <w:i/>
          <w:szCs w:val="24"/>
        </w:rPr>
        <w:t>P</w:t>
      </w:r>
      <w:r w:rsidRPr="0066400E">
        <w:rPr>
          <w:rFonts w:eastAsia="Arial" w:cs="Times New Roman"/>
          <w:i/>
          <w:szCs w:val="24"/>
        </w:rPr>
        <w:t>rime</w:t>
      </w:r>
      <w:r>
        <w:rPr>
          <w:rFonts w:eastAsia="Arial" w:cs="Times New Roman"/>
          <w:i/>
          <w:szCs w:val="24"/>
        </w:rPr>
        <w:t xml:space="preserve"> 3</w:t>
      </w:r>
      <w:r w:rsidRPr="0066400E">
        <w:rPr>
          <w:rFonts w:eastAsia="Arial" w:cs="Times New Roman"/>
          <w:szCs w:val="24"/>
        </w:rPr>
        <w:t xml:space="preserve"> software </w:t>
      </w:r>
      <w:r w:rsidRPr="009861B5">
        <w:rPr>
          <w:rFonts w:eastAsia="Arial" w:cs="Times New Roman"/>
          <w:szCs w:val="24"/>
        </w:rPr>
        <w:t>(Psychology Software Tools, Pittsburgh, PA)</w:t>
      </w:r>
      <w:r>
        <w:rPr>
          <w:rFonts w:eastAsia="Arial" w:cs="Times New Roman"/>
          <w:szCs w:val="24"/>
        </w:rPr>
        <w:t>.</w:t>
      </w:r>
      <w:r w:rsidRPr="009861B5" w:rsidDel="009861B5">
        <w:rPr>
          <w:rFonts w:eastAsia="Arial" w:cs="Times New Roman"/>
          <w:szCs w:val="24"/>
        </w:rPr>
        <w:t xml:space="preserve"> </w:t>
      </w:r>
      <w:r>
        <w:rPr>
          <w:rFonts w:eastAsia="Arial" w:cs="Times New Roman"/>
          <w:szCs w:val="24"/>
        </w:rPr>
        <w:t>P</w:t>
      </w:r>
      <w:r w:rsidRPr="0066400E">
        <w:rPr>
          <w:rFonts w:eastAsia="Arial" w:cs="Times New Roman"/>
          <w:szCs w:val="24"/>
        </w:rPr>
        <w:t xml:space="preserve">articipants were instructed that they would view a series of cue-target word pairs in which the cue was always presented on the left and the target on the right and that their memory for the target word would be tested. In addition to studying the pairs, </w:t>
      </w:r>
      <w:r>
        <w:rPr>
          <w:rFonts w:eastAsia="Arial" w:cs="Times New Roman"/>
          <w:szCs w:val="24"/>
        </w:rPr>
        <w:t>participants</w:t>
      </w:r>
      <w:r w:rsidRPr="0066400E">
        <w:rPr>
          <w:rFonts w:eastAsia="Arial" w:cs="Times New Roman"/>
          <w:szCs w:val="24"/>
        </w:rPr>
        <w:t xml:space="preserve"> were instructed to provide a JOL rating. Speciﬁcally, they were </w:t>
      </w:r>
      <w:r>
        <w:rPr>
          <w:rFonts w:eastAsia="Arial" w:cs="Times New Roman"/>
          <w:szCs w:val="24"/>
        </w:rPr>
        <w:t xml:space="preserve">told </w:t>
      </w:r>
      <w:r w:rsidRPr="0066400E">
        <w:rPr>
          <w:rFonts w:eastAsia="Arial" w:cs="Times New Roman"/>
          <w:szCs w:val="24"/>
        </w:rPr>
        <w:t xml:space="preserve">to rate the likelihood that they would be able to remember the target word </w:t>
      </w:r>
      <w:r>
        <w:rPr>
          <w:rFonts w:eastAsia="Arial" w:cs="Times New Roman"/>
          <w:szCs w:val="24"/>
        </w:rPr>
        <w:t>in the presence of the</w:t>
      </w:r>
      <w:r w:rsidRPr="0066400E">
        <w:rPr>
          <w:rFonts w:eastAsia="Arial" w:cs="Times New Roman"/>
          <w:szCs w:val="24"/>
        </w:rPr>
        <w:t xml:space="preserve"> cue word at test using a 0 to 100 scale</w:t>
      </w:r>
      <w:r>
        <w:rPr>
          <w:rFonts w:eastAsia="Arial" w:cs="Times New Roman"/>
          <w:szCs w:val="24"/>
        </w:rPr>
        <w:t xml:space="preserve"> in which</w:t>
      </w:r>
      <w:r w:rsidRPr="0066400E">
        <w:rPr>
          <w:rFonts w:eastAsia="Arial" w:cs="Times New Roman"/>
          <w:szCs w:val="24"/>
        </w:rPr>
        <w:t xml:space="preserve"> 0 indicated that they would be unable to correctly </w:t>
      </w:r>
      <w:r>
        <w:rPr>
          <w:rFonts w:eastAsia="Arial" w:cs="Times New Roman"/>
          <w:szCs w:val="24"/>
        </w:rPr>
        <w:t>recall</w:t>
      </w:r>
      <w:r w:rsidRPr="0066400E">
        <w:rPr>
          <w:rFonts w:eastAsia="Arial" w:cs="Times New Roman"/>
          <w:szCs w:val="24"/>
        </w:rPr>
        <w:t xml:space="preserve"> the target word, while a response of 100 indicated</w:t>
      </w:r>
      <w:r>
        <w:rPr>
          <w:rFonts w:eastAsia="Arial" w:cs="Times New Roman"/>
          <w:szCs w:val="24"/>
        </w:rPr>
        <w:t xml:space="preserve"> full certainty that </w:t>
      </w:r>
      <w:r w:rsidRPr="0066400E">
        <w:rPr>
          <w:rFonts w:eastAsia="Arial" w:cs="Times New Roman"/>
          <w:szCs w:val="24"/>
        </w:rPr>
        <w:t xml:space="preserve">they would </w:t>
      </w:r>
      <w:r>
        <w:rPr>
          <w:rFonts w:eastAsia="Arial" w:cs="Times New Roman"/>
          <w:szCs w:val="24"/>
        </w:rPr>
        <w:t>recall</w:t>
      </w:r>
      <w:r w:rsidRPr="0066400E">
        <w:rPr>
          <w:rFonts w:eastAsia="Arial" w:cs="Times New Roman"/>
          <w:szCs w:val="24"/>
        </w:rPr>
        <w:t xml:space="preserve"> target word. </w:t>
      </w:r>
      <w:r>
        <w:rPr>
          <w:rFonts w:eastAsia="Arial" w:cs="Times New Roman"/>
          <w:szCs w:val="24"/>
        </w:rPr>
        <w:t>P</w:t>
      </w:r>
      <w:r w:rsidRPr="0066400E">
        <w:rPr>
          <w:rFonts w:eastAsia="Arial" w:cs="Times New Roman"/>
          <w:szCs w:val="24"/>
        </w:rPr>
        <w:t xml:space="preserve">articipants were encouraged to use the full range of the scale when making their </w:t>
      </w:r>
      <w:r w:rsidRPr="0066400E">
        <w:rPr>
          <w:rFonts w:eastAsia="Arial" w:cs="Times New Roman"/>
          <w:szCs w:val="24"/>
        </w:rPr>
        <w:lastRenderedPageBreak/>
        <w:t>judgments</w:t>
      </w:r>
      <w:r>
        <w:rPr>
          <w:rFonts w:eastAsia="Arial" w:cs="Times New Roman"/>
          <w:szCs w:val="24"/>
        </w:rPr>
        <w:t xml:space="preserve"> to limit anchoring on extremes</w:t>
      </w:r>
      <w:r w:rsidRPr="0066400E">
        <w:rPr>
          <w:rFonts w:eastAsia="Arial" w:cs="Times New Roman"/>
          <w:szCs w:val="24"/>
        </w:rPr>
        <w:t xml:space="preserve"> </w:t>
      </w:r>
      <w:r>
        <w:rPr>
          <w:rFonts w:eastAsia="Arial" w:cs="Times New Roman"/>
          <w:szCs w:val="24"/>
        </w:rPr>
        <w:t>(</w:t>
      </w:r>
      <w:r w:rsidRPr="0066400E">
        <w:rPr>
          <w:rFonts w:eastAsia="Arial" w:cs="Times New Roman"/>
          <w:szCs w:val="24"/>
        </w:rPr>
        <w:t>i.e., judgments of 0 and 100). Following instruction, participants were presented with the ﬁrst study list. The study phase was self-paced with participants viewing an item pair and typing a JOL rating before proceeding to the next pair.</w:t>
      </w:r>
      <w:r>
        <w:rPr>
          <w:rFonts w:eastAsia="Arial" w:cs="Times New Roman"/>
          <w:szCs w:val="24"/>
        </w:rPr>
        <w:t xml:space="preserve"> Participants provided JOL ratings while the pair was displayed.</w:t>
      </w:r>
    </w:p>
    <w:p w14:paraId="7DFCBB89" w14:textId="0EFAC707" w:rsidR="00C83473" w:rsidRDefault="00041FC1" w:rsidP="00041FC1">
      <w:pPr>
        <w:spacing w:line="480" w:lineRule="auto"/>
        <w:ind w:right="40" w:firstLine="584"/>
        <w:contextualSpacing/>
        <w:rPr>
          <w:rFonts w:eastAsia="Arial" w:cs="Times New Roman"/>
          <w:szCs w:val="24"/>
        </w:rPr>
      </w:pPr>
      <w:r w:rsidRPr="0066400E">
        <w:rPr>
          <w:rFonts w:eastAsia="Arial" w:cs="Times New Roman"/>
          <w:szCs w:val="24"/>
        </w:rPr>
        <w:t xml:space="preserve">Following the ﬁrst list, participants </w:t>
      </w:r>
      <w:r>
        <w:rPr>
          <w:rFonts w:eastAsia="Arial" w:cs="Times New Roman"/>
          <w:szCs w:val="24"/>
        </w:rPr>
        <w:t xml:space="preserve">completed </w:t>
      </w:r>
      <w:r w:rsidRPr="0066400E">
        <w:rPr>
          <w:rFonts w:eastAsia="Arial" w:cs="Times New Roman"/>
          <w:szCs w:val="24"/>
        </w:rPr>
        <w:t>an arithmetic ﬁller</w:t>
      </w:r>
      <w:r>
        <w:rPr>
          <w:rFonts w:eastAsia="Arial" w:cs="Times New Roman"/>
          <w:szCs w:val="24"/>
        </w:rPr>
        <w:t xml:space="preserve"> task for 2 minutes </w:t>
      </w:r>
      <w:r w:rsidRPr="0066400E">
        <w:rPr>
          <w:rFonts w:eastAsia="Arial" w:cs="Times New Roman"/>
          <w:szCs w:val="24"/>
        </w:rPr>
        <w:t xml:space="preserve">followed by a cued-recall test in which participants were presented with the </w:t>
      </w:r>
      <w:r>
        <w:rPr>
          <w:rFonts w:eastAsia="Arial" w:cs="Times New Roman"/>
          <w:szCs w:val="24"/>
        </w:rPr>
        <w:t>cue</w:t>
      </w:r>
      <w:r w:rsidRPr="0066400E">
        <w:rPr>
          <w:rFonts w:eastAsia="Arial" w:cs="Times New Roman"/>
          <w:szCs w:val="24"/>
        </w:rPr>
        <w:t xml:space="preserve"> word from each study pair</w:t>
      </w:r>
      <w:r>
        <w:rPr>
          <w:rFonts w:eastAsia="Arial" w:cs="Times New Roman"/>
          <w:szCs w:val="24"/>
        </w:rPr>
        <w:t xml:space="preserve"> and</w:t>
      </w:r>
      <w:r w:rsidRPr="0066400E">
        <w:rPr>
          <w:rFonts w:eastAsia="Arial" w:cs="Times New Roman"/>
          <w:szCs w:val="24"/>
        </w:rPr>
        <w:t xml:space="preserve"> asked to type the target word from memory. If participants were unable to retrieve the target word, they could skip to the next </w:t>
      </w:r>
      <w:r>
        <w:rPr>
          <w:rFonts w:eastAsia="Arial" w:cs="Times New Roman"/>
          <w:szCs w:val="24"/>
        </w:rPr>
        <w:t xml:space="preserve">test cue by pressing the enter key. </w:t>
      </w:r>
      <w:r w:rsidRPr="0066400E">
        <w:rPr>
          <w:rFonts w:eastAsia="Arial" w:cs="Times New Roman"/>
          <w:szCs w:val="24"/>
        </w:rPr>
        <w:t>After completing the ﬁrst cued-recall test, participants began the second study/test block which used the same instructions as the ﬁrst block. After completion of the second study/test block, participants were fully debriefed. Each experimental session lasted approximately 30 minutes.</w:t>
      </w:r>
    </w:p>
    <w:p w14:paraId="45B2217F" w14:textId="77777777" w:rsidR="00C83473" w:rsidRDefault="00C83473">
      <w:pPr>
        <w:rPr>
          <w:rFonts w:eastAsia="Arial" w:cs="Times New Roman"/>
          <w:szCs w:val="24"/>
        </w:rPr>
      </w:pPr>
      <w:r>
        <w:rPr>
          <w:rFonts w:eastAsia="Arial" w:cs="Times New Roman"/>
          <w:szCs w:val="24"/>
        </w:rPr>
        <w:br w:type="page"/>
      </w:r>
    </w:p>
    <w:p w14:paraId="73729CEB" w14:textId="77777777" w:rsidR="00041FC1" w:rsidRPr="0066400E" w:rsidRDefault="00041FC1" w:rsidP="00041FC1">
      <w:pPr>
        <w:spacing w:line="480" w:lineRule="auto"/>
        <w:ind w:right="40" w:firstLine="584"/>
        <w:contextualSpacing/>
        <w:rPr>
          <w:rFonts w:cs="Times New Roman"/>
          <w:szCs w:val="24"/>
        </w:rPr>
      </w:pPr>
    </w:p>
    <w:p w14:paraId="63B370AD" w14:textId="4002F19C" w:rsidR="00F929BE" w:rsidRDefault="00D5055F">
      <w:pPr>
        <w:rPr>
          <w14:textOutline w14:w="9525" w14:cap="rnd" w14:cmpd="sng" w14:algn="ctr">
            <w14:solidFill>
              <w14:schemeClr w14:val="accent1"/>
            </w14:solidFill>
            <w14:prstDash w14:val="solid"/>
            <w14:bevel/>
          </w14:textOutline>
        </w:rPr>
      </w:pPr>
      <w:r>
        <w:rPr>
          <w:noProof/>
        </w:rPr>
        <w:drawing>
          <wp:inline distT="0" distB="0" distL="0" distR="0" wp14:anchorId="08FA521B" wp14:editId="3A2F9FE3">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DA872B6" w14:textId="5BE2EDA4" w:rsidR="001C51DD" w:rsidRDefault="001C51DD">
      <w:pPr>
        <w:rPr>
          <w14:textOutline w14:w="9525" w14:cap="rnd" w14:cmpd="sng" w14:algn="ctr">
            <w14:noFill/>
            <w14:prstDash w14:val="solid"/>
            <w14:bevel/>
          </w14:textOutline>
        </w:rPr>
      </w:pPr>
      <w:r w:rsidRPr="001C51DD">
        <w:rPr>
          <w:i/>
          <w:iCs/>
          <w14:textOutline w14:w="9525" w14:cap="rnd" w14:cmpd="sng" w14:algn="ctr">
            <w14:noFill/>
            <w14:prstDash w14:val="solid"/>
            <w14:bevel/>
          </w14:textOutline>
        </w:rPr>
        <w:t xml:space="preserve">Figure </w:t>
      </w:r>
      <w:r>
        <w:rPr>
          <w:i/>
          <w:iCs/>
          <w14:textOutline w14:w="9525" w14:cap="rnd" w14:cmpd="sng" w14:algn="ctr">
            <w14:noFill/>
            <w14:prstDash w14:val="solid"/>
            <w14:bevel/>
          </w14:textOutline>
        </w:rPr>
        <w:t>1.</w:t>
      </w:r>
      <w:r>
        <w:rPr>
          <w14:textOutline w14:w="9525" w14:cap="rnd" w14:cmpd="sng" w14:algn="ctr">
            <w14:noFill/>
            <w14:prstDash w14:val="solid"/>
            <w14:bevel/>
          </w14:textOutline>
        </w:rPr>
        <w:t xml:space="preserve"> Comparison of mean JOL ratings and recall rates across each </w:t>
      </w:r>
      <w:r w:rsidR="0042320C">
        <w:rPr>
          <w14:textOutline w14:w="9525" w14:cap="rnd" w14:cmpd="sng" w14:algn="ctr">
            <w14:noFill/>
            <w14:prstDash w14:val="solid"/>
            <w14:bevel/>
          </w14:textOutline>
        </w:rPr>
        <w:t xml:space="preserve">pair type for </w:t>
      </w:r>
      <w:r w:rsidR="00212551">
        <w:rPr>
          <w14:textOutline w14:w="9525" w14:cap="rnd" w14:cmpd="sng" w14:algn="ctr">
            <w14:noFill/>
            <w14:prstDash w14:val="solid"/>
            <w14:bevel/>
          </w14:textOutline>
        </w:rPr>
        <w:t>the item-specific encoding</w:t>
      </w:r>
      <w:r>
        <w:rPr>
          <w14:textOutline w14:w="9525" w14:cap="rnd" w14:cmpd="sng" w14:algn="ctr">
            <w14:noFill/>
            <w14:prstDash w14:val="solid"/>
            <w14:bevel/>
          </w14:textOutline>
        </w:rPr>
        <w:t>. Error bars represent 95% confidence intervals.</w:t>
      </w:r>
    </w:p>
    <w:p w14:paraId="3DDEFCD0" w14:textId="432DB635" w:rsidR="001C51DD" w:rsidRDefault="0042320C">
      <w:pPr>
        <w:rPr>
          <w:color w:val="FFFFFF" w:themeColor="background1"/>
          <w14:textOutline w14:w="9525" w14:cap="rnd" w14:cmpd="sng" w14:algn="ctr">
            <w14:noFill/>
            <w14:prstDash w14:val="solid"/>
            <w14:bevel/>
          </w14:textOutline>
          <w14:textFill>
            <w14:noFill/>
          </w14:textFill>
        </w:rPr>
      </w:pPr>
      <w:r>
        <w:rPr>
          <w:noProof/>
        </w:rPr>
        <w:drawing>
          <wp:inline distT="0" distB="0" distL="0" distR="0" wp14:anchorId="4CB9BFA5" wp14:editId="3CDAFD94">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BB3DC48" w14:textId="4EE550EF" w:rsidR="0042320C" w:rsidRDefault="0042320C">
      <w:pPr>
        <w:rPr>
          <w14:textOutline w14:w="9525" w14:cap="rnd" w14:cmpd="sng" w14:algn="ctr">
            <w14:noFill/>
            <w14:prstDash w14:val="solid"/>
            <w14:bevel/>
          </w14:textOutline>
        </w:rPr>
      </w:pPr>
      <w:r>
        <w:rPr>
          <w:i/>
          <w:iCs/>
          <w14:textOutline w14:w="9525" w14:cap="rnd" w14:cmpd="sng" w14:algn="ctr">
            <w14:noFill/>
            <w14:prstDash w14:val="solid"/>
            <w14:bevel/>
          </w14:textOutline>
        </w:rPr>
        <w:t>Figure 2</w:t>
      </w:r>
      <w:r>
        <w:rPr>
          <w14:textOutline w14:w="9525" w14:cap="rnd" w14:cmpd="sng" w14:algn="ctr">
            <w14:noFill/>
            <w14:prstDash w14:val="solid"/>
            <w14:bevel/>
          </w14:textOutline>
        </w:rPr>
        <w:t xml:space="preserve">. </w:t>
      </w:r>
      <w:r w:rsidR="00212551">
        <w:rPr>
          <w14:textOutline w14:w="9525" w14:cap="rnd" w14:cmpd="sng" w14:algn="ctr">
            <w14:noFill/>
            <w14:prstDash w14:val="solid"/>
            <w14:bevel/>
          </w14:textOutline>
        </w:rPr>
        <w:t>Comparison of mean JOL ratings and recall rates across each pair type for the</w:t>
      </w:r>
      <w:r w:rsidR="00212551">
        <w:rPr>
          <w14:textOutline w14:w="9525" w14:cap="rnd" w14:cmpd="sng" w14:algn="ctr">
            <w14:noFill/>
            <w14:prstDash w14:val="solid"/>
            <w14:bevel/>
          </w14:textOutline>
        </w:rPr>
        <w:t xml:space="preserve"> relational</w:t>
      </w:r>
      <w:r w:rsidR="00212551">
        <w:rPr>
          <w14:textOutline w14:w="9525" w14:cap="rnd" w14:cmpd="sng" w14:algn="ctr">
            <w14:noFill/>
            <w14:prstDash w14:val="solid"/>
            <w14:bevel/>
          </w14:textOutline>
        </w:rPr>
        <w:t xml:space="preserve"> encoding. Error bars represent 95% confidence intervals.</w:t>
      </w:r>
    </w:p>
    <w:p w14:paraId="5719BBCF" w14:textId="0B9CB8D9" w:rsidR="0042320C" w:rsidRDefault="0042320C">
      <w:pPr>
        <w:rPr>
          <w14:textOutline w14:w="9525" w14:cap="rnd" w14:cmpd="sng" w14:algn="ctr">
            <w14:noFill/>
            <w14:prstDash w14:val="solid"/>
            <w14:bevel/>
          </w14:textOutline>
        </w:rPr>
      </w:pPr>
      <w:r>
        <w:rPr>
          <w:noProof/>
        </w:rPr>
        <w:lastRenderedPageBreak/>
        <w:drawing>
          <wp:inline distT="0" distB="0" distL="0" distR="0" wp14:anchorId="4C90E585" wp14:editId="5579FAF8">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66C1914" w14:textId="5606B8E5" w:rsidR="00212551" w:rsidRPr="00212551" w:rsidRDefault="00212551">
      <w:pPr>
        <w:rPr>
          <w14:textOutline w14:w="9525" w14:cap="rnd" w14:cmpd="sng" w14:algn="ctr">
            <w14:noFill/>
            <w14:prstDash w14:val="solid"/>
            <w14:bevel/>
          </w14:textOutline>
        </w:rPr>
      </w:pPr>
      <w:r>
        <w:rPr>
          <w:i/>
          <w:iCs/>
          <w14:textOutline w14:w="9525" w14:cap="rnd" w14:cmpd="sng" w14:algn="ctr">
            <w14:noFill/>
            <w14:prstDash w14:val="solid"/>
            <w14:bevel/>
          </w14:textOutline>
        </w:rPr>
        <w:t>Figure 3</w:t>
      </w:r>
      <w:bookmarkStart w:id="1" w:name="_GoBack"/>
      <w:bookmarkEnd w:id="1"/>
      <w:r>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Comparison of mean JOL ratings and recall rates across each pair type for </w:t>
      </w:r>
      <w:r>
        <w:rPr>
          <w14:textOutline w14:w="9525" w14:cap="rnd" w14:cmpd="sng" w14:algn="ctr">
            <w14:noFill/>
            <w14:prstDash w14:val="solid"/>
            <w14:bevel/>
          </w14:textOutline>
        </w:rPr>
        <w:t>the read only control group</w:t>
      </w:r>
      <w:r>
        <w:rPr>
          <w14:textOutline w14:w="9525" w14:cap="rnd" w14:cmpd="sng" w14:algn="ctr">
            <w14:noFill/>
            <w14:prstDash w14:val="solid"/>
            <w14:bevel/>
          </w14:textOutline>
        </w:rPr>
        <w:t>. Error bars represent 95% confidence intervals.</w:t>
      </w:r>
    </w:p>
    <w:sectPr w:rsidR="00212551" w:rsidRPr="00212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C1"/>
    <w:rsid w:val="00041FC1"/>
    <w:rsid w:val="001C51DD"/>
    <w:rsid w:val="00212551"/>
    <w:rsid w:val="0042320C"/>
    <w:rsid w:val="00832EE0"/>
    <w:rsid w:val="00BA535A"/>
    <w:rsid w:val="00C83473"/>
    <w:rsid w:val="00CC1462"/>
    <w:rsid w:val="00D5055F"/>
    <w:rsid w:val="00E41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953CB"/>
  <w15:chartTrackingRefBased/>
  <w15:docId w15:val="{A6813D04-2B84-48F5-B521-18B674EC1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1F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320" b="0" i="0" u="none" strike="noStrike" kern="1200" spc="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Experiment 1: Item-Specific Study</a:t>
            </a:r>
          </a:p>
        </c:rich>
      </c:tx>
      <c:overlay val="0"/>
      <c:spPr>
        <a:noFill/>
        <a:ln>
          <a:noFill/>
        </a:ln>
        <a:effectLst/>
      </c:spPr>
      <c:txPr>
        <a:bodyPr rot="0" spcFirstLastPara="1" vertOverflow="ellipsis" vert="horz" wrap="square" anchor="ctr" anchorCtr="1"/>
        <a:lstStyle/>
        <a:p>
          <a:pPr>
            <a:defRPr sz="1320" b="0" i="0" u="none" strike="noStrike" kern="1200" spc="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JOLs</c:v>
                </c:pt>
              </c:strCache>
            </c:strRef>
          </c:tx>
          <c:spPr>
            <a:solidFill>
              <a:schemeClr val="dk1">
                <a:tint val="885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Sheet1!$B$2:$B$5</c:f>
              <c:numCache>
                <c:formatCode>General</c:formatCode>
                <c:ptCount val="4"/>
                <c:pt idx="0">
                  <c:v>69.55</c:v>
                </c:pt>
                <c:pt idx="1">
                  <c:v>68.67</c:v>
                </c:pt>
                <c:pt idx="2">
                  <c:v>71.62</c:v>
                </c:pt>
                <c:pt idx="3">
                  <c:v>40.64</c:v>
                </c:pt>
              </c:numCache>
            </c:numRef>
          </c:val>
          <c:extLst>
            <c:ext xmlns:c16="http://schemas.microsoft.com/office/drawing/2014/chart" uri="{C3380CC4-5D6E-409C-BE32-E72D297353CC}">
              <c16:uniqueId val="{00000000-6750-4C93-9421-CD98EBFD8E55}"/>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Sheet1!$C$2:$C$5</c:f>
              <c:numCache>
                <c:formatCode>General</c:formatCode>
                <c:ptCount val="4"/>
                <c:pt idx="0">
                  <c:v>59.01</c:v>
                </c:pt>
                <c:pt idx="1">
                  <c:v>78.84</c:v>
                </c:pt>
                <c:pt idx="2">
                  <c:v>78.239999999999995</c:v>
                </c:pt>
                <c:pt idx="3">
                  <c:v>14.35</c:v>
                </c:pt>
              </c:numCache>
            </c:numRef>
          </c:val>
          <c:extLst>
            <c:ext xmlns:c16="http://schemas.microsoft.com/office/drawing/2014/chart" uri="{C3380CC4-5D6E-409C-BE32-E72D297353CC}">
              <c16:uniqueId val="{00000001-6750-4C93-9421-CD98EBFD8E55}"/>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Pair Direction</a:t>
                </a:r>
              </a:p>
            </c:rich>
          </c:tx>
          <c:overlay val="0"/>
          <c:spPr>
            <a:noFill/>
            <a:ln>
              <a:noFill/>
            </a:ln>
            <a:effectLst/>
          </c:spPr>
          <c:txPr>
            <a:bodyPr rot="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Mean % JOL/Recall</a:t>
                </a:r>
              </a:p>
            </c:rich>
          </c:tx>
          <c:overlay val="0"/>
          <c:spPr>
            <a:noFill/>
            <a:ln>
              <a:noFill/>
            </a:ln>
            <a:effectLst/>
          </c:spPr>
          <c:txPr>
            <a:bodyPr rot="-540000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0" i="0" u="none" strike="noStrike" kern="1200" spc="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Experiment</a:t>
            </a:r>
            <a:r>
              <a:rPr lang="en-US" baseline="0"/>
              <a:t> 1: Relational Study</a:t>
            </a:r>
            <a:endParaRPr lang="en-US"/>
          </a:p>
        </c:rich>
      </c:tx>
      <c:overlay val="0"/>
      <c:spPr>
        <a:noFill/>
        <a:ln>
          <a:noFill/>
        </a:ln>
        <a:effectLst/>
      </c:spPr>
      <c:txPr>
        <a:bodyPr rot="0" spcFirstLastPara="1" vertOverflow="ellipsis" vert="horz" wrap="square" anchor="ctr" anchorCtr="1"/>
        <a:lstStyle/>
        <a:p>
          <a:pPr>
            <a:defRPr sz="1320" b="0" i="0" u="none" strike="noStrike" kern="1200" spc="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JOLs</c:v>
                </c:pt>
              </c:strCache>
            </c:strRef>
          </c:tx>
          <c:spPr>
            <a:solidFill>
              <a:schemeClr val="dk1">
                <a:tint val="885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Sheet1!$B$2:$B$5</c:f>
              <c:numCache>
                <c:formatCode>General</c:formatCode>
                <c:ptCount val="4"/>
                <c:pt idx="0">
                  <c:v>71.17</c:v>
                </c:pt>
                <c:pt idx="1">
                  <c:v>71.28</c:v>
                </c:pt>
                <c:pt idx="2">
                  <c:v>75.180000000000007</c:v>
                </c:pt>
                <c:pt idx="3">
                  <c:v>39.89</c:v>
                </c:pt>
              </c:numCache>
            </c:numRef>
          </c:val>
          <c:extLst>
            <c:ext xmlns:c16="http://schemas.microsoft.com/office/drawing/2014/chart" uri="{C3380CC4-5D6E-409C-BE32-E72D297353CC}">
              <c16:uniqueId val="{00000000-6750-4C93-9421-CD98EBFD8E55}"/>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Sheet1!$C$2:$C$5</c:f>
              <c:numCache>
                <c:formatCode>General</c:formatCode>
                <c:ptCount val="4"/>
                <c:pt idx="0">
                  <c:v>53.77</c:v>
                </c:pt>
                <c:pt idx="1">
                  <c:v>77.94</c:v>
                </c:pt>
                <c:pt idx="2">
                  <c:v>76.540000000000006</c:v>
                </c:pt>
                <c:pt idx="3">
                  <c:v>33.75</c:v>
                </c:pt>
              </c:numCache>
            </c:numRef>
          </c:val>
          <c:extLst>
            <c:ext xmlns:c16="http://schemas.microsoft.com/office/drawing/2014/chart" uri="{C3380CC4-5D6E-409C-BE32-E72D297353CC}">
              <c16:uniqueId val="{00000001-6750-4C93-9421-CD98EBFD8E55}"/>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Pair</a:t>
                </a:r>
                <a:r>
                  <a:rPr lang="en-US" baseline="0"/>
                  <a:t> Direction</a:t>
                </a:r>
                <a:endParaRPr lang="en-US"/>
              </a:p>
            </c:rich>
          </c:tx>
          <c:overlay val="0"/>
          <c:spPr>
            <a:noFill/>
            <a:ln>
              <a:noFill/>
            </a:ln>
            <a:effectLst/>
          </c:spPr>
          <c:txPr>
            <a:bodyPr rot="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Mean % JOL/Recall</a:t>
                </a:r>
              </a:p>
            </c:rich>
          </c:tx>
          <c:overlay val="0"/>
          <c:spPr>
            <a:noFill/>
            <a:ln>
              <a:noFill/>
            </a:ln>
            <a:effectLst/>
          </c:spPr>
          <c:txPr>
            <a:bodyPr rot="-540000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0" i="0" u="none" strike="noStrike" kern="1200" spc="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Experiment</a:t>
            </a:r>
            <a:r>
              <a:rPr lang="en-US" baseline="0"/>
              <a:t> 1: Read Study</a:t>
            </a:r>
            <a:endParaRPr lang="en-US"/>
          </a:p>
        </c:rich>
      </c:tx>
      <c:overlay val="0"/>
      <c:spPr>
        <a:noFill/>
        <a:ln>
          <a:noFill/>
        </a:ln>
        <a:effectLst/>
      </c:spPr>
      <c:txPr>
        <a:bodyPr rot="0" spcFirstLastPara="1" vertOverflow="ellipsis" vert="horz" wrap="square" anchor="ctr" anchorCtr="1"/>
        <a:lstStyle/>
        <a:p>
          <a:pPr>
            <a:defRPr sz="1320" b="0" i="0" u="none" strike="noStrike" kern="1200" spc="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JOL</c:v>
                </c:pt>
              </c:strCache>
            </c:strRef>
          </c:tx>
          <c:spPr>
            <a:solidFill>
              <a:schemeClr val="dk1">
                <a:tint val="885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Sheet1!$B$2:$B$5</c:f>
              <c:numCache>
                <c:formatCode>General</c:formatCode>
                <c:ptCount val="4"/>
                <c:pt idx="0">
                  <c:v>68.62</c:v>
                </c:pt>
                <c:pt idx="1">
                  <c:v>70.040000000000006</c:v>
                </c:pt>
                <c:pt idx="2">
                  <c:v>80.22</c:v>
                </c:pt>
                <c:pt idx="3">
                  <c:v>24.85</c:v>
                </c:pt>
              </c:numCache>
            </c:numRef>
          </c:val>
          <c:extLst>
            <c:ext xmlns:c16="http://schemas.microsoft.com/office/drawing/2014/chart" uri="{C3380CC4-5D6E-409C-BE32-E72D297353CC}">
              <c16:uniqueId val="{00000000-6750-4C93-9421-CD98EBFD8E55}"/>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Sheet1!$C$2:$C$5</c:f>
              <c:numCache>
                <c:formatCode>General</c:formatCode>
                <c:ptCount val="4"/>
                <c:pt idx="0">
                  <c:v>37.78</c:v>
                </c:pt>
                <c:pt idx="1">
                  <c:v>65.23</c:v>
                </c:pt>
                <c:pt idx="2">
                  <c:v>64.849999999999994</c:v>
                </c:pt>
                <c:pt idx="3">
                  <c:v>14.76</c:v>
                </c:pt>
              </c:numCache>
            </c:numRef>
          </c:val>
          <c:extLst>
            <c:ext xmlns:c16="http://schemas.microsoft.com/office/drawing/2014/chart" uri="{C3380CC4-5D6E-409C-BE32-E72D297353CC}">
              <c16:uniqueId val="{00000001-6750-4C93-9421-CD98EBFD8E55}"/>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Pair</a:t>
                </a:r>
                <a:r>
                  <a:rPr lang="en-US" baseline="0"/>
                  <a:t> Direction</a:t>
                </a:r>
                <a:endParaRPr lang="en-US"/>
              </a:p>
            </c:rich>
          </c:tx>
          <c:overlay val="0"/>
          <c:spPr>
            <a:noFill/>
            <a:ln>
              <a:noFill/>
            </a:ln>
            <a:effectLst/>
          </c:spPr>
          <c:txPr>
            <a:bodyPr rot="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Mean % JOL/Recall</a:t>
                </a:r>
              </a:p>
            </c:rich>
          </c:tx>
          <c:overlay val="0"/>
          <c:spPr>
            <a:noFill/>
            <a:ln>
              <a:noFill/>
            </a:ln>
            <a:effectLst/>
          </c:spPr>
          <c:txPr>
            <a:bodyPr rot="-540000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5</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Emily Cates</cp:lastModifiedBy>
  <cp:revision>2</cp:revision>
  <dcterms:created xsi:type="dcterms:W3CDTF">2020-02-18T20:29:00Z</dcterms:created>
  <dcterms:modified xsi:type="dcterms:W3CDTF">2020-02-18T20:29:00Z</dcterms:modified>
</cp:coreProperties>
</file>