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w:t>
      </w:r>
      <w:r w:rsidR="00491AE0">
        <w:rPr>
          <w:rFonts w:cstheme="minorHAnsi"/>
          <w:sz w:val="24"/>
          <w:szCs w:val="24"/>
        </w:rPr>
        <w:lastRenderedPageBreak/>
        <w:t xml:space="preserve">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Einstein &amp; Hunt, 1980</w:t>
      </w:r>
      <w:r w:rsidR="002C59FF">
        <w:rPr>
          <w:rFonts w:cstheme="minorHAnsi"/>
          <w:sz w:val="24"/>
          <w:szCs w:val="24"/>
        </w:rPr>
        <w:t xml:space="preserve">;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793B16A9"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w:t>
      </w:r>
      <w:r w:rsidR="00550F45">
        <w:rPr>
          <w:rFonts w:cstheme="minorHAnsi"/>
          <w:sz w:val="24"/>
          <w:szCs w:val="24"/>
        </w:rPr>
        <w:lastRenderedPageBreak/>
        <w:t xml:space="preserve">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commentRangeStart w:id="1"/>
      <w:r w:rsidRPr="00697109">
        <w:rPr>
          <w:rFonts w:cstheme="minorHAnsi"/>
          <w:b/>
          <w:bCs/>
          <w:i/>
          <w:iCs/>
          <w:sz w:val="24"/>
          <w:szCs w:val="24"/>
        </w:rPr>
        <w:t>Response:</w:t>
      </w:r>
      <w:commentRangeEnd w:id="1"/>
      <w:r w:rsidR="007F693D">
        <w:rPr>
          <w:rStyle w:val="CommentReference"/>
        </w:rPr>
        <w:commentReference w:id="1"/>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6062545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metacognitive evaluations. Thus</w:t>
      </w:r>
      <w:r w:rsidR="00A4363F">
        <w:rPr>
          <w:rFonts w:cstheme="minorHAnsi"/>
          <w:sz w:val="24"/>
          <w:szCs w:val="24"/>
        </w:rPr>
        <w:t xml:space="preserve">, the present study provides the first step by showing that item-specific/relational encoding manipulations can effectively reduce the illusion of competence by modifying participants’ memory, while also showing that these manipulations alone are not sufficient to influence participants’ JOLs. </w:t>
      </w:r>
      <w:r w:rsidR="005E3CA7">
        <w:rPr>
          <w:rFonts w:cstheme="minorHAnsi"/>
          <w:sz w:val="24"/>
          <w:szCs w:val="24"/>
        </w:rPr>
        <w:t xml:space="preserve">We now note this possibility in our General Discussion (pg. </w:t>
      </w:r>
      <w:r w:rsidR="005E3CA7" w:rsidRPr="005E3CA7">
        <w:rPr>
          <w:rFonts w:cstheme="minorHAnsi"/>
          <w:sz w:val="24"/>
          <w:szCs w:val="24"/>
          <w:highlight w:val="yellow"/>
        </w:rPr>
        <w:t>xx</w:t>
      </w:r>
      <w:r w:rsidR="005E3CA7">
        <w:rPr>
          <w:rFonts w:cstheme="minorHAnsi"/>
          <w:sz w:val="24"/>
          <w:szCs w:val="24"/>
        </w:rPr>
        <w:t>) while also making recommendations for future research.</w:t>
      </w:r>
      <w:r w:rsidR="00A4363F">
        <w:rPr>
          <w:rFonts w:cstheme="minorHAnsi"/>
          <w:sz w:val="24"/>
          <w:szCs w:val="24"/>
        </w:rPr>
        <w:t xml:space="preserve"> </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Koriat and Bjork's (2005) study, JOLs </w:t>
      </w:r>
      <w:r w:rsidRPr="00000C73">
        <w:rPr>
          <w:rFonts w:cstheme="minorHAnsi"/>
          <w:sz w:val="24"/>
          <w:szCs w:val="24"/>
        </w:rPr>
        <w:lastRenderedPageBreak/>
        <w:t>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r w:rsidR="00C82A21" w:rsidRPr="00000C73">
        <w:rPr>
          <w:rFonts w:cstheme="minorHAnsi"/>
          <w:b/>
          <w:bCs/>
          <w:sz w:val="24"/>
          <w:szCs w:val="24"/>
        </w:rPr>
        <w:t>Comment 3:</w:t>
      </w:r>
      <w:commentRangeEnd w:id="2"/>
      <w:r w:rsidR="002C1929">
        <w:rPr>
          <w:rStyle w:val="CommentReference"/>
        </w:rPr>
        <w:commentReference w:id="2"/>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commentRangeStart w:id="3"/>
      <w:r w:rsidR="009A275D" w:rsidRPr="00000C73">
        <w:rPr>
          <w:rFonts w:cstheme="minorHAnsi"/>
          <w:b/>
          <w:bCs/>
          <w:sz w:val="24"/>
          <w:szCs w:val="24"/>
        </w:rPr>
        <w:t>Comment 4</w:t>
      </w:r>
      <w:commentRangeEnd w:id="3"/>
      <w:r w:rsidR="00D600A0">
        <w:rPr>
          <w:rStyle w:val="CommentReference"/>
        </w:rPr>
        <w:commentReference w:id="3"/>
      </w:r>
      <w:r w:rsidR="009A275D" w:rsidRPr="00000C73">
        <w:rPr>
          <w:rFonts w:cstheme="minorHAnsi"/>
          <w:b/>
          <w:bCs/>
          <w:sz w:val="24"/>
          <w:szCs w:val="24"/>
        </w:rPr>
        <w:t>:</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w:t>
      </w:r>
      <w:r w:rsidRPr="00000C73">
        <w:rPr>
          <w:rFonts w:cstheme="minorHAnsi"/>
          <w:sz w:val="24"/>
          <w:szCs w:val="24"/>
        </w:rPr>
        <w:lastRenderedPageBreak/>
        <w:t>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3BE3D200" w14:textId="4044DB59"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6FC58C1F" w14:textId="01201C72" w:rsidR="00C519E1" w:rsidRDefault="00C519E1" w:rsidP="008B67E0">
      <w:pPr>
        <w:spacing w:after="0"/>
        <w:rPr>
          <w:rFonts w:cstheme="minorHAnsi"/>
          <w:sz w:val="24"/>
          <w:szCs w:val="24"/>
        </w:rPr>
      </w:pPr>
    </w:p>
    <w:p w14:paraId="078D0D65" w14:textId="68F50BCC" w:rsidR="00C519E1" w:rsidRPr="008B67E0" w:rsidRDefault="00C519E1" w:rsidP="008B67E0">
      <w:pPr>
        <w:spacing w:after="0"/>
        <w:rPr>
          <w:rFonts w:cstheme="minorHAnsi"/>
          <w:b/>
          <w:bCs/>
          <w:sz w:val="24"/>
          <w:szCs w:val="24"/>
        </w:rPr>
      </w:pPr>
      <w:r>
        <w:rPr>
          <w:rFonts w:cstheme="minorHAnsi"/>
          <w:sz w:val="24"/>
          <w:szCs w:val="24"/>
        </w:rPr>
        <w:t xml:space="preserve">Additionally, we now cite </w:t>
      </w:r>
      <w:r w:rsidR="00EC539B">
        <w:rPr>
          <w:rFonts w:cstheme="minorHAnsi"/>
          <w:sz w:val="24"/>
          <w:szCs w:val="24"/>
        </w:rPr>
        <w:t>additional</w:t>
      </w:r>
      <w:r>
        <w:rPr>
          <w:rFonts w:cstheme="minorHAnsi"/>
          <w:sz w:val="24"/>
          <w:szCs w:val="24"/>
        </w:rPr>
        <w:t xml:space="preserve"> work using calibration plots on pg. </w:t>
      </w:r>
      <w:r w:rsidRPr="00C519E1">
        <w:rPr>
          <w:rFonts w:cstheme="minorHAnsi"/>
          <w:sz w:val="24"/>
          <w:szCs w:val="24"/>
          <w:highlight w:val="yellow"/>
        </w:rPr>
        <w:t>xx</w:t>
      </w:r>
      <w:r w:rsidR="00B60AB4">
        <w:rPr>
          <w:rFonts w:cstheme="minorHAnsi"/>
          <w:sz w:val="24"/>
          <w:szCs w:val="24"/>
        </w:rPr>
        <w:t>, including the Koriat et al. 2002.</w:t>
      </w:r>
      <w:r>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commentRangeStart w:id="4"/>
      <w:r w:rsidR="009A6410" w:rsidRPr="00000C73">
        <w:rPr>
          <w:rFonts w:cstheme="minorHAnsi"/>
          <w:b/>
          <w:bCs/>
          <w:sz w:val="24"/>
          <w:szCs w:val="24"/>
        </w:rPr>
        <w:t>Comment 5:</w:t>
      </w:r>
      <w:r w:rsidR="009A6410" w:rsidRPr="00000C73">
        <w:rPr>
          <w:rFonts w:cstheme="minorHAnsi"/>
          <w:sz w:val="24"/>
          <w:szCs w:val="24"/>
        </w:rPr>
        <w:t xml:space="preserve"> </w:t>
      </w:r>
      <w:commentRangeEnd w:id="4"/>
      <w:r w:rsidR="00D600A0">
        <w:rPr>
          <w:rStyle w:val="CommentReference"/>
        </w:rPr>
        <w:commentReference w:id="4"/>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A28A6D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14A0B">
        <w:rPr>
          <w:rFonts w:cstheme="minorHAnsi"/>
          <w:sz w:val="24"/>
          <w:szCs w:val="24"/>
        </w:rPr>
        <w:t xml:space="preserve">Thank you for bringing this inconsistency to our attention. We have revised our definition of posterior relatedness on pg. </w:t>
      </w:r>
      <w:r w:rsidR="00114A0B" w:rsidRPr="00114A0B">
        <w:rPr>
          <w:rFonts w:cstheme="minorHAnsi"/>
          <w:sz w:val="24"/>
          <w:szCs w:val="24"/>
          <w:highlight w:val="yellow"/>
        </w:rPr>
        <w:t>xx</w:t>
      </w:r>
      <w:r w:rsidR="00114A0B">
        <w:rPr>
          <w:rFonts w:cstheme="minorHAnsi"/>
          <w:sz w:val="24"/>
          <w:szCs w:val="24"/>
        </w:rPr>
        <w:t xml:space="preserve"> to be in-line with the definition put forth by Koriat and Bjork (2005).</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5"/>
      <w:r w:rsidR="009A6410" w:rsidRPr="00000C73">
        <w:rPr>
          <w:rFonts w:cstheme="minorHAnsi"/>
          <w:b/>
          <w:bCs/>
          <w:sz w:val="24"/>
          <w:szCs w:val="24"/>
        </w:rPr>
        <w:t>Comment 6:</w:t>
      </w:r>
      <w:r w:rsidR="009A6410" w:rsidRPr="00000C73">
        <w:rPr>
          <w:rFonts w:cstheme="minorHAnsi"/>
          <w:sz w:val="24"/>
          <w:szCs w:val="24"/>
        </w:rPr>
        <w:t xml:space="preserve"> </w:t>
      </w:r>
      <w:commentRangeEnd w:id="5"/>
      <w:r w:rsidR="00BA4078">
        <w:rPr>
          <w:rStyle w:val="CommentReference"/>
        </w:rPr>
        <w:commentReference w:id="5"/>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w:t>
      </w:r>
      <w:r w:rsidRPr="00000C73">
        <w:rPr>
          <w:rFonts w:cstheme="minorHAnsi"/>
          <w:sz w:val="24"/>
          <w:szCs w:val="24"/>
        </w:rPr>
        <w:lastRenderedPageBreak/>
        <w:t xml:space="preserve">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6"/>
      <w:r w:rsidRPr="00000C73">
        <w:rPr>
          <w:rFonts w:cstheme="minorHAnsi"/>
          <w:sz w:val="24"/>
          <w:szCs w:val="24"/>
        </w:rPr>
        <w:t xml:space="preserve">"Calibration" </w:t>
      </w:r>
      <w:commentRangeEnd w:id="6"/>
      <w:r w:rsidR="00802970">
        <w:rPr>
          <w:rStyle w:val="CommentReference"/>
        </w:rPr>
        <w:commentReference w:id="6"/>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2C96D41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EDC2D9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accordingly. </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6B4CF7F4"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r w:rsidR="007F693D">
        <w:rPr>
          <w:rFonts w:cstheme="minorHAnsi"/>
          <w:sz w:val="24"/>
          <w:szCs w:val="24"/>
        </w:rPr>
        <w:t xml:space="preserve"> and report these results in Table </w:t>
      </w:r>
      <w:r w:rsidR="007F693D" w:rsidRPr="007F693D">
        <w:rPr>
          <w:rFonts w:cstheme="minorHAnsi"/>
          <w:sz w:val="24"/>
          <w:szCs w:val="24"/>
          <w:highlight w:val="yellow"/>
        </w:rPr>
        <w:t>xx.</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7"/>
      <w:r w:rsidR="008B67E0" w:rsidRPr="00697109">
        <w:rPr>
          <w:rFonts w:cstheme="minorHAnsi"/>
          <w:b/>
          <w:bCs/>
          <w:i/>
          <w:iCs/>
          <w:sz w:val="24"/>
          <w:szCs w:val="24"/>
        </w:rPr>
        <w:t>Response:</w:t>
      </w:r>
      <w:r w:rsidR="008B67E0">
        <w:rPr>
          <w:rFonts w:cstheme="minorHAnsi"/>
          <w:b/>
          <w:bCs/>
          <w:sz w:val="24"/>
          <w:szCs w:val="24"/>
        </w:rPr>
        <w:t xml:space="preserve"> </w:t>
      </w:r>
      <w:commentRangeEnd w:id="7"/>
      <w:r w:rsidR="00DF0DAD">
        <w:rPr>
          <w:rStyle w:val="CommentReference"/>
        </w:rPr>
        <w:commentReference w:id="7"/>
      </w:r>
      <w:r w:rsidR="008B67E0" w:rsidRPr="00697109">
        <w:rPr>
          <w:rFonts w:cstheme="minorHAnsi"/>
          <w:sz w:val="24"/>
          <w:szCs w:val="24"/>
          <w:highlight w:val="yellow"/>
        </w:rPr>
        <w:t>[words here]</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6T16:32:00Z" w:initials="NM">
    <w:p w14:paraId="287D7D9A" w14:textId="77777777" w:rsidR="007F693D" w:rsidRDefault="007F693D" w:rsidP="00D62F57">
      <w:pPr>
        <w:pStyle w:val="CommentText"/>
      </w:pPr>
      <w:r>
        <w:rPr>
          <w:rStyle w:val="CommentReference"/>
        </w:rPr>
        <w:annotationRef/>
      </w:r>
      <w:r>
        <w:t>Think this is sufficient here. I was also thinking we could bring up JOL manipulations not always replicating (example, one of the Koriat &amp; Bjork 2006 papers showed that delayed JOLs reduced the IOC, but our 2021 paper failed to replicate that pattern.)</w:t>
      </w:r>
    </w:p>
  </w:comment>
  <w:comment w:id="2" w:author="Nick Maxwell" w:date="2022-12-14T18:54:00Z" w:initials="NM">
    <w:p w14:paraId="75D546FF" w14:textId="77777777"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 w:author="Nick Maxwell" w:date="2022-12-14T18:55:00Z" w:initials="NM">
    <w:p w14:paraId="1C0A8B10" w14:textId="02F22735" w:rsidR="00D600A0" w:rsidRDefault="00D600A0" w:rsidP="00D540C3">
      <w:pPr>
        <w:pStyle w:val="CommentText"/>
      </w:pPr>
      <w:r>
        <w:rPr>
          <w:rStyle w:val="CommentReference"/>
        </w:rPr>
        <w:annotationRef/>
      </w:r>
      <w:r>
        <w:t>We'll update the definitions accordingly</w:t>
      </w:r>
    </w:p>
  </w:comment>
  <w:comment w:id="4" w:author="Nick Maxwell" w:date="2022-12-14T18:55:00Z" w:initials="NM">
    <w:p w14:paraId="55268706" w14:textId="77777777" w:rsidR="00D600A0" w:rsidRDefault="00D600A0" w:rsidP="00343432">
      <w:pPr>
        <w:pStyle w:val="CommentText"/>
      </w:pPr>
      <w:r>
        <w:rPr>
          <w:rStyle w:val="CommentReference"/>
        </w:rPr>
        <w:annotationRef/>
      </w:r>
      <w:r>
        <w:t>We'll update this as well</w:t>
      </w:r>
    </w:p>
  </w:comment>
  <w:comment w:id="5"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6"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7"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287D7D9A" w15:done="0"/>
  <w15:commentEx w15:paraId="6EE04F18" w15:done="0"/>
  <w15:commentEx w15:paraId="1C0A8B10" w15:done="0"/>
  <w15:commentEx w15:paraId="55268706" w15:done="0"/>
  <w15:commentEx w15:paraId="72DB9EBC"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71C2D" w16cex:dateUtc="2022-12-16T22:32:00Z"/>
  <w16cex:commentExtensible w16cex:durableId="27449A7F" w16cex:dateUtc="2022-12-15T00:54:00Z"/>
  <w16cex:commentExtensible w16cex:durableId="27449AA5" w16cex:dateUtc="2022-12-15T00:55:00Z"/>
  <w16cex:commentExtensible w16cex:durableId="27449AB9" w16cex:dateUtc="2022-12-15T00:55:00Z"/>
  <w16cex:commentExtensible w16cex:durableId="27471F82" w16cex:dateUtc="2022-12-16T22:4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287D7D9A" w16cid:durableId="27471C2D"/>
  <w16cid:commentId w16cid:paraId="6EE04F18" w16cid:durableId="27449A7F"/>
  <w16cid:commentId w16cid:paraId="1C0A8B10" w16cid:durableId="27449AA5"/>
  <w16cid:commentId w16cid:paraId="55268706" w16cid:durableId="27449AB9"/>
  <w16cid:commentId w16cid:paraId="72DB9EBC" w16cid:durableId="27471F82"/>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51EA"/>
    <w:rsid w:val="000313DB"/>
    <w:rsid w:val="00041FE9"/>
    <w:rsid w:val="000451A3"/>
    <w:rsid w:val="00076A93"/>
    <w:rsid w:val="0008191D"/>
    <w:rsid w:val="000C0143"/>
    <w:rsid w:val="000F13CE"/>
    <w:rsid w:val="000F467E"/>
    <w:rsid w:val="00100285"/>
    <w:rsid w:val="0010038F"/>
    <w:rsid w:val="00113124"/>
    <w:rsid w:val="00114A0B"/>
    <w:rsid w:val="00116D2E"/>
    <w:rsid w:val="00147A50"/>
    <w:rsid w:val="0016531D"/>
    <w:rsid w:val="0017765A"/>
    <w:rsid w:val="00185388"/>
    <w:rsid w:val="001861C0"/>
    <w:rsid w:val="00191621"/>
    <w:rsid w:val="001A262F"/>
    <w:rsid w:val="001C0256"/>
    <w:rsid w:val="001C7EEC"/>
    <w:rsid w:val="002070E3"/>
    <w:rsid w:val="002407C8"/>
    <w:rsid w:val="002411FB"/>
    <w:rsid w:val="00242278"/>
    <w:rsid w:val="00243278"/>
    <w:rsid w:val="002559E0"/>
    <w:rsid w:val="0026624E"/>
    <w:rsid w:val="002726E0"/>
    <w:rsid w:val="00292CBB"/>
    <w:rsid w:val="002B231B"/>
    <w:rsid w:val="002C0428"/>
    <w:rsid w:val="002C1929"/>
    <w:rsid w:val="002C4307"/>
    <w:rsid w:val="002C47A7"/>
    <w:rsid w:val="002C59FF"/>
    <w:rsid w:val="00340247"/>
    <w:rsid w:val="0036243B"/>
    <w:rsid w:val="00386BFE"/>
    <w:rsid w:val="00395EC3"/>
    <w:rsid w:val="003A2E56"/>
    <w:rsid w:val="003B6A52"/>
    <w:rsid w:val="003B6BBA"/>
    <w:rsid w:val="003C236D"/>
    <w:rsid w:val="003D68D4"/>
    <w:rsid w:val="003F1071"/>
    <w:rsid w:val="0040371D"/>
    <w:rsid w:val="00413211"/>
    <w:rsid w:val="00414864"/>
    <w:rsid w:val="00431CA7"/>
    <w:rsid w:val="00444247"/>
    <w:rsid w:val="00445040"/>
    <w:rsid w:val="00453C8B"/>
    <w:rsid w:val="0048303C"/>
    <w:rsid w:val="00491AE0"/>
    <w:rsid w:val="004B4329"/>
    <w:rsid w:val="00505BCB"/>
    <w:rsid w:val="005124F9"/>
    <w:rsid w:val="005458CF"/>
    <w:rsid w:val="00550F45"/>
    <w:rsid w:val="00552008"/>
    <w:rsid w:val="005710F1"/>
    <w:rsid w:val="005749BB"/>
    <w:rsid w:val="005847C0"/>
    <w:rsid w:val="005D2EB5"/>
    <w:rsid w:val="005D3FBE"/>
    <w:rsid w:val="005E3CA7"/>
    <w:rsid w:val="00612781"/>
    <w:rsid w:val="00637DA1"/>
    <w:rsid w:val="00654530"/>
    <w:rsid w:val="0067436B"/>
    <w:rsid w:val="00697109"/>
    <w:rsid w:val="006B4C32"/>
    <w:rsid w:val="006E0196"/>
    <w:rsid w:val="006E7E9E"/>
    <w:rsid w:val="00742181"/>
    <w:rsid w:val="00744052"/>
    <w:rsid w:val="0076707D"/>
    <w:rsid w:val="00770186"/>
    <w:rsid w:val="0077629D"/>
    <w:rsid w:val="007A338B"/>
    <w:rsid w:val="007B2BD6"/>
    <w:rsid w:val="007B70B3"/>
    <w:rsid w:val="007F3CFD"/>
    <w:rsid w:val="007F693D"/>
    <w:rsid w:val="00802970"/>
    <w:rsid w:val="00855163"/>
    <w:rsid w:val="0086191D"/>
    <w:rsid w:val="008722F7"/>
    <w:rsid w:val="0087717A"/>
    <w:rsid w:val="008862C8"/>
    <w:rsid w:val="008B67E0"/>
    <w:rsid w:val="008D5C8D"/>
    <w:rsid w:val="008F4D76"/>
    <w:rsid w:val="009007F0"/>
    <w:rsid w:val="00953454"/>
    <w:rsid w:val="00972C87"/>
    <w:rsid w:val="009A275D"/>
    <w:rsid w:val="009A2E11"/>
    <w:rsid w:val="009A6410"/>
    <w:rsid w:val="00A10816"/>
    <w:rsid w:val="00A1753F"/>
    <w:rsid w:val="00A4363F"/>
    <w:rsid w:val="00A54569"/>
    <w:rsid w:val="00A64000"/>
    <w:rsid w:val="00A66787"/>
    <w:rsid w:val="00A77861"/>
    <w:rsid w:val="00A82718"/>
    <w:rsid w:val="00A85A63"/>
    <w:rsid w:val="00AD3AB6"/>
    <w:rsid w:val="00B2160B"/>
    <w:rsid w:val="00B52F69"/>
    <w:rsid w:val="00B60AB4"/>
    <w:rsid w:val="00B62185"/>
    <w:rsid w:val="00B62350"/>
    <w:rsid w:val="00B64024"/>
    <w:rsid w:val="00B67A81"/>
    <w:rsid w:val="00B935BB"/>
    <w:rsid w:val="00BA4078"/>
    <w:rsid w:val="00BA41D1"/>
    <w:rsid w:val="00BC2797"/>
    <w:rsid w:val="00BD3006"/>
    <w:rsid w:val="00BD37F5"/>
    <w:rsid w:val="00BF0020"/>
    <w:rsid w:val="00BF71A4"/>
    <w:rsid w:val="00C46CA0"/>
    <w:rsid w:val="00C519E1"/>
    <w:rsid w:val="00C6168F"/>
    <w:rsid w:val="00C65AEC"/>
    <w:rsid w:val="00C82A21"/>
    <w:rsid w:val="00C94C8D"/>
    <w:rsid w:val="00CC211B"/>
    <w:rsid w:val="00CD1B6D"/>
    <w:rsid w:val="00CE4012"/>
    <w:rsid w:val="00CE76EA"/>
    <w:rsid w:val="00D05120"/>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F0DAD"/>
    <w:rsid w:val="00E07C03"/>
    <w:rsid w:val="00E12CFF"/>
    <w:rsid w:val="00E3685A"/>
    <w:rsid w:val="00E5130F"/>
    <w:rsid w:val="00E555A8"/>
    <w:rsid w:val="00E75CBC"/>
    <w:rsid w:val="00E82A0C"/>
    <w:rsid w:val="00E857C3"/>
    <w:rsid w:val="00EB2D87"/>
    <w:rsid w:val="00EB6FB5"/>
    <w:rsid w:val="00EC539B"/>
    <w:rsid w:val="00ED015E"/>
    <w:rsid w:val="00ED25E7"/>
    <w:rsid w:val="00EE2D47"/>
    <w:rsid w:val="00EE36DE"/>
    <w:rsid w:val="00EF3D25"/>
    <w:rsid w:val="00EF4207"/>
    <w:rsid w:val="00F326F2"/>
    <w:rsid w:val="00F62B99"/>
    <w:rsid w:val="00F73F86"/>
    <w:rsid w:val="00F76378"/>
    <w:rsid w:val="00F76C42"/>
    <w:rsid w:val="00F81D98"/>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9</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187</cp:revision>
  <dcterms:created xsi:type="dcterms:W3CDTF">2022-12-12T02:43:00Z</dcterms:created>
  <dcterms:modified xsi:type="dcterms:W3CDTF">2022-12-17T04:27:00Z</dcterms:modified>
</cp:coreProperties>
</file>