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7E5141B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5C433D">
        <w:rPr>
          <w:rFonts w:cs="Times New Roman"/>
          <w:color w:val="4472C4" w:themeColor="accent1"/>
          <w:szCs w:val="24"/>
        </w:rPr>
        <w:t>i.e.,</w:t>
      </w:r>
      <w:r w:rsidRPr="00C365F9">
        <w:rPr>
          <w:rFonts w:cs="Times New Roman"/>
          <w:color w:val="4472C4" w:themeColor="accent1"/>
          <w:szCs w:val="24"/>
        </w:rPr>
        <w:t xml:space="preserve">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17D1A34E"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4F64E165"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across pair</w:t>
      </w:r>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w:t>
      </w:r>
      <w:proofErr w:type="spellStart"/>
      <w:r w:rsidRPr="00B0335D">
        <w:rPr>
          <w:rFonts w:cs="Times New Roman"/>
          <w:color w:val="4472C4" w:themeColor="accent1"/>
          <w:szCs w:val="24"/>
        </w:rPr>
        <w:t>Koriat</w:t>
      </w:r>
      <w:proofErr w:type="spellEnd"/>
      <w:r w:rsidRPr="00B0335D">
        <w:rPr>
          <w:rFonts w:cs="Times New Roman"/>
          <w:color w:val="4472C4" w:themeColor="accent1"/>
          <w:szCs w:val="24"/>
        </w:rPr>
        <w: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 xml:space="preserve">cues refer to the inherent properties of the study materials and can include frequency, imageability, and, importantly, word associations </w:t>
      </w:r>
      <w:r w:rsidR="005C433D">
        <w:rPr>
          <w:rFonts w:cs="Times New Roman"/>
          <w:color w:val="4472C4" w:themeColor="accent1"/>
          <w:szCs w:val="24"/>
        </w:rPr>
        <w:t>E</w:t>
      </w:r>
      <w:r w:rsidRPr="00B0335D">
        <w:rPr>
          <w:rFonts w:cs="Times New Roman"/>
          <w:color w:val="4472C4" w:themeColor="accent1"/>
          <w:szCs w:val="24"/>
        </w:rPr>
        <w:t>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03059E">
        <w:rPr>
          <w:rFonts w:cs="Times New Roman"/>
          <w:color w:val="4472C4" w:themeColor="accent1"/>
          <w:szCs w:val="24"/>
        </w:rPr>
        <w:t>to assist them in processing</w:t>
      </w:r>
      <w:r w:rsidRPr="00B0335D">
        <w:rPr>
          <w:rFonts w:cs="Times New Roman"/>
          <w:color w:val="4472C4" w:themeColor="accent1"/>
          <w:szCs w:val="24"/>
        </w:rPr>
        <w:t xml:space="preserve"> the existing relationships between </w:t>
      </w:r>
      <w:r w:rsidR="0003059E">
        <w:rPr>
          <w:rFonts w:cs="Times New Roman"/>
          <w:color w:val="4472C4" w:themeColor="accent1"/>
          <w:szCs w:val="24"/>
        </w:rPr>
        <w:t>word pairs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r w:rsidR="00CF36EF">
        <w:rPr>
          <w:rFonts w:cs="Times New Roman"/>
          <w:color w:val="4472C4" w:themeColor="accent1"/>
          <w:szCs w:val="24"/>
        </w:rPr>
        <w:t xml:space="preserve">. Specifically, these tasks would allow participants to </w:t>
      </w:r>
      <w:r w:rsidR="0003059E">
        <w:rPr>
          <w:rFonts w:cs="Times New Roman"/>
          <w:color w:val="4472C4" w:themeColor="accent1"/>
          <w:szCs w:val="24"/>
        </w:rPr>
        <w:t>assess cue availability more readily</w:t>
      </w:r>
      <w:r w:rsidR="00CF36EF">
        <w:rPr>
          <w:rFonts w:cs="Times New Roman"/>
          <w:color w:val="4472C4" w:themeColor="accent1"/>
          <w:szCs w:val="24"/>
        </w:rPr>
        <w:t xml:space="preserve"> at encoding, </w:t>
      </w:r>
      <w:r w:rsidR="004355E9">
        <w:rPr>
          <w:rFonts w:cs="Times New Roman"/>
          <w:color w:val="4472C4" w:themeColor="accent1"/>
          <w:szCs w:val="24"/>
        </w:rPr>
        <w:t>potentially modifying</w:t>
      </w:r>
      <w:r w:rsidR="00CF36EF">
        <w:rPr>
          <w:rFonts w:cs="Times New Roman"/>
          <w:color w:val="4472C4" w:themeColor="accent1"/>
          <w:szCs w:val="24"/>
        </w:rPr>
        <w:t xml:space="preserve"> </w:t>
      </w:r>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r w:rsidR="00CF36EF">
        <w:rPr>
          <w:rFonts w:cs="Times New Roman"/>
          <w:color w:val="4472C4" w:themeColor="accent1"/>
          <w:szCs w:val="24"/>
        </w:rPr>
        <w:t>improv</w:t>
      </w:r>
      <w:r w:rsidR="004355E9">
        <w:rPr>
          <w:rFonts w:cs="Times New Roman"/>
          <w:color w:val="4472C4" w:themeColor="accent1"/>
          <w:szCs w:val="24"/>
        </w:rPr>
        <w:t>ing</w:t>
      </w:r>
      <w:r w:rsidR="00CF36EF">
        <w:rPr>
          <w:rFonts w:cs="Times New Roman"/>
          <w:color w:val="4472C4" w:themeColor="accent1"/>
          <w:szCs w:val="24"/>
        </w:rPr>
        <w:t xml:space="preserve"> </w:t>
      </w:r>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r w:rsidR="0063206B">
        <w:rPr>
          <w:rFonts w:cs="Times New Roman"/>
          <w:color w:val="4472C4" w:themeColor="accent1"/>
          <w:szCs w:val="24"/>
        </w:rPr>
        <w:t>This possibility may be particularly important given intrinsic and extrinsic cues</w:t>
      </w:r>
      <w:r w:rsidR="00911A90">
        <w:rPr>
          <w:rFonts w:cs="Times New Roman"/>
          <w:color w:val="4472C4" w:themeColor="accent1"/>
          <w:szCs w:val="24"/>
        </w:rPr>
        <w:t xml:space="preserve"> </w:t>
      </w:r>
      <w:r w:rsidR="0003059E">
        <w:rPr>
          <w:rFonts w:cs="Times New Roman"/>
          <w:color w:val="4472C4" w:themeColor="accent1"/>
          <w:szCs w:val="24"/>
        </w:rPr>
        <w:t>may</w:t>
      </w:r>
      <w:r w:rsidR="00911A90">
        <w:rPr>
          <w:rFonts w:cs="Times New Roman"/>
          <w:color w:val="4472C4" w:themeColor="accent1"/>
          <w:szCs w:val="24"/>
        </w:rPr>
        <w:t xml:space="preserve"> </w:t>
      </w:r>
      <w:r w:rsidR="0063206B">
        <w:rPr>
          <w:rFonts w:cs="Times New Roman"/>
          <w:color w:val="4472C4" w:themeColor="accent1"/>
          <w:szCs w:val="24"/>
        </w:rPr>
        <w:t xml:space="preserve">interact. For instance, if encoding tasks draw attention toward or away from intrinsic cues such as </w:t>
      </w:r>
      <w:r w:rsidR="0063206B">
        <w:rPr>
          <w:rFonts w:cs="Times New Roman"/>
          <w:color w:val="4472C4" w:themeColor="accent1"/>
          <w:szCs w:val="24"/>
        </w:rPr>
        <w:lastRenderedPageBreak/>
        <w:t>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Gopie,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1E58AE03"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BD2D04">
        <w:rPr>
          <w:rFonts w:cs="Times New Roman"/>
          <w:szCs w:val="24"/>
        </w:rPr>
        <w:t>; Experiment 3</w:t>
      </w:r>
      <w:r w:rsidR="008B4FBA" w:rsidRPr="000335D4">
        <w:rPr>
          <w:rFonts w:cs="Times New Roman"/>
          <w:szCs w:val="24"/>
        </w:rPr>
        <w:t>)</w:t>
      </w:r>
      <w:r w:rsidR="0063206B">
        <w:rPr>
          <w:rFonts w:cs="Times New Roman"/>
          <w:szCs w:val="24"/>
        </w:rPr>
        <w:t xml:space="preserve"> compared the effects of deep and shallow LOP tasks on JOL reactivity</w:t>
      </w:r>
      <w:r w:rsidR="00502D8A">
        <w:rPr>
          <w:rFonts w:cs="Times New Roman"/>
          <w:szCs w:val="24"/>
        </w:rPr>
        <w:t xml:space="preserve">. </w:t>
      </w:r>
      <w:r w:rsidR="00BD2D04">
        <w:rPr>
          <w:rFonts w:cs="Times New Roman"/>
          <w:color w:val="4472C4" w:themeColor="accent1"/>
          <w:szCs w:val="24"/>
        </w:rPr>
        <w:t>Participants</w:t>
      </w:r>
      <w:r w:rsidR="00502D8A" w:rsidRPr="0003059E">
        <w:rPr>
          <w:rFonts w:cs="Times New Roman"/>
          <w:color w:val="4472C4" w:themeColor="accent1"/>
          <w:szCs w:val="24"/>
        </w:rPr>
        <w:t xml:space="preserve"> studied individual words </w:t>
      </w:r>
      <w:r w:rsidR="00BD2D04">
        <w:rPr>
          <w:rFonts w:cs="Times New Roman"/>
          <w:color w:val="4472C4" w:themeColor="accent1"/>
          <w:szCs w:val="24"/>
        </w:rPr>
        <w:t xml:space="preserve">using either </w:t>
      </w:r>
      <w:r w:rsidR="0003059E">
        <w:rPr>
          <w:rFonts w:cs="Times New Roman"/>
          <w:color w:val="4472C4" w:themeColor="accent1"/>
          <w:szCs w:val="24"/>
        </w:rPr>
        <w:t xml:space="preserve">a </w:t>
      </w:r>
      <w:r w:rsidR="00F367D8">
        <w:rPr>
          <w:rFonts w:cs="Times New Roman"/>
          <w:color w:val="4472C4" w:themeColor="accent1"/>
          <w:szCs w:val="24"/>
        </w:rPr>
        <w:t>s</w:t>
      </w:r>
      <w:r w:rsidR="00F037C0" w:rsidRPr="0003059E">
        <w:rPr>
          <w:rFonts w:cs="Times New Roman"/>
          <w:color w:val="4472C4" w:themeColor="accent1"/>
          <w:szCs w:val="24"/>
        </w:rPr>
        <w:t xml:space="preserve">hallow vowel-counting </w:t>
      </w:r>
      <w:r w:rsidR="00BD2D04">
        <w:rPr>
          <w:rFonts w:cs="Times New Roman"/>
          <w:color w:val="4472C4" w:themeColor="accent1"/>
          <w:szCs w:val="24"/>
        </w:rPr>
        <w:t xml:space="preserve">or </w:t>
      </w:r>
      <w:r w:rsidR="0003059E">
        <w:rPr>
          <w:rFonts w:cs="Times New Roman"/>
          <w:color w:val="4472C4" w:themeColor="accent1"/>
          <w:szCs w:val="24"/>
        </w:rPr>
        <w:t xml:space="preserve">a </w:t>
      </w:r>
      <w:r w:rsidR="00F037C0" w:rsidRPr="0003059E">
        <w:rPr>
          <w:rFonts w:cs="Times New Roman"/>
          <w:color w:val="4472C4" w:themeColor="accent1"/>
          <w:szCs w:val="24"/>
        </w:rPr>
        <w:t xml:space="preserve">deep pleasantness rating task. </w:t>
      </w:r>
      <w:r w:rsidR="00911A90">
        <w:rPr>
          <w:rFonts w:cs="Times New Roman"/>
          <w:color w:val="4472C4" w:themeColor="accent1"/>
          <w:szCs w:val="24"/>
        </w:rPr>
        <w:t>Additionally</w:t>
      </w:r>
      <w:r w:rsidR="00F037C0" w:rsidRPr="0003059E">
        <w:rPr>
          <w:rFonts w:cs="Times New Roman"/>
          <w:color w:val="4472C4" w:themeColor="accent1"/>
          <w:szCs w:val="24"/>
        </w:rPr>
        <w:t xml:space="preserve">, half of their participants </w:t>
      </w:r>
      <w:r w:rsidR="00BD2D04">
        <w:rPr>
          <w:rFonts w:cs="Times New Roman"/>
          <w:color w:val="4472C4" w:themeColor="accent1"/>
          <w:szCs w:val="24"/>
        </w:rPr>
        <w:t>made</w:t>
      </w:r>
      <w:r w:rsidR="00F037C0" w:rsidRPr="0003059E">
        <w:rPr>
          <w:rFonts w:cs="Times New Roman"/>
          <w:color w:val="4472C4" w:themeColor="accent1"/>
          <w:szCs w:val="24"/>
        </w:rPr>
        <w:t xml:space="preserve"> JOLs after applying their </w:t>
      </w:r>
      <w:r w:rsidR="00911A90">
        <w:rPr>
          <w:rFonts w:cs="Times New Roman"/>
          <w:color w:val="4472C4" w:themeColor="accent1"/>
          <w:szCs w:val="24"/>
        </w:rPr>
        <w:t>respective encoding strategies</w:t>
      </w:r>
      <w:r w:rsidR="00F037C0" w:rsidRPr="0003059E">
        <w:rPr>
          <w:rFonts w:cs="Times New Roman"/>
          <w:color w:val="4472C4" w:themeColor="accent1"/>
          <w:szCs w:val="24"/>
        </w:rPr>
        <w:t xml:space="preserve">. </w:t>
      </w:r>
      <w:r w:rsidR="0003059E">
        <w:rPr>
          <w:rFonts w:cs="Times New Roman"/>
          <w:color w:val="4472C4" w:themeColor="accent1"/>
          <w:szCs w:val="24"/>
        </w:rPr>
        <w:t>T</w:t>
      </w:r>
      <w:r w:rsidR="00BD2D04">
        <w:rPr>
          <w:rFonts w:cs="Times New Roman"/>
          <w:color w:val="4472C4" w:themeColor="accent1"/>
          <w:szCs w:val="24"/>
        </w:rPr>
        <w:t>he deep pleasantness task</w:t>
      </w:r>
      <w:r w:rsidR="00502D8A" w:rsidRPr="0003059E">
        <w:rPr>
          <w:rFonts w:cs="Times New Roman"/>
          <w:color w:val="4472C4" w:themeColor="accent1"/>
          <w:szCs w:val="24"/>
        </w:rPr>
        <w:t xml:space="preserve"> </w:t>
      </w:r>
      <w:r w:rsidR="00B86C39" w:rsidRPr="0003059E">
        <w:rPr>
          <w:rFonts w:cs="Times New Roman"/>
          <w:color w:val="4472C4" w:themeColor="accent1"/>
          <w:szCs w:val="24"/>
        </w:rPr>
        <w:t>enhanced correct recognition</w:t>
      </w:r>
      <w:r w:rsidR="00F037C0" w:rsidRPr="0003059E">
        <w:rPr>
          <w:rFonts w:cs="Times New Roman"/>
          <w:color w:val="4472C4" w:themeColor="accent1"/>
          <w:szCs w:val="24"/>
        </w:rPr>
        <w:t xml:space="preserve"> relative to </w:t>
      </w:r>
      <w:r w:rsidR="00BD2D04">
        <w:rPr>
          <w:rFonts w:cs="Times New Roman"/>
          <w:color w:val="4472C4" w:themeColor="accent1"/>
          <w:szCs w:val="24"/>
        </w:rPr>
        <w:t>vowel-counting</w:t>
      </w:r>
      <w:r w:rsidR="00502D8A" w:rsidRPr="0003059E">
        <w:rPr>
          <w:rFonts w:cs="Times New Roman"/>
          <w:color w:val="4472C4" w:themeColor="accent1"/>
          <w:szCs w:val="24"/>
        </w:rPr>
        <w:t xml:space="preserve">, but critically, </w:t>
      </w:r>
      <w:r w:rsidR="009D5B79" w:rsidRPr="0003059E">
        <w:rPr>
          <w:rFonts w:cs="Times New Roman"/>
          <w:color w:val="4472C4" w:themeColor="accent1"/>
          <w:szCs w:val="24"/>
        </w:rPr>
        <w:t>the magnitude of JOLs remained unchanged</w:t>
      </w:r>
      <w:r w:rsidR="00F037C0" w:rsidRPr="0003059E">
        <w:rPr>
          <w:rFonts w:cs="Times New Roman"/>
          <w:color w:val="4472C4" w:themeColor="accent1"/>
          <w:szCs w:val="24"/>
        </w:rPr>
        <w:t xml:space="preserve"> between participants in the deep and shallow encoding groups.</w:t>
      </w:r>
      <w:r w:rsidR="00F037C0">
        <w:rPr>
          <w:rFonts w:cs="Times New Roman"/>
          <w:szCs w:val="24"/>
        </w:rPr>
        <w:t xml:space="preserve"> </w:t>
      </w:r>
      <w:r w:rsidR="00502D8A">
        <w:rPr>
          <w:rFonts w:cs="Times New Roman"/>
          <w:szCs w:val="24"/>
        </w:rPr>
        <w:t>Tekin and Roediger’s</w:t>
      </w:r>
      <w:r w:rsidR="009D5B79">
        <w:rPr>
          <w:rFonts w:cs="Times New Roman"/>
          <w:szCs w:val="24"/>
        </w:rPr>
        <w:t xml:space="preserve"> findings</w:t>
      </w:r>
      <w:r w:rsidR="00B86C39">
        <w:rPr>
          <w:rFonts w:cs="Times New Roman"/>
          <w:szCs w:val="24"/>
        </w:rPr>
        <w:t xml:space="preserve"> suggest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03059E">
        <w:rPr>
          <w:rFonts w:cs="Times New Roman"/>
          <w:szCs w:val="24"/>
        </w:rPr>
        <w:t xml:space="preserve">, </w:t>
      </w:r>
      <w:r w:rsidR="0003059E">
        <w:rPr>
          <w:rFonts w:cs="Times New Roman"/>
          <w:szCs w:val="24"/>
        </w:rPr>
        <w:lastRenderedPageBreak/>
        <w:t>but may not be effective in assisting individuals in adjusting their JOLs</w:t>
      </w:r>
      <w:r w:rsidR="00B86C39">
        <w:rPr>
          <w:rFonts w:cs="Times New Roman"/>
          <w:szCs w:val="24"/>
        </w:rPr>
        <w:t xml:space="preserve">. </w:t>
      </w:r>
      <w:r w:rsidR="0003059E">
        <w:rPr>
          <w:rFonts w:cs="Times New Roman"/>
          <w:szCs w:val="24"/>
        </w:rPr>
        <w:t xml:space="preserve">In the present study, we </w:t>
      </w:r>
      <w:r w:rsidR="004D4FAE">
        <w:rPr>
          <w:rFonts w:cs="Times New Roman"/>
          <w:szCs w:val="24"/>
        </w:rPr>
        <w:t xml:space="preserve">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F71C640" w:rsidR="0008341A" w:rsidRPr="002B333C" w:rsidRDefault="00841566" w:rsidP="00DC0733">
      <w:pPr>
        <w:ind w:firstLine="720"/>
        <w:rPr>
          <w:rFonts w:cs="Times New Roman"/>
          <w:color w:val="4472C4" w:themeColor="accent1"/>
          <w:szCs w:val="24"/>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2B333C">
        <w:rPr>
          <w:rFonts w:cs="Times New Roman"/>
          <w:color w:val="4472C4" w:themeColor="accent1"/>
          <w:szCs w:val="24"/>
        </w:rPr>
        <w:t xml:space="preserve">Conversely, </w:t>
      </w:r>
      <w:r w:rsidR="00DB598B" w:rsidRPr="002B333C">
        <w:rPr>
          <w:rFonts w:cs="Times New Roman"/>
          <w:color w:val="4472C4" w:themeColor="accent1"/>
          <w:szCs w:val="24"/>
        </w:rPr>
        <w:lastRenderedPageBreak/>
        <w:t xml:space="preserve">relational tasks were more successful at improving recall and recognition when studying weakly </w:t>
      </w:r>
      <w:r w:rsidR="007C0336">
        <w:rPr>
          <w:rFonts w:cs="Times New Roman"/>
          <w:color w:val="4472C4" w:themeColor="accent1"/>
          <w:szCs w:val="24"/>
        </w:rPr>
        <w:t>related versus</w:t>
      </w:r>
      <w:r w:rsidR="00DB598B" w:rsidRPr="002B333C">
        <w:rPr>
          <w:rFonts w:cs="Times New Roman"/>
          <w:color w:val="4472C4" w:themeColor="accent1"/>
          <w:szCs w:val="24"/>
        </w:rPr>
        <w:t xml:space="preserve"> strongly related items</w:t>
      </w:r>
      <w:r w:rsidR="007C0336">
        <w:rPr>
          <w:rFonts w:cs="Times New Roman"/>
          <w:color w:val="4472C4" w:themeColor="accent1"/>
          <w:szCs w:val="24"/>
        </w:rPr>
        <w:t>,</w:t>
      </w:r>
      <w:r w:rsidR="0063206B" w:rsidRPr="002B333C">
        <w:rPr>
          <w:rFonts w:cs="Times New Roman"/>
          <w:color w:val="4472C4" w:themeColor="accent1"/>
          <w:szCs w:val="24"/>
        </w:rPr>
        <w:t xml:space="preserve"> revealing that tasks </w:t>
      </w:r>
      <w:r w:rsidR="007C0336">
        <w:rPr>
          <w:rFonts w:cs="Times New Roman"/>
          <w:color w:val="4472C4" w:themeColor="accent1"/>
          <w:szCs w:val="24"/>
        </w:rPr>
        <w:t>which</w:t>
      </w:r>
      <w:r w:rsidR="007C0336" w:rsidRPr="002B333C">
        <w:rPr>
          <w:rFonts w:cs="Times New Roman"/>
          <w:color w:val="4472C4" w:themeColor="accent1"/>
          <w:szCs w:val="24"/>
        </w:rPr>
        <w:t xml:space="preserve"> </w:t>
      </w:r>
      <w:r w:rsidR="0063206B" w:rsidRPr="002B333C">
        <w:rPr>
          <w:rFonts w:cs="Times New Roman"/>
          <w:color w:val="4472C4" w:themeColor="accent1"/>
          <w:szCs w:val="24"/>
        </w:rPr>
        <w:t>affect processing of extrinsic mnemonic cues can interact with the intrinsic mnemonic cues of the study materials</w:t>
      </w:r>
      <w:r w:rsidR="006A0E99" w:rsidRPr="002B333C">
        <w:rPr>
          <w:rFonts w:cs="Times New Roman"/>
          <w:color w:val="4472C4" w:themeColor="accent1"/>
          <w:szCs w:val="24"/>
        </w:rPr>
        <w:t xml:space="preserve"> (e.g., Mulligan, 2011)</w:t>
      </w:r>
      <w:r w:rsidR="00DB598B" w:rsidRPr="002B333C">
        <w:rPr>
          <w:rFonts w:cs="Times New Roman"/>
          <w:color w:val="4472C4" w:themeColor="accent1"/>
          <w:szCs w:val="24"/>
        </w:rPr>
        <w:t>.</w:t>
      </w:r>
      <w:r w:rsidR="009A336A" w:rsidRPr="002B333C">
        <w:rPr>
          <w:rFonts w:cs="Times New Roman"/>
          <w:color w:val="4472C4" w:themeColor="accent1"/>
          <w:szCs w:val="24"/>
        </w:rPr>
        <w:t xml:space="preserve"> </w:t>
      </w:r>
      <w:r w:rsidR="000546E0" w:rsidRPr="002B333C">
        <w:rPr>
          <w:rFonts w:cs="Times New Roman"/>
          <w:color w:val="4472C4" w:themeColor="accent1"/>
          <w:szCs w:val="24"/>
        </w:rPr>
        <w:t xml:space="preserve">Collectively then, despite </w:t>
      </w:r>
      <w:r w:rsidR="002B333C">
        <w:rPr>
          <w:rFonts w:cs="Times New Roman"/>
          <w:color w:val="4472C4" w:themeColor="accent1"/>
          <w:szCs w:val="24"/>
        </w:rPr>
        <w:t xml:space="preserve">a general classification of </w:t>
      </w:r>
      <w:r w:rsidR="000546E0" w:rsidRPr="002B333C">
        <w:rPr>
          <w:rFonts w:cs="Times New Roman"/>
          <w:color w:val="4472C4" w:themeColor="accent1"/>
          <w:szCs w:val="24"/>
        </w:rPr>
        <w:t>item</w:t>
      </w:r>
      <w:r w:rsidR="0022266F" w:rsidRPr="002B333C">
        <w:rPr>
          <w:rFonts w:cs="Times New Roman"/>
          <w:color w:val="4472C4" w:themeColor="accent1"/>
          <w:szCs w:val="24"/>
        </w:rPr>
        <w:t xml:space="preserve">-specific and relational tasks </w:t>
      </w:r>
      <w:r w:rsidR="002B333C">
        <w:rPr>
          <w:rFonts w:cs="Times New Roman"/>
          <w:color w:val="4472C4" w:themeColor="accent1"/>
          <w:szCs w:val="24"/>
        </w:rPr>
        <w:t>as promoting</w:t>
      </w:r>
      <w:r w:rsidR="0022266F" w:rsidRPr="002B333C">
        <w:rPr>
          <w:rFonts w:cs="Times New Roman"/>
          <w:color w:val="4472C4" w:themeColor="accent1"/>
          <w:szCs w:val="24"/>
        </w:rPr>
        <w:t xml:space="preserve"> “deep” </w:t>
      </w:r>
      <w:r w:rsidR="002B333C">
        <w:rPr>
          <w:rFonts w:cs="Times New Roman"/>
          <w:color w:val="4472C4" w:themeColor="accent1"/>
          <w:szCs w:val="24"/>
        </w:rPr>
        <w:t>processing in the LOP framework</w:t>
      </w:r>
      <w:r w:rsidR="0022266F" w:rsidRPr="002B333C">
        <w:rPr>
          <w:rFonts w:cs="Times New Roman"/>
          <w:color w:val="4472C4" w:themeColor="accent1"/>
          <w:szCs w:val="24"/>
        </w:rPr>
        <w:t>, their relative memory benefits are affected by the association between study materials</w:t>
      </w:r>
      <w:r w:rsidR="000546E0" w:rsidRPr="002B333C">
        <w:rPr>
          <w:rFonts w:cs="Times New Roman"/>
          <w:color w:val="4472C4" w:themeColor="accent1"/>
          <w:szCs w:val="24"/>
        </w:rPr>
        <w:t xml:space="preserve"> (see Huff &amp; Bodner, 2014, for discussion)</w:t>
      </w:r>
      <w:r w:rsidR="0022266F" w:rsidRPr="002B333C">
        <w:rPr>
          <w:rFonts w:cs="Times New Roman"/>
          <w:color w:val="4472C4" w:themeColor="accent1"/>
          <w:szCs w:val="24"/>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1144CD71"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 xml:space="preserve">While calibration can be assessed in terms of bias (i.e., </w:t>
      </w:r>
      <w:r w:rsidR="0085433C">
        <w:rPr>
          <w:rFonts w:cs="Times New Roman"/>
          <w:color w:val="4472C4" w:themeColor="accent1"/>
          <w:szCs w:val="24"/>
        </w:rPr>
        <w:t xml:space="preserve">the </w:t>
      </w:r>
      <w:r w:rsidR="001F56F2" w:rsidRPr="001F56F2">
        <w:rPr>
          <w:rFonts w:cs="Times New Roman"/>
          <w:color w:val="4472C4" w:themeColor="accent1"/>
          <w:szCs w:val="24"/>
        </w:rPr>
        <w:t>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w:t>
      </w:r>
      <w:r w:rsidR="008369A9">
        <w:rPr>
          <w:rFonts w:cs="Times New Roman"/>
          <w:szCs w:val="24"/>
        </w:rPr>
        <w:lastRenderedPageBreak/>
        <w:t>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2" w:name="_Hlk82691299"/>
      <w:r w:rsidR="00155F83">
        <w:rPr>
          <w:rFonts w:cs="Times New Roman"/>
          <w:szCs w:val="24"/>
        </w:rPr>
        <w:t xml:space="preserve">assess whether metacognitive illusions like the illusion of competence uniformly affect recall at all JOL levels or whether </w:t>
      </w:r>
      <w:r w:rsidR="00293B23">
        <w:rPr>
          <w:rFonts w:cs="Times New Roman"/>
          <w:szCs w:val="24"/>
        </w:rPr>
        <w:t>calibration is greater</w:t>
      </w:r>
      <w:r w:rsidR="00155F83">
        <w:rPr>
          <w:rFonts w:cs="Times New Roman"/>
          <w:szCs w:val="24"/>
        </w:rPr>
        <w:t xml:space="preserve"> for high JOL ratings vs low ratings</w:t>
      </w:r>
      <w:bookmarkEnd w:id="2"/>
      <w:r w:rsidR="00155F83">
        <w:rPr>
          <w:rFonts w:cs="Times New Roman"/>
          <w:szCs w:val="24"/>
        </w:rPr>
        <w:t xml:space="preserve"> (e.g.,</w:t>
      </w:r>
      <w:r w:rsidR="006A0E99">
        <w:rPr>
          <w:rFonts w:cs="Times New Roman"/>
          <w:szCs w:val="24"/>
        </w:rPr>
        <w:t xml:space="preserve"> </w:t>
      </w:r>
      <w:proofErr w:type="spellStart"/>
      <w:r w:rsidR="006A0E99" w:rsidRPr="00670A3E">
        <w:rPr>
          <w:rFonts w:cs="Times New Roman"/>
          <w:color w:val="4472C4" w:themeColor="accent1"/>
          <w:szCs w:val="24"/>
        </w:rPr>
        <w:t>Dunlosky</w:t>
      </w:r>
      <w:proofErr w:type="spellEnd"/>
      <w:r w:rsidR="006A0E99" w:rsidRPr="00670A3E">
        <w:rPr>
          <w:rFonts w:cs="Times New Roman"/>
          <w:color w:val="4472C4" w:themeColor="accent1"/>
          <w:szCs w:val="24"/>
        </w:rPr>
        <w:t xml:space="preserve"> &amp; Nelson, 1992</w:t>
      </w:r>
      <w:r w:rsidR="006A0E99">
        <w:rPr>
          <w:rFonts w:cs="Times New Roman"/>
          <w:szCs w:val="24"/>
        </w:rPr>
        <w:t>;</w:t>
      </w:r>
      <w:r w:rsidR="00155F83">
        <w:rPr>
          <w:rFonts w:cs="Times New Roman"/>
          <w:szCs w:val="24"/>
        </w:rPr>
        <w:t xml:space="preserve"> Maxwell &amp; Huff, 2021</w:t>
      </w:r>
      <w:r w:rsidR="006A0E99">
        <w:rPr>
          <w:rFonts w:cs="Times New Roman"/>
          <w:szCs w:val="24"/>
        </w:rPr>
        <w:t xml:space="preserve">; </w:t>
      </w:r>
      <w:r w:rsidR="006A0E99" w:rsidRPr="00670A3E">
        <w:rPr>
          <w:rFonts w:cs="Times New Roman"/>
          <w:color w:val="4472C4" w:themeColor="accent1"/>
          <w:szCs w:val="24"/>
        </w:rPr>
        <w:t xml:space="preserve">Nelson &amp; </w:t>
      </w:r>
      <w:proofErr w:type="spellStart"/>
      <w:r w:rsidR="006A0E99" w:rsidRPr="00670A3E">
        <w:rPr>
          <w:rFonts w:cs="Times New Roman"/>
          <w:color w:val="4472C4" w:themeColor="accent1"/>
          <w:szCs w:val="24"/>
        </w:rPr>
        <w:t>Dunlosky</w:t>
      </w:r>
      <w:proofErr w:type="spellEnd"/>
      <w:r w:rsidR="006A0E99" w:rsidRPr="00670A3E">
        <w:rPr>
          <w:rFonts w:cs="Times New Roman"/>
          <w:color w:val="4472C4" w:themeColor="accent1"/>
          <w:szCs w:val="24"/>
        </w:rPr>
        <w:t>,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1EBEAEB2" w:rsidR="00C43049" w:rsidRDefault="003C124A" w:rsidP="00935CDF">
      <w:pPr>
        <w:ind w:firstLine="720"/>
        <w:rPr>
          <w:rFonts w:cs="Times New Roman"/>
          <w:szCs w:val="24"/>
        </w:rPr>
      </w:pPr>
      <w:r>
        <w:rPr>
          <w:rFonts w:cs="Times New Roman"/>
          <w:szCs w:val="24"/>
        </w:rPr>
        <w:lastRenderedPageBreak/>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 xml:space="preserve">may also </w:t>
      </w:r>
      <w:r w:rsidR="00670A3E">
        <w:rPr>
          <w:rFonts w:cs="Times New Roman"/>
          <w:color w:val="4472C4" w:themeColor="accent1"/>
          <w:szCs w:val="24"/>
        </w:rPr>
        <w:t>influence</w:t>
      </w:r>
      <w:r w:rsidR="00550DC0">
        <w:rPr>
          <w:rFonts w:cs="Times New Roman"/>
          <w:color w:val="4472C4" w:themeColor="accent1"/>
          <w:szCs w:val="24"/>
        </w:rPr>
        <w:t xml:space="preserve"> encoding</w:t>
      </w:r>
      <w:r w:rsidR="008A5EA1" w:rsidRPr="008A5EA1">
        <w:rPr>
          <w:rFonts w:cs="Times New Roman"/>
          <w:color w:val="4472C4" w:themeColor="accent1"/>
          <w:szCs w:val="24"/>
        </w:rPr>
        <w:t xml:space="preserve">, they may </w:t>
      </w:r>
      <w:r w:rsidR="00A72F7E">
        <w:rPr>
          <w:rFonts w:cs="Times New Roman"/>
          <w:color w:val="4472C4" w:themeColor="accent1"/>
          <w:szCs w:val="24"/>
        </w:rPr>
        <w:t>similarly</w:t>
      </w:r>
      <w:r w:rsidR="008A5EA1" w:rsidRPr="008A5EA1">
        <w:rPr>
          <w:rFonts w:cs="Times New Roman"/>
          <w:color w:val="4472C4" w:themeColor="accent1"/>
          <w:szCs w:val="24"/>
        </w:rPr>
        <w:t xml:space="preserve">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xml:space="preserve">, we sought to replicate the illusion of competence pattern for backward, symmetrical, and unrelated pairs for participants completing a silent reading intentional encoding </w:t>
      </w:r>
      <w:r w:rsidR="00014B6E" w:rsidRPr="00321A5C">
        <w:rPr>
          <w:rFonts w:cs="Times New Roman"/>
          <w:szCs w:val="24"/>
        </w:rPr>
        <w:lastRenderedPageBreak/>
        <w:t>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lastRenderedPageBreak/>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 xml:space="preserve">tudy blocks </w:t>
      </w:r>
      <w:r w:rsidRPr="00DD55E4">
        <w:rPr>
          <w:rFonts w:eastAsia="Arial" w:cs="Times New Roman"/>
          <w:szCs w:val="24"/>
        </w:rPr>
        <w:lastRenderedPageBreak/>
        <w:t>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3"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3"/>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w:t>
      </w:r>
      <w:r w:rsidR="007D16D8">
        <w:lastRenderedPageBreak/>
        <w:t xml:space="preserve">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7532E4D6"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w:t>
      </w:r>
      <w:r w:rsidR="007C0336">
        <w:rPr>
          <w:color w:val="4472C4" w:themeColor="accent1"/>
        </w:rPr>
        <w:t>before</w:t>
      </w:r>
      <w:r w:rsidR="00550DC0">
        <w:rPr>
          <w:color w:val="4472C4" w:themeColor="accent1"/>
        </w:rPr>
        <w:t xml:space="preserve">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proofErr w:type="gramStart"/>
      <w:r w:rsidR="00F32AEB">
        <w:t>presented</w:t>
      </w:r>
      <w:proofErr w:type="gramEnd"/>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lastRenderedPageBreak/>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4"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5" w:name="_Hlk11862896"/>
      <w:r w:rsidR="003E7264" w:rsidRPr="003E7264">
        <w:rPr>
          <w:rFonts w:eastAsia="Arial" w:cs="Times New Roman"/>
          <w:szCs w:val="24"/>
        </w:rPr>
        <w:t>(Measure: JOL vs. Recall) ×</w:t>
      </w:r>
      <w:r w:rsidR="003E7264">
        <w:rPr>
          <w:rFonts w:eastAsia="Arial" w:cs="Times New Roman"/>
          <w:szCs w:val="24"/>
        </w:rPr>
        <w:t xml:space="preserve"> </w:t>
      </w:r>
      <w:bookmarkStart w:id="6"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w:t>
      </w:r>
      <w:r w:rsidR="003E7264" w:rsidRPr="003E7264">
        <w:rPr>
          <w:rFonts w:eastAsia="Arial" w:cs="Times New Roman"/>
          <w:szCs w:val="24"/>
        </w:rPr>
        <w:lastRenderedPageBreak/>
        <w:t xml:space="preserve">Backward vs. Symmetrical vs. Unrelated) </w:t>
      </w:r>
      <w:bookmarkEnd w:id="5"/>
      <w:r w:rsidR="009749B6">
        <w:rPr>
          <w:rFonts w:eastAsia="Arial" w:cs="Times New Roman"/>
          <w:szCs w:val="24"/>
        </w:rPr>
        <w:t>mixed</w:t>
      </w:r>
      <w:r w:rsidR="003E7264" w:rsidRPr="003E7264">
        <w:rPr>
          <w:rFonts w:eastAsia="Arial" w:cs="Times New Roman"/>
          <w:szCs w:val="24"/>
        </w:rPr>
        <w:t xml:space="preserve"> ANOVA </w:t>
      </w:r>
      <w:bookmarkEnd w:id="6"/>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4"/>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7" w:name="_Hlk11070471"/>
      <w:r w:rsidR="00EF566A">
        <w:rPr>
          <w:rFonts w:eastAsia="Arial" w:cs="Times New Roman"/>
          <w:szCs w:val="24"/>
        </w:rPr>
        <w:t>62.66</w:t>
      </w:r>
      <w:r w:rsidR="003E7264" w:rsidRPr="003E7264">
        <w:rPr>
          <w:rFonts w:eastAsia="Arial" w:cs="Times New Roman"/>
          <w:szCs w:val="24"/>
        </w:rPr>
        <w:t xml:space="preserve"> </w:t>
      </w:r>
      <w:bookmarkEnd w:id="7"/>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8"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8"/>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9" w:name="_Hlk9617943"/>
      <w:r w:rsidR="003E7264" w:rsidRPr="00A06E42">
        <w:rPr>
          <w:rFonts w:ascii="Cambria Math" w:eastAsia="Arial" w:hAnsi="Cambria Math" w:cs="Times New Roman"/>
          <w:szCs w:val="24"/>
        </w:rPr>
        <w:t>≥</w:t>
      </w:r>
      <w:bookmarkEnd w:id="9"/>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0" w:name="_Hlk9618293"/>
      <w:r w:rsidR="003E7264" w:rsidRPr="003E7264">
        <w:rPr>
          <w:rFonts w:eastAsia="Arial" w:cs="Times New Roman"/>
          <w:szCs w:val="24"/>
        </w:rPr>
        <w:t>≥</w:t>
      </w:r>
      <w:bookmarkEnd w:id="10"/>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26F5A84C" w:rsidR="00D753B2" w:rsidRDefault="008A5056" w:rsidP="0069567C">
      <w:pPr>
        <w:spacing w:after="160"/>
        <w:ind w:firstLine="720"/>
        <w:contextualSpacing/>
        <w:rPr>
          <w:rFonts w:eastAsia="Arial" w:cs="Times New Roman"/>
          <w:color w:val="4472C4" w:themeColor="accent1"/>
          <w:szCs w:val="24"/>
        </w:rPr>
      </w:pPr>
      <w:r w:rsidRPr="0069567C">
        <w:rPr>
          <w:rFonts w:eastAsia="Arial" w:cs="Times New Roman"/>
          <w:szCs w:val="24"/>
        </w:rPr>
        <w:t>A</w:t>
      </w:r>
      <w:r>
        <w:rPr>
          <w:rFonts w:eastAsia="Arial" w:cs="Times New Roman"/>
          <w:szCs w:val="24"/>
        </w:rPr>
        <w:t xml:space="preserve">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r w:rsidR="0069567C">
        <w:rPr>
          <w:rFonts w:eastAsia="Arial" w:cs="Times New Roman"/>
          <w:color w:val="4472C4" w:themeColor="accent1"/>
          <w:szCs w:val="24"/>
        </w:rPr>
        <w:t xml:space="preserve">. </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lastRenderedPageBreak/>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w:t>
      </w:r>
      <w:r w:rsidR="00F36A3D">
        <w:rPr>
          <w:rFonts w:eastAsia="Arial" w:cs="Times New Roman"/>
          <w:szCs w:val="24"/>
        </w:rPr>
        <w:lastRenderedPageBreak/>
        <w:t xml:space="preserve">.35,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5C311C1A"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r w:rsidR="000112A1" w:rsidRPr="009929CE">
        <w:rPr>
          <w:rFonts w:eastAsia="Arial" w:cs="Times New Roman"/>
          <w:color w:val="4472C4" w:themeColor="accent1"/>
          <w:szCs w:val="24"/>
        </w:rPr>
        <w:t>To test this</w:t>
      </w:r>
      <w:r w:rsidR="007370EB" w:rsidRPr="009929CE">
        <w:rPr>
          <w:rFonts w:eastAsia="Arial" w:cs="Times New Roman"/>
          <w:color w:val="4472C4" w:themeColor="accent1"/>
          <w:szCs w:val="24"/>
        </w:rPr>
        <w:t>,</w:t>
      </w:r>
      <w:r w:rsidR="000112A1" w:rsidRPr="009929CE">
        <w:rPr>
          <w:rFonts w:eastAsia="Arial" w:cs="Times New Roman"/>
          <w:color w:val="4472C4" w:themeColor="accent1"/>
          <w:szCs w:val="24"/>
        </w:rPr>
        <w:t xml:space="preserve"> we conducted a pair of Encoding Group × Pair Type ANOVAs on </w:t>
      </w:r>
      <w:r w:rsidR="004721B2" w:rsidRPr="009929CE">
        <w:rPr>
          <w:rFonts w:eastAsia="Arial" w:cs="Times New Roman"/>
          <w:color w:val="4472C4" w:themeColor="accent1"/>
          <w:szCs w:val="24"/>
        </w:rPr>
        <w:t>r</w:t>
      </w:r>
      <w:r w:rsidR="000112A1" w:rsidRPr="009929CE">
        <w:rPr>
          <w:rFonts w:eastAsia="Arial" w:cs="Times New Roman"/>
          <w:color w:val="4472C4" w:themeColor="accent1"/>
          <w:szCs w:val="24"/>
        </w:rPr>
        <w:t xml:space="preserve">ecall and JOLs, respectively. Overall, </w:t>
      </w:r>
      <w:r w:rsidR="004721B2" w:rsidRPr="009929CE">
        <w:rPr>
          <w:rFonts w:eastAsia="Arial" w:cs="Times New Roman"/>
          <w:color w:val="4472C4" w:themeColor="accent1"/>
          <w:szCs w:val="24"/>
        </w:rPr>
        <w:t>a</w:t>
      </w:r>
      <w:r w:rsidR="009929CE">
        <w:rPr>
          <w:rFonts w:eastAsia="Arial" w:cs="Times New Roman"/>
          <w:color w:val="4472C4" w:themeColor="accent1"/>
          <w:szCs w:val="24"/>
        </w:rPr>
        <w:t>n</w:t>
      </w:r>
      <w:r w:rsidR="004721B2" w:rsidRPr="009929CE">
        <w:rPr>
          <w:rFonts w:eastAsia="Arial" w:cs="Times New Roman"/>
          <w:color w:val="4472C4" w:themeColor="accent1"/>
          <w:szCs w:val="24"/>
        </w:rPr>
        <w:t xml:space="preserve"> effect of encoding group emerged for recall, </w:t>
      </w:r>
      <w:r w:rsidR="004721B2" w:rsidRPr="009929CE">
        <w:rPr>
          <w:rFonts w:eastAsia="Arial" w:cs="Times New Roman"/>
          <w:i/>
          <w:iCs/>
          <w:color w:val="4472C4" w:themeColor="accent1"/>
          <w:szCs w:val="24"/>
        </w:rPr>
        <w:t>F</w:t>
      </w:r>
      <w:r w:rsidR="004721B2" w:rsidRPr="009929CE">
        <w:rPr>
          <w:rFonts w:eastAsia="Arial" w:cs="Times New Roman"/>
          <w:color w:val="4472C4" w:themeColor="accent1"/>
          <w:szCs w:val="24"/>
        </w:rPr>
        <w:t xml:space="preserve">(2, 85) = 6.49, </w:t>
      </w:r>
      <w:r w:rsidR="004721B2" w:rsidRPr="009929CE">
        <w:rPr>
          <w:rFonts w:eastAsia="Arial" w:cs="Times New Roman"/>
          <w:i/>
          <w:iCs/>
          <w:color w:val="4472C4" w:themeColor="accent1"/>
          <w:szCs w:val="24"/>
        </w:rPr>
        <w:t>MSE</w:t>
      </w:r>
      <w:r w:rsidR="004721B2" w:rsidRPr="009929CE">
        <w:rPr>
          <w:rFonts w:eastAsia="Arial" w:cs="Times New Roman"/>
          <w:color w:val="4472C4" w:themeColor="accent1"/>
          <w:szCs w:val="24"/>
        </w:rPr>
        <w:t xml:space="preserve"> = 919.34, </w:t>
      </w:r>
      <w:r w:rsidR="004721B2" w:rsidRPr="009929CE">
        <w:rPr>
          <w:rFonts w:eastAsia="Arial" w:cs="Times New Roman"/>
          <w:i/>
          <w:iCs/>
          <w:color w:val="4472C4" w:themeColor="accent1"/>
          <w:szCs w:val="24"/>
        </w:rPr>
        <w:t>η</w:t>
      </w:r>
      <w:r w:rsidR="004721B2" w:rsidRPr="009929CE">
        <w:rPr>
          <w:rFonts w:eastAsia="Arial" w:cs="Times New Roman"/>
          <w:color w:val="4472C4" w:themeColor="accent1"/>
          <w:szCs w:val="24"/>
          <w:vertAlign w:val="subscript"/>
        </w:rPr>
        <w:t>p</w:t>
      </w:r>
      <w:r w:rsidR="004721B2" w:rsidRPr="009929CE">
        <w:rPr>
          <w:rFonts w:eastAsia="Arial" w:cs="Times New Roman"/>
          <w:color w:val="4472C4" w:themeColor="accent1"/>
          <w:szCs w:val="24"/>
          <w:vertAlign w:val="superscript"/>
        </w:rPr>
        <w:t>2</w:t>
      </w:r>
      <w:r w:rsidR="004721B2" w:rsidRPr="009929CE">
        <w:rPr>
          <w:rFonts w:eastAsia="Arial" w:cs="Times New Roman"/>
          <w:color w:val="4472C4" w:themeColor="accent1"/>
          <w:szCs w:val="24"/>
        </w:rPr>
        <w:t xml:space="preserve"> = .13</w:t>
      </w:r>
      <w:r w:rsidR="004721B2">
        <w:rPr>
          <w:rFonts w:eastAsia="Arial" w:cs="Times New Roman"/>
          <w:szCs w:val="24"/>
        </w:rPr>
        <w:t xml:space="preserve">, with </w:t>
      </w:r>
      <w:r w:rsidR="007F41B5">
        <w:rPr>
          <w:rFonts w:eastAsia="Arial" w:cs="Times New Roman"/>
          <w:szCs w:val="24"/>
        </w:rPr>
        <w:t>r</w:t>
      </w:r>
      <w:r w:rsidR="007F41B5" w:rsidRPr="007F41B5">
        <w:rPr>
          <w:rFonts w:eastAsia="Arial" w:cs="Times New Roman"/>
          <w:szCs w:val="24"/>
        </w:rPr>
        <w:t xml:space="preserve">ecall rates </w:t>
      </w:r>
      <w:r w:rsidR="004721B2">
        <w:rPr>
          <w:rFonts w:eastAsia="Arial" w:cs="Times New Roman"/>
          <w:szCs w:val="24"/>
        </w:rPr>
        <w:t>greatest</w:t>
      </w:r>
      <w:r w:rsidR="007F41B5" w:rsidRPr="007F41B5">
        <w:rPr>
          <w:rFonts w:eastAsia="Arial" w:cs="Times New Roman"/>
          <w:szCs w:val="24"/>
        </w:rPr>
        <w:t xml:space="preserve">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w:t>
      </w:r>
      <w:r w:rsidR="007138B2" w:rsidRPr="007138B2">
        <w:rPr>
          <w:rFonts w:eastAsia="Arial" w:cs="Times New Roman"/>
          <w:szCs w:val="24"/>
        </w:rPr>
        <w:lastRenderedPageBreak/>
        <w:t xml:space="preserve">=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2"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bookmarkEnd w:id="2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3"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3"/>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0AF1A36A"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r w:rsidR="00941ED7">
        <w:rPr>
          <w:rFonts w:eastAsia="Arial" w:cs="Times New Roman"/>
          <w:color w:val="2E74B5" w:themeColor="accent5" w:themeShade="BF"/>
          <w:szCs w:val="24"/>
        </w:rPr>
        <w:t xml:space="preserve">These patterns were confirmed via calibration plots, which provided qualitative information regarding the JOL bin in which overestimations emerge. </w:t>
      </w:r>
      <w:r w:rsidR="00501C87">
        <w:rPr>
          <w:rFonts w:eastAsia="Arial" w:cs="Times New Roman"/>
          <w:color w:val="2E74B5" w:themeColor="accent5" w:themeShade="BF"/>
          <w:szCs w:val="24"/>
        </w:rPr>
        <w:t xml:space="preserve">For backward pairs, item-specific encoding increased this bin relative to relational encoding and the read-only control group, while unrelated pairs showed a similar increase when relational encoding was utilized. </w:t>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350AE30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 xml:space="preserve">Experiment 2: Think-Aloud </w:t>
      </w:r>
      <w:r w:rsidR="0046675E">
        <w:rPr>
          <w:rFonts w:eastAsia="Arial" w:cs="Times New Roman"/>
          <w:b/>
          <w:bCs/>
          <w:color w:val="2E74B5" w:themeColor="accent5" w:themeShade="BF"/>
          <w:szCs w:val="24"/>
        </w:rPr>
        <w:t>Encoding</w:t>
      </w:r>
    </w:p>
    <w:p w14:paraId="563EC1EB" w14:textId="1BBB4A11"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46675E">
        <w:rPr>
          <w:rFonts w:eastAsia="Arial" w:cs="Times New Roman"/>
          <w:color w:val="2E74B5" w:themeColor="accent5" w:themeShade="BF"/>
          <w:szCs w:val="24"/>
        </w:rPr>
        <w:t>item-specific and relational</w:t>
      </w:r>
      <w:r w:rsidR="0098253B">
        <w:rPr>
          <w:rFonts w:eastAsia="Arial" w:cs="Times New Roman"/>
          <w:color w:val="2E74B5" w:themeColor="accent5" w:themeShade="BF"/>
          <w:szCs w:val="24"/>
        </w:rPr>
        <w:t xml:space="preserve"> findings from Experiment 1 </w:t>
      </w:r>
      <w:r w:rsidR="0046675E">
        <w:rPr>
          <w:rFonts w:eastAsia="Arial" w:cs="Times New Roman"/>
          <w:color w:val="2E74B5" w:themeColor="accent5" w:themeShade="BF"/>
          <w:szCs w:val="24"/>
        </w:rPr>
        <w:t>by verifying that participants were consistently engaging in their instructed item-specific and relational encoding strategy</w:t>
      </w:r>
      <w:r w:rsidR="002A5496">
        <w:rPr>
          <w:rFonts w:eastAsia="Arial" w:cs="Times New Roman"/>
          <w:color w:val="2E74B5" w:themeColor="accent5" w:themeShade="BF"/>
          <w:szCs w:val="24"/>
        </w:rPr>
        <w:t>.</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xml:space="preserve">, </w:t>
      </w:r>
      <w:r w:rsidR="00F6498D">
        <w:rPr>
          <w:rFonts w:eastAsia="Arial" w:cs="Times New Roman"/>
          <w:color w:val="2E74B5" w:themeColor="accent5" w:themeShade="BF"/>
          <w:szCs w:val="24"/>
        </w:rPr>
        <w:t>item-</w:t>
      </w:r>
      <w:proofErr w:type="gramStart"/>
      <w:r w:rsidR="00F6498D">
        <w:rPr>
          <w:rFonts w:eastAsia="Arial" w:cs="Times New Roman"/>
          <w:color w:val="2E74B5" w:themeColor="accent5" w:themeShade="BF"/>
          <w:szCs w:val="24"/>
        </w:rPr>
        <w:t>specific</w:t>
      </w:r>
      <w:proofErr w:type="gramEnd"/>
      <w:r w:rsidR="00F6498D">
        <w:rPr>
          <w:rFonts w:eastAsia="Arial" w:cs="Times New Roman"/>
          <w:color w:val="2E74B5" w:themeColor="accent5" w:themeShade="BF"/>
          <w:szCs w:val="24"/>
        </w:rPr>
        <w:t xml:space="preserve">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w:t>
      </w:r>
      <w:r w:rsidR="0046675E">
        <w:rPr>
          <w:rFonts w:eastAsia="Arial" w:cs="Times New Roman"/>
          <w:color w:val="2E74B5" w:themeColor="accent5" w:themeShade="BF"/>
          <w:szCs w:val="24"/>
        </w:rPr>
        <w:t>encoding processes for each study pair.</w:t>
      </w:r>
      <w:r w:rsidR="00F0604D">
        <w:rPr>
          <w:rFonts w:eastAsia="Arial" w:cs="Times New Roman"/>
          <w:color w:val="2E74B5" w:themeColor="accent5" w:themeShade="BF"/>
          <w:szCs w:val="24"/>
        </w:rPr>
        <w:t xml:space="preserve">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178A31EF" w:rsidR="00254734" w:rsidRPr="009508B9" w:rsidRDefault="0046675E" w:rsidP="009508B9">
      <w:pPr>
        <w:ind w:firstLine="720"/>
        <w:rPr>
          <w:color w:val="0070C0"/>
        </w:rPr>
      </w:pPr>
      <w:r>
        <w:rPr>
          <w:color w:val="0070C0"/>
        </w:rPr>
        <w:t>One-hundred-two</w:t>
      </w:r>
      <w:r w:rsidR="00AD6EBA">
        <w:rPr>
          <w:color w:val="0070C0"/>
        </w:rPr>
        <w:t xml:space="preserve"> </w:t>
      </w:r>
      <w:r>
        <w:rPr>
          <w:color w:val="0070C0"/>
        </w:rPr>
        <w:t xml:space="preserve">University of Southern Mississippi </w:t>
      </w:r>
      <w:r w:rsidR="00AD6EBA">
        <w:rPr>
          <w:color w:val="0070C0"/>
        </w:rPr>
        <w:t xml:space="preserve">undergraduate students </w:t>
      </w:r>
      <w:r w:rsidR="00BD4194">
        <w:rPr>
          <w:color w:val="0070C0"/>
        </w:rPr>
        <w:t xml:space="preserve">completed Experiment 2 for partial course credit. </w:t>
      </w:r>
      <w:r>
        <w:rPr>
          <w:color w:val="0070C0"/>
        </w:rPr>
        <w:t>P</w:t>
      </w:r>
      <w:r w:rsidR="00AD6EBA" w:rsidRPr="00AD6EBA">
        <w:rPr>
          <w:color w:val="0070C0"/>
        </w:rPr>
        <w:t>articipants were randomly assigned to</w:t>
      </w:r>
      <w:r w:rsidR="00BD4194">
        <w:rPr>
          <w:color w:val="0070C0"/>
        </w:rPr>
        <w:t xml:space="preserve"> one of three encoding groups:</w:t>
      </w:r>
      <w:r w:rsidR="00AD6EBA" w:rsidRPr="00AD6EBA">
        <w:rPr>
          <w:color w:val="0070C0"/>
        </w:rPr>
        <w:t xml:space="preserve"> </w:t>
      </w:r>
      <w:r w:rsidR="00BD4194">
        <w:rPr>
          <w:color w:val="0070C0"/>
        </w:rPr>
        <w:t>I</w:t>
      </w:r>
      <w:r w:rsidR="00AD6EBA" w:rsidRPr="00AD6EBA">
        <w:rPr>
          <w:color w:val="0070C0"/>
        </w:rPr>
        <w:t>tem-specific</w:t>
      </w:r>
      <w:r w:rsidR="00BD4194">
        <w:rPr>
          <w:color w:val="0070C0"/>
        </w:rPr>
        <w:t xml:space="preserve"> encoding</w:t>
      </w:r>
      <w:r w:rsidR="00AD6EBA" w:rsidRPr="00AD6EBA">
        <w:rPr>
          <w:color w:val="0070C0"/>
        </w:rPr>
        <w:t xml:space="preserve"> (</w:t>
      </w:r>
      <w:r w:rsidR="00AD6EBA" w:rsidRPr="00AD6EBA">
        <w:rPr>
          <w:i/>
          <w:iCs/>
          <w:color w:val="0070C0"/>
        </w:rPr>
        <w:t>n</w:t>
      </w:r>
      <w:r w:rsidR="00AD6EBA" w:rsidRPr="00AD6EBA">
        <w:rPr>
          <w:color w:val="0070C0"/>
        </w:rPr>
        <w:t xml:space="preserve"> = </w:t>
      </w:r>
      <w:r w:rsidR="00436AF0">
        <w:rPr>
          <w:color w:val="0070C0"/>
        </w:rPr>
        <w:t>34</w:t>
      </w:r>
      <w:r w:rsidR="00AD6EBA" w:rsidRPr="00AD6EBA">
        <w:rPr>
          <w:color w:val="0070C0"/>
        </w:rPr>
        <w:t>), relational (</w:t>
      </w:r>
      <w:r w:rsidR="00AD6EBA" w:rsidRPr="00AD6EBA">
        <w:rPr>
          <w:i/>
          <w:iCs/>
          <w:color w:val="0070C0"/>
        </w:rPr>
        <w:t>n</w:t>
      </w:r>
      <w:r w:rsidR="00AD6EBA" w:rsidRPr="00AD6EBA">
        <w:rPr>
          <w:color w:val="0070C0"/>
        </w:rPr>
        <w:t xml:space="preserve"> = </w:t>
      </w:r>
      <w:r w:rsidR="00436AF0">
        <w:rPr>
          <w:color w:val="0070C0"/>
        </w:rPr>
        <w:t>32</w:t>
      </w:r>
      <w:r w:rsidR="00BD4194">
        <w:rPr>
          <w:color w:val="0070C0"/>
        </w:rPr>
        <w:t xml:space="preserve">), </w:t>
      </w:r>
      <w:r w:rsidR="00AD6EBA" w:rsidRPr="00AD6EBA">
        <w:rPr>
          <w:color w:val="0070C0"/>
        </w:rPr>
        <w:t>or the read-only group (</w:t>
      </w:r>
      <w:r w:rsidR="00AD6EBA" w:rsidRPr="00AD6EBA">
        <w:rPr>
          <w:i/>
          <w:iCs/>
          <w:color w:val="0070C0"/>
        </w:rPr>
        <w:t>n</w:t>
      </w:r>
      <w:r w:rsidR="00AD6EBA" w:rsidRPr="00AD6EBA">
        <w:rPr>
          <w:color w:val="0070C0"/>
        </w:rPr>
        <w:t xml:space="preserve"> = </w:t>
      </w:r>
      <w:r w:rsidR="00436AF0">
        <w:rPr>
          <w:color w:val="0070C0"/>
        </w:rPr>
        <w:t>36</w:t>
      </w:r>
      <w:r w:rsidR="00AD6EBA" w:rsidRPr="00AD6EBA">
        <w:rPr>
          <w:color w:val="0070C0"/>
        </w:rPr>
        <w:t>)</w:t>
      </w:r>
      <w:r>
        <w:rPr>
          <w:color w:val="0070C0"/>
        </w:rPr>
        <w:t>, a</w:t>
      </w:r>
      <w:r w:rsidR="0009752F">
        <w:rPr>
          <w:color w:val="0070C0"/>
        </w:rPr>
        <w:t xml:space="preserve"> sample size modeled after Experiment 1 with the constraint that each group contain at least 30 participants. </w:t>
      </w:r>
      <w:r w:rsidR="00BD4194">
        <w:rPr>
          <w:rFonts w:eastAsia="Arial" w:cs="Times New Roman"/>
          <w:color w:val="0070C0"/>
          <w:szCs w:val="24"/>
        </w:rPr>
        <w:t>A</w:t>
      </w:r>
      <w:r w:rsidR="00AD6EBA" w:rsidRPr="00AD6EBA">
        <w:rPr>
          <w:rFonts w:eastAsia="Arial" w:cs="Times New Roman"/>
          <w:color w:val="0070C0"/>
          <w:szCs w:val="24"/>
        </w:rPr>
        <w:t xml:space="preserve"> sensitivity analysis conducted </w:t>
      </w:r>
      <w:r w:rsidR="00901D33">
        <w:rPr>
          <w:rFonts w:eastAsia="Arial" w:cs="Times New Roman"/>
          <w:color w:val="0070C0"/>
          <w:szCs w:val="24"/>
        </w:rPr>
        <w:t>via</w:t>
      </w:r>
      <w:r w:rsidR="00AD6EBA" w:rsidRPr="00AD6EBA">
        <w:rPr>
          <w:rFonts w:eastAsia="Arial" w:cs="Times New Roman"/>
          <w:color w:val="0070C0"/>
          <w:szCs w:val="24"/>
        </w:rPr>
        <w:t xml:space="preserve"> </w:t>
      </w:r>
      <w:r w:rsidR="00AD6EBA" w:rsidRPr="00AD6EBA">
        <w:rPr>
          <w:rFonts w:eastAsia="Arial" w:cs="Times New Roman"/>
          <w:i/>
          <w:iCs/>
          <w:color w:val="0070C0"/>
          <w:szCs w:val="24"/>
        </w:rPr>
        <w:t>G*Power</w:t>
      </w:r>
      <w:r w:rsidR="00901D33">
        <w:rPr>
          <w:rFonts w:eastAsia="Arial" w:cs="Times New Roman"/>
          <w:i/>
          <w:iCs/>
          <w:color w:val="0070C0"/>
          <w:szCs w:val="24"/>
        </w:rPr>
        <w:t xml:space="preserve"> 3.1</w:t>
      </w:r>
      <w:r w:rsidR="00AD6EBA" w:rsidRPr="00AD6EBA">
        <w:rPr>
          <w:rFonts w:eastAsia="Arial" w:cs="Times New Roman"/>
          <w:color w:val="0070C0"/>
          <w:szCs w:val="24"/>
        </w:rPr>
        <w:t xml:space="preserve"> (</w:t>
      </w:r>
      <w:proofErr w:type="spellStart"/>
      <w:r w:rsidR="00AD6EBA" w:rsidRPr="00AD6EBA">
        <w:rPr>
          <w:rFonts w:eastAsia="Arial" w:cs="Times New Roman"/>
          <w:color w:val="0070C0"/>
          <w:szCs w:val="24"/>
        </w:rPr>
        <w:t>Faul</w:t>
      </w:r>
      <w:proofErr w:type="spellEnd"/>
      <w:r w:rsidR="00051C71">
        <w:rPr>
          <w:rFonts w:eastAsia="Arial" w:cs="Times New Roman"/>
          <w:color w:val="0070C0"/>
          <w:szCs w:val="24"/>
        </w:rPr>
        <w:t xml:space="preserve"> et al.</w:t>
      </w:r>
      <w:r w:rsidR="0085433C">
        <w:rPr>
          <w:rFonts w:eastAsia="Arial" w:cs="Times New Roman"/>
          <w:color w:val="0070C0"/>
          <w:szCs w:val="24"/>
        </w:rPr>
        <w:t>,</w:t>
      </w:r>
      <w:r w:rsidR="00051C71">
        <w:rPr>
          <w:rFonts w:eastAsia="Arial" w:cs="Times New Roman"/>
          <w:color w:val="0070C0"/>
          <w:szCs w:val="24"/>
        </w:rPr>
        <w:t xml:space="preserve"> </w:t>
      </w:r>
      <w:r w:rsidR="00AD6EBA"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00AD6EBA" w:rsidRPr="00AD6EBA">
        <w:rPr>
          <w:rFonts w:eastAsia="Arial" w:cs="Times New Roman"/>
          <w:color w:val="0070C0"/>
          <w:szCs w:val="24"/>
        </w:rPr>
        <w:t xml:space="preserve">nteractions (Cohen’s </w:t>
      </w:r>
      <w:r w:rsidR="00AD6EBA" w:rsidRPr="00AD6EBA">
        <w:rPr>
          <w:rFonts w:eastAsia="Arial" w:cs="Times New Roman"/>
          <w:i/>
          <w:iCs/>
          <w:color w:val="0070C0"/>
          <w:szCs w:val="24"/>
        </w:rPr>
        <w:t>d</w:t>
      </w:r>
      <w:r w:rsidR="00AD6EBA" w:rsidRPr="00AD6EBA">
        <w:rPr>
          <w:rFonts w:eastAsia="Arial" w:cs="Times New Roman"/>
          <w:color w:val="0070C0"/>
          <w:szCs w:val="24"/>
        </w:rPr>
        <w:t xml:space="preserve"> = 0.2</w:t>
      </w:r>
      <w:r w:rsidR="002E616A">
        <w:rPr>
          <w:rFonts w:eastAsia="Arial" w:cs="Times New Roman"/>
          <w:color w:val="0070C0"/>
          <w:szCs w:val="24"/>
        </w:rPr>
        <w:t>6</w:t>
      </w:r>
      <w:r w:rsidR="00AD6EBA"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243A4B89"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46675E">
        <w:rPr>
          <w:rFonts w:eastAsia="Arial" w:cs="Times New Roman"/>
          <w:color w:val="0070C0"/>
          <w:szCs w:val="24"/>
        </w:rPr>
        <w:t xml:space="preserve"> mixed ANOVA</w:t>
      </w:r>
      <w:r w:rsidR="00353416">
        <w:rPr>
          <w:rFonts w:eastAsia="Arial" w:cs="Times New Roman"/>
          <w:color w:val="0070C0"/>
          <w:szCs w:val="24"/>
        </w:rPr>
        <w:t xml:space="preserve">. </w:t>
      </w:r>
      <w:r w:rsidR="003C39CB">
        <w:rPr>
          <w:rFonts w:eastAsia="Arial" w:cs="Times New Roman"/>
          <w:color w:val="0070C0"/>
          <w:szCs w:val="24"/>
        </w:rPr>
        <w:t>A</w:t>
      </w:r>
      <w:r w:rsidR="0046675E">
        <w:rPr>
          <w:rFonts w:eastAsia="Arial" w:cs="Times New Roman"/>
          <w:color w:val="0070C0"/>
          <w:szCs w:val="24"/>
        </w:rPr>
        <w:t xml:space="preserve">n </w:t>
      </w:r>
      <w:r w:rsidR="0051427A">
        <w:rPr>
          <w:rFonts w:eastAsia="Arial" w:cs="Times New Roman"/>
          <w:color w:val="0070C0"/>
          <w:szCs w:val="24"/>
        </w:rPr>
        <w:t xml:space="preserve">effect of measure was not </w:t>
      </w:r>
      <w:r w:rsidR="0046675E">
        <w:rPr>
          <w:rFonts w:eastAsia="Arial" w:cs="Times New Roman"/>
          <w:color w:val="0070C0"/>
          <w:szCs w:val="24"/>
        </w:rPr>
        <w:t>found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w:t>
      </w:r>
      <w:r w:rsidR="0046675E">
        <w:rPr>
          <w:rFonts w:eastAsia="Arial" w:cs="Times New Roman"/>
          <w:color w:val="0070C0"/>
          <w:szCs w:val="24"/>
        </w:rPr>
        <w:t>was found</w:t>
      </w:r>
      <w:r w:rsidR="003158D5">
        <w:rPr>
          <w:rFonts w:eastAsia="Arial" w:cs="Times New Roman"/>
          <w:color w:val="0070C0"/>
          <w:szCs w:val="24"/>
        </w:rPr>
        <w:t xml:space="preserve">,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14A46572"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46675E">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46675E">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DB59AC">
        <w:rPr>
          <w:rFonts w:eastAsia="Arial" w:cs="Times New Roman"/>
          <w:color w:val="4472C4" w:themeColor="accent1"/>
          <w:szCs w:val="24"/>
        </w:rPr>
        <w:t xml:space="preserve"> and unrelated pairs (39.01 vs. 28.64</w:t>
      </w:r>
      <w:r w:rsidR="0046675E">
        <w:rPr>
          <w:rFonts w:eastAsia="Arial" w:cs="Times New Roman"/>
          <w:color w:val="4472C4" w:themeColor="accent1"/>
          <w:szCs w:val="24"/>
        </w:rPr>
        <w:t>),</w:t>
      </w:r>
      <w:r w:rsidR="00DB59AC">
        <w:rPr>
          <w:rFonts w:eastAsia="Arial" w:cs="Times New Roman"/>
          <w:color w:val="4472C4" w:themeColor="accent1"/>
          <w:szCs w:val="24"/>
        </w:rPr>
        <w:t xml:space="preserve">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24" w:name="_Hlk122180783"/>
      <w:r w:rsidR="0046675E">
        <w:rPr>
          <w:rFonts w:eastAsia="Arial" w:cs="Times New Roman"/>
          <w:color w:val="4472C4" w:themeColor="accent1"/>
          <w:szCs w:val="24"/>
        </w:rPr>
        <w:t>),</w:t>
      </w:r>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4"/>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39B46D5E"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w:t>
      </w:r>
      <w:r w:rsidR="0046675E">
        <w:rPr>
          <w:rFonts w:eastAsia="Arial" w:cs="Times New Roman"/>
          <w:color w:val="4472C4" w:themeColor="accent1"/>
          <w:szCs w:val="24"/>
        </w:rPr>
        <w:t>.</w:t>
      </w:r>
      <w:r w:rsidR="0028477E" w:rsidRPr="00385C9E">
        <w:rPr>
          <w:rFonts w:eastAsia="Arial" w:cs="Times New Roman"/>
          <w:color w:val="4472C4" w:themeColor="accent1"/>
          <w:szCs w:val="24"/>
        </w:rPr>
        <w:t xml:space="preserve">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DE2E4F3"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5"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5"/>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w:t>
      </w:r>
      <w:r w:rsidR="0046675E">
        <w:rPr>
          <w:rFonts w:eastAsia="Arial" w:cs="Times New Roman"/>
          <w:color w:val="4472C4" w:themeColor="accent1"/>
          <w:szCs w:val="24"/>
        </w:rPr>
        <w:t>under estimation</w:t>
      </w:r>
      <w:r w:rsidR="00AB1387">
        <w:rPr>
          <w:rFonts w:eastAsia="Arial" w:cs="Times New Roman"/>
          <w:color w:val="4472C4" w:themeColor="accent1"/>
          <w:szCs w:val="24"/>
        </w:rPr>
        <w:t xml:space="preserve"> </w:t>
      </w:r>
      <w:r w:rsidR="0046675E">
        <w:rPr>
          <w:rFonts w:eastAsia="Arial" w:cs="Times New Roman"/>
          <w:color w:val="4472C4" w:themeColor="accent1"/>
          <w:szCs w:val="24"/>
        </w:rPr>
        <w:t>pattern</w:t>
      </w:r>
      <w:r w:rsidR="00AB1387">
        <w:rPr>
          <w:rFonts w:eastAsia="Arial" w:cs="Times New Roman"/>
          <w:color w:val="4472C4" w:themeColor="accent1"/>
          <w:szCs w:val="24"/>
        </w:rPr>
        <w:t xml:space="preserve">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w:t>
      </w:r>
      <w:r w:rsidR="0046675E">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w:t>
      </w:r>
      <w:r w:rsidR="0046675E">
        <w:rPr>
          <w:rFonts w:eastAsia="Arial" w:cs="Times New Roman"/>
          <w:color w:val="4472C4" w:themeColor="accent1"/>
          <w:szCs w:val="24"/>
        </w:rPr>
        <w:t xml:space="preserve"> estimated</w:t>
      </w:r>
      <w:r w:rsidR="00556F32">
        <w:rPr>
          <w:rFonts w:eastAsia="Arial" w:cs="Times New Roman"/>
          <w:color w:val="4472C4" w:themeColor="accent1"/>
          <w:szCs w:val="24"/>
        </w:rPr>
        <w:t xml:space="preserve">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w:t>
      </w:r>
      <w:r w:rsidR="0046675E">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11384336"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w:t>
      </w:r>
      <w:r w:rsidR="0046675E">
        <w:rPr>
          <w:rFonts w:eastAsia="Arial" w:cs="Times New Roman"/>
          <w:color w:val="4472C4" w:themeColor="accent1"/>
          <w:szCs w:val="24"/>
        </w:rPr>
        <w:t>.</w:t>
      </w:r>
      <w:r w:rsidRPr="00C249B1">
        <w:rPr>
          <w:rFonts w:eastAsia="Arial" w:cs="Times New Roman"/>
          <w:color w:val="4472C4" w:themeColor="accent1"/>
          <w:szCs w:val="24"/>
        </w:rPr>
        <w:t xml:space="preserve">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w:t>
      </w:r>
      <w:r w:rsidR="0046675E">
        <w:rPr>
          <w:rFonts w:eastAsia="Arial" w:cs="Times New Roman"/>
          <w:color w:val="4472C4" w:themeColor="accent1"/>
          <w:szCs w:val="24"/>
        </w:rPr>
        <w:t>.</w:t>
      </w:r>
      <w:r w:rsidRPr="00C249B1">
        <w:rPr>
          <w:rFonts w:eastAsia="Arial" w:cs="Times New Roman"/>
          <w:color w:val="4472C4" w:themeColor="accent1"/>
          <w:szCs w:val="24"/>
        </w:rPr>
        <w:t xml:space="preserve">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w:t>
      </w:r>
      <w:r w:rsidR="00DA38CA">
        <w:rPr>
          <w:rFonts w:eastAsia="Arial" w:cs="Times New Roman"/>
          <w:color w:val="4472C4" w:themeColor="accent1"/>
          <w:szCs w:val="24"/>
        </w:rPr>
        <w:t>additional</w:t>
      </w:r>
      <w:r w:rsidR="00EB091A">
        <w:rPr>
          <w:rFonts w:eastAsia="Arial" w:cs="Times New Roman"/>
          <w:color w:val="4472C4" w:themeColor="accent1"/>
          <w:szCs w:val="24"/>
        </w:rPr>
        <w:t xml:space="preserve">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641FFEB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A72F7E">
        <w:rPr>
          <w:rFonts w:eastAsia="Arial" w:cs="Times New Roman"/>
          <w:color w:val="4472C4" w:themeColor="accent1"/>
          <w:szCs w:val="24"/>
        </w:rPr>
        <w:t xml:space="preserve"> </w:t>
      </w:r>
      <w:r w:rsidR="00BE111E" w:rsidRPr="00C01135">
        <w:rPr>
          <w:rFonts w:eastAsia="Arial" w:cs="Times New Roman"/>
          <w:color w:val="4472C4" w:themeColor="accent1"/>
          <w:szCs w:val="24"/>
        </w:rPr>
        <w:t xml:space="preserve">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61AA1DD7"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w:t>
      </w:r>
      <w:r w:rsidR="00277408" w:rsidRPr="00277408">
        <w:rPr>
          <w:rFonts w:eastAsia="Arial" w:cs="Times New Roman"/>
          <w:color w:val="4472C4" w:themeColor="accent1"/>
          <w:szCs w:val="24"/>
        </w:rPr>
        <w:t>×</w:t>
      </w:r>
      <w:r w:rsidR="00EA26D9">
        <w:rPr>
          <w:rFonts w:eastAsia="Arial" w:cs="Times New Roman"/>
          <w:color w:val="4472C4" w:themeColor="accent1"/>
          <w:szCs w:val="24"/>
        </w:rPr>
        <w:t xml:space="preserve">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4BA2D371"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00DA38CA">
        <w:rPr>
          <w:rFonts w:eastAsia="Arial" w:cs="Times New Roman"/>
          <w:color w:val="4472C4" w:themeColor="accent1"/>
          <w:szCs w:val="24"/>
        </w:rPr>
        <w:t>We</w:t>
      </w:r>
      <w:r w:rsidRPr="00925486">
        <w:rPr>
          <w:rFonts w:eastAsia="Arial" w:cs="Times New Roman"/>
          <w:color w:val="4472C4" w:themeColor="accent1"/>
          <w:szCs w:val="24"/>
        </w:rPr>
        <w:t xml:space="preserv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bookmarkStart w:id="26" w:name="_Hlk124434964"/>
      <w:r w:rsidR="00222374" w:rsidRPr="00EE09EE">
        <w:rPr>
          <w:rFonts w:eastAsia="Arial" w:cs="Times New Roman"/>
          <w:color w:val="4472C4" w:themeColor="accent1"/>
          <w:szCs w:val="24"/>
        </w:rPr>
        <w:t>3 (Encoding Group: Item-Specific vs. Relational vs</w:t>
      </w:r>
      <w:r w:rsidR="00DA38CA">
        <w:rPr>
          <w:rFonts w:eastAsia="Arial" w:cs="Times New Roman"/>
          <w:color w:val="4472C4" w:themeColor="accent1"/>
          <w:szCs w:val="24"/>
        </w:rPr>
        <w:t>.</w:t>
      </w:r>
      <w:r w:rsidR="00222374" w:rsidRPr="00EE09EE">
        <w:rPr>
          <w:rFonts w:eastAsia="Arial" w:cs="Times New Roman"/>
          <w:color w:val="4472C4" w:themeColor="accent1"/>
          <w:szCs w:val="24"/>
        </w:rPr>
        <w:t xml:space="preserve"> Read) × 4 (Pair Type: Forward vs. Backward vs. Symmetrical vs. Unrelated) mixed ANOVA</w:t>
      </w:r>
      <w:bookmarkEnd w:id="26"/>
      <w:r w:rsidR="00222374" w:rsidRPr="00EE09EE">
        <w:rPr>
          <w:rFonts w:eastAsia="Arial" w:cs="Times New Roman"/>
          <w:color w:val="4472C4" w:themeColor="accent1"/>
          <w:szCs w:val="24"/>
        </w:rPr>
        <w:t xml:space="preserve">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 and relational groups, </w:t>
      </w:r>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Additionally, this analysis revealed a</w:t>
      </w:r>
      <w:r w:rsidR="003E59C8">
        <w:rPr>
          <w:rFonts w:eastAsia="Arial" w:cs="Times New Roman"/>
          <w:color w:val="4472C4" w:themeColor="accent1"/>
          <w:szCs w:val="24"/>
        </w:rPr>
        <w:t xml:space="preserve"> </w:t>
      </w:r>
      <w:r w:rsidR="003E59C8">
        <w:rPr>
          <w:rFonts w:eastAsia="Arial" w:cs="Times New Roman"/>
          <w:color w:val="4472C4" w:themeColor="accent1"/>
          <w:szCs w:val="24"/>
        </w:rPr>
        <w:lastRenderedPageBreak/>
        <w:t>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2C67F8"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2C67F8">
        <w:rPr>
          <w:rFonts w:eastAsia="Arial" w:cs="Times New Roman"/>
          <w:b/>
          <w:bCs/>
          <w:color w:val="2E74B5" w:themeColor="accent5" w:themeShade="BF"/>
          <w:szCs w:val="24"/>
        </w:rPr>
        <w:t>Cross-Experimental Analysis</w:t>
      </w:r>
    </w:p>
    <w:p w14:paraId="4029A66F" w14:textId="339DFC91" w:rsidR="006F5A72" w:rsidRPr="002C67F8"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2C67F8">
        <w:rPr>
          <w:rFonts w:eastAsia="Arial" w:cs="Times New Roman"/>
          <w:color w:val="2E74B5" w:themeColor="accent5" w:themeShade="BF"/>
          <w:szCs w:val="24"/>
        </w:rPr>
        <w:tab/>
        <w:t xml:space="preserve">Because participants in the item-specific and relational encoding </w:t>
      </w:r>
      <w:r w:rsidR="0085433C">
        <w:rPr>
          <w:rFonts w:eastAsia="Arial" w:cs="Times New Roman"/>
          <w:color w:val="2E74B5" w:themeColor="accent5" w:themeShade="BF"/>
          <w:szCs w:val="24"/>
        </w:rPr>
        <w:t xml:space="preserve">groups </w:t>
      </w:r>
      <w:r w:rsidRPr="002C67F8">
        <w:rPr>
          <w:rFonts w:eastAsia="Arial" w:cs="Times New Roman"/>
          <w:color w:val="2E74B5" w:themeColor="accent5" w:themeShade="BF"/>
          <w:szCs w:val="24"/>
        </w:rPr>
        <w:t xml:space="preserve">in Experiment 2 were required to verbalize their encoding processes, it is possible that this </w:t>
      </w:r>
      <w:r w:rsidR="002C67F8">
        <w:rPr>
          <w:rFonts w:eastAsia="Arial" w:cs="Times New Roman"/>
          <w:color w:val="2E74B5" w:themeColor="accent5" w:themeShade="BF"/>
          <w:szCs w:val="24"/>
        </w:rPr>
        <w:t>procedure</w:t>
      </w:r>
      <w:r w:rsidRPr="002C67F8">
        <w:rPr>
          <w:rFonts w:eastAsia="Arial" w:cs="Times New Roman"/>
          <w:color w:val="2E74B5" w:themeColor="accent5" w:themeShade="BF"/>
          <w:szCs w:val="24"/>
        </w:rPr>
        <w:t xml:space="preserv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t>
      </w:r>
      <w:r w:rsidR="00E35A45">
        <w:rPr>
          <w:rFonts w:eastAsia="Arial" w:cs="Times New Roman"/>
          <w:color w:val="2E74B5" w:themeColor="accent5" w:themeShade="BF"/>
          <w:szCs w:val="24"/>
        </w:rPr>
        <w:t xml:space="preserve">was the </w:t>
      </w:r>
      <w:r w:rsidRPr="002C67F8">
        <w:rPr>
          <w:rFonts w:eastAsia="Arial" w:cs="Times New Roman"/>
          <w:color w:val="2E74B5" w:themeColor="accent5" w:themeShade="BF"/>
          <w:szCs w:val="24"/>
        </w:rPr>
        <w:t xml:space="preserve">Experiment × Measure × Direction interaction, </w:t>
      </w:r>
      <w:bookmarkStart w:id="27" w:name="_Hlk124433605"/>
      <w:r w:rsidRPr="002C67F8">
        <w:rPr>
          <w:rFonts w:eastAsia="Arial" w:cs="Times New Roman"/>
          <w:i/>
          <w:iCs/>
          <w:color w:val="2E74B5" w:themeColor="accent5" w:themeShade="BF"/>
          <w:szCs w:val="24"/>
        </w:rPr>
        <w:t>F</w:t>
      </w:r>
      <w:r w:rsidRPr="002C67F8">
        <w:rPr>
          <w:rFonts w:eastAsia="Arial" w:cs="Times New Roman"/>
          <w:color w:val="2E74B5" w:themeColor="accent5" w:themeShade="BF"/>
          <w:szCs w:val="24"/>
        </w:rPr>
        <w:t xml:space="preserve">(3, 552) = 3.94, </w:t>
      </w:r>
      <w:r w:rsidRPr="002C67F8">
        <w:rPr>
          <w:rFonts w:eastAsia="Arial" w:cs="Times New Roman"/>
          <w:i/>
          <w:iCs/>
          <w:color w:val="2E74B5" w:themeColor="accent5" w:themeShade="BF"/>
          <w:szCs w:val="24"/>
        </w:rPr>
        <w:t>MSE</w:t>
      </w:r>
      <w:r w:rsidRPr="002C67F8">
        <w:rPr>
          <w:rFonts w:eastAsia="Arial" w:cs="Times New Roman"/>
          <w:color w:val="2E74B5" w:themeColor="accent5" w:themeShade="BF"/>
          <w:szCs w:val="24"/>
        </w:rPr>
        <w:t xml:space="preserve"> = 128.35, </w:t>
      </w:r>
      <w:r w:rsidRPr="002C67F8">
        <w:rPr>
          <w:rFonts w:eastAsia="Arial" w:cs="Times New Roman"/>
          <w:i/>
          <w:iCs/>
          <w:color w:val="2E74B5" w:themeColor="accent5" w:themeShade="BF"/>
          <w:szCs w:val="24"/>
        </w:rPr>
        <w:t>η</w:t>
      </w:r>
      <w:r w:rsidRPr="002C67F8">
        <w:rPr>
          <w:rFonts w:eastAsia="Arial" w:cs="Times New Roman"/>
          <w:color w:val="2E74B5" w:themeColor="accent5" w:themeShade="BF"/>
          <w:szCs w:val="24"/>
          <w:vertAlign w:val="subscript"/>
        </w:rPr>
        <w:t>p</w:t>
      </w:r>
      <w:r w:rsidRPr="002C67F8">
        <w:rPr>
          <w:rFonts w:eastAsia="Arial" w:cs="Times New Roman"/>
          <w:color w:val="2E74B5" w:themeColor="accent5" w:themeShade="BF"/>
          <w:szCs w:val="24"/>
          <w:vertAlign w:val="superscript"/>
        </w:rPr>
        <w:t>2</w:t>
      </w:r>
      <w:r w:rsidRPr="002C67F8">
        <w:rPr>
          <w:rFonts w:eastAsia="Arial" w:cs="Times New Roman"/>
          <w:color w:val="2E74B5" w:themeColor="accent5" w:themeShade="BF"/>
          <w:szCs w:val="24"/>
        </w:rPr>
        <w:t xml:space="preserve"> = .02.</w:t>
      </w:r>
      <w:bookmarkEnd w:id="27"/>
      <w:r w:rsidRPr="002C67F8">
        <w:rPr>
          <w:rFonts w:eastAsia="Arial" w:cs="Times New Roman"/>
          <w:color w:val="2E74B5" w:themeColor="accent5" w:themeShade="BF"/>
          <w:szCs w:val="24"/>
        </w:rPr>
        <w:t xml:space="preserve"> All other interactions with Experiment, including the four-way interaction, were non-significant, </w:t>
      </w:r>
      <w:r w:rsidRPr="002C67F8">
        <w:rPr>
          <w:rFonts w:eastAsia="Arial" w:cs="Times New Roman"/>
          <w:i/>
          <w:iCs/>
          <w:color w:val="2E74B5" w:themeColor="accent5" w:themeShade="BF"/>
          <w:szCs w:val="24"/>
        </w:rPr>
        <w:t>F</w:t>
      </w:r>
      <w:r w:rsidRPr="002C67F8">
        <w:rPr>
          <w:rFonts w:eastAsia="Arial" w:cs="Times New Roman"/>
          <w:color w:val="2E74B5" w:themeColor="accent5" w:themeShade="BF"/>
          <w:szCs w:val="24"/>
        </w:rPr>
        <w:t xml:space="preserve">s ≤ 2.02 </w:t>
      </w:r>
      <w:proofErr w:type="spellStart"/>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s</w:t>
      </w:r>
      <w:proofErr w:type="spellEnd"/>
      <w:r w:rsidRPr="002C67F8">
        <w:rPr>
          <w:rFonts w:eastAsia="Arial" w:cs="Times New Roman"/>
          <w:color w:val="2E74B5" w:themeColor="accent5" w:themeShade="BF"/>
          <w:szCs w:val="24"/>
        </w:rPr>
        <w:t xml:space="preserve"> ≥ .06,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s</w:t>
      </w:r>
      <w:proofErr w:type="spellEnd"/>
      <w:r w:rsidRPr="002C67F8">
        <w:rPr>
          <w:rFonts w:eastAsia="Arial" w:cs="Times New Roman"/>
          <w:color w:val="2E74B5" w:themeColor="accent5" w:themeShade="BF"/>
          <w:szCs w:val="24"/>
        </w:rPr>
        <w:t xml:space="preserve"> ≥ .64.</w:t>
      </w:r>
    </w:p>
    <w:p w14:paraId="18E2BD81" w14:textId="08DEE065" w:rsidR="006F5A72" w:rsidRPr="002C67F8"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2C67F8">
        <w:rPr>
          <w:rFonts w:eastAsia="Arial" w:cs="Times New Roman"/>
          <w:color w:val="2E74B5" w:themeColor="accent5" w:themeShade="BF"/>
          <w:szCs w:val="24"/>
        </w:rPr>
        <w:tab/>
        <w:t xml:space="preserve">Overall, collapsed across encoding groups, mean JOL ratings did not differ between Experiments 1 and 2 for forward pairs (70.23 vs. 66.58, respectively),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1.67,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2.23,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.10, </w:t>
      </w:r>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 xml:space="preserve"> = .77, or backward pairs (69.26 vs. 66.55),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1.19,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2.29,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.24 </w:t>
      </w:r>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 xml:space="preserve"> = .87. For symmetrical pairs, JOLs in Experiment 1 were marginally greater than Experiment 2 (75.35 vs. 71.22),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1.81,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2.32,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.07 </w:t>
      </w:r>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 xml:space="preserve"> = .73, while JOLs for unelated pairs were marginally lower in Experiment 1 relative to Experiment 2 (33.69 vs. 39.01),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1.81, </w:t>
      </w:r>
      <w:r w:rsidRPr="002C67F8">
        <w:rPr>
          <w:rFonts w:eastAsia="Arial" w:cs="Times New Roman"/>
          <w:i/>
          <w:iCs/>
          <w:color w:val="2E74B5" w:themeColor="accent5" w:themeShade="BF"/>
          <w:szCs w:val="24"/>
        </w:rPr>
        <w:lastRenderedPageBreak/>
        <w:t>SEM</w:t>
      </w:r>
      <w:r w:rsidRPr="002C67F8">
        <w:rPr>
          <w:rFonts w:eastAsia="Arial" w:cs="Times New Roman"/>
          <w:color w:val="2E74B5" w:themeColor="accent5" w:themeShade="BF"/>
          <w:szCs w:val="24"/>
        </w:rPr>
        <w:t xml:space="preserve"> = 2.94,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.07 </w:t>
      </w:r>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 xml:space="preserve"> = .72. Thus, across pair types, having participants engage in the think-aloud procedure in Experiment 2 did not affect their JOL</w:t>
      </w:r>
      <w:r w:rsidR="002C67F8">
        <w:rPr>
          <w:rFonts w:eastAsia="Arial" w:cs="Times New Roman"/>
          <w:color w:val="2E74B5" w:themeColor="accent5" w:themeShade="BF"/>
          <w:szCs w:val="24"/>
        </w:rPr>
        <w:t>s</w:t>
      </w:r>
      <w:r w:rsidRPr="002C67F8">
        <w:rPr>
          <w:rFonts w:eastAsia="Arial" w:cs="Times New Roman"/>
          <w:color w:val="2E74B5" w:themeColor="accent5" w:themeShade="BF"/>
          <w:szCs w:val="24"/>
        </w:rPr>
        <w:t>.</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2C67F8">
        <w:rPr>
          <w:rFonts w:eastAsia="Arial" w:cs="Times New Roman"/>
          <w:color w:val="2E74B5" w:themeColor="accent5" w:themeShade="BF"/>
          <w:szCs w:val="24"/>
        </w:rPr>
        <w:tab/>
        <w:t xml:space="preserve">Regarding recall, no differences emerged between experiments for forward pairs (73.92 vs. 73.72),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 &lt; 1,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2.87,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.92 </w:t>
      </w:r>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 xml:space="preserve"> = .93, or symmetrical pairs (72.70 vs. 75.99),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1.22,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2.64,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.22 </w:t>
      </w:r>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 xml:space="preserve"> = .87. However, for backward pairs, recall was greater in Experiment 2 than Experiment 1 for backward pairs</w:t>
      </w:r>
      <w:r w:rsidR="00AA6A9C" w:rsidRPr="002C67F8">
        <w:rPr>
          <w:rFonts w:eastAsia="Arial" w:cs="Times New Roman"/>
          <w:color w:val="2E74B5" w:themeColor="accent5" w:themeShade="BF"/>
          <w:szCs w:val="24"/>
        </w:rPr>
        <w:t xml:space="preserve"> </w:t>
      </w:r>
      <w:r w:rsidRPr="002C67F8">
        <w:rPr>
          <w:rFonts w:eastAsia="Arial" w:cs="Times New Roman"/>
          <w:color w:val="2E74B5" w:themeColor="accent5" w:themeShade="BF"/>
          <w:szCs w:val="24"/>
        </w:rPr>
        <w:t xml:space="preserve">(49.27 vs. 59.16),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3.01,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3.33, </w:t>
      </w:r>
      <w:r w:rsidRPr="002C67F8">
        <w:rPr>
          <w:rFonts w:eastAsia="Arial" w:cs="Times New Roman"/>
          <w:i/>
          <w:iCs/>
          <w:color w:val="2E74B5" w:themeColor="accent5" w:themeShade="BF"/>
          <w:szCs w:val="24"/>
        </w:rPr>
        <w:t>d</w:t>
      </w:r>
      <w:r w:rsidRPr="002C67F8">
        <w:rPr>
          <w:rFonts w:eastAsia="Arial" w:cs="Times New Roman"/>
          <w:color w:val="2E74B5" w:themeColor="accent5" w:themeShade="BF"/>
          <w:szCs w:val="24"/>
        </w:rPr>
        <w:t xml:space="preserve"> = 0.44, and unrelated pairs (20.91 vs. 28.64),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2.27,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3.41, </w:t>
      </w:r>
      <w:r w:rsidRPr="002C67F8">
        <w:rPr>
          <w:rFonts w:eastAsia="Arial" w:cs="Times New Roman"/>
          <w:i/>
          <w:iCs/>
          <w:color w:val="2E74B5" w:themeColor="accent5" w:themeShade="BF"/>
          <w:szCs w:val="24"/>
        </w:rPr>
        <w:t>d</w:t>
      </w:r>
      <w:r w:rsidRPr="002C67F8">
        <w:rPr>
          <w:rFonts w:eastAsia="Arial" w:cs="Times New Roman"/>
          <w:color w:val="2E74B5" w:themeColor="accent5" w:themeShade="BF"/>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17E0A782" w14:textId="631A75D5" w:rsidR="006A31D6" w:rsidRPr="002C67F8"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color w:val="2E74B5" w:themeColor="accent5" w:themeShade="BF"/>
          <w:szCs w:val="24"/>
        </w:rPr>
        <w:tab/>
      </w:r>
      <w:r w:rsidR="00A72F7E">
        <w:rPr>
          <w:rFonts w:eastAsia="Arial" w:cs="Times New Roman"/>
          <w:color w:val="2E74B5" w:themeColor="accent5" w:themeShade="BF"/>
          <w:szCs w:val="24"/>
        </w:rPr>
        <w:t>Additionally, we examined experiment differences in calibration plots and resolution. First, cross-experimental differences in calibration plots were assessed via a 2</w:t>
      </w:r>
      <w:r w:rsidR="00E35A45">
        <w:rPr>
          <w:rFonts w:eastAsia="Arial" w:cs="Times New Roman"/>
          <w:color w:val="2E74B5" w:themeColor="accent5" w:themeShade="BF"/>
          <w:szCs w:val="24"/>
        </w:rPr>
        <w:t xml:space="preserve"> </w:t>
      </w:r>
      <w:r w:rsidR="00A72F7E">
        <w:rPr>
          <w:rFonts w:eastAsia="Arial" w:cs="Times New Roman"/>
          <w:color w:val="2E74B5" w:themeColor="accent5" w:themeShade="BF"/>
          <w:szCs w:val="24"/>
        </w:rPr>
        <w:t>(Experiment)</w:t>
      </w:r>
      <w:r w:rsidR="00A72F7E" w:rsidRPr="00A72F7E">
        <w:t xml:space="preserve"> </w:t>
      </w:r>
      <w:r w:rsidR="00A72F7E" w:rsidRPr="00A72F7E">
        <w:rPr>
          <w:rFonts w:eastAsia="Arial" w:cs="Times New Roman"/>
          <w:color w:val="2E74B5" w:themeColor="accent5" w:themeShade="BF"/>
          <w:szCs w:val="24"/>
        </w:rPr>
        <w:t>×</w:t>
      </w:r>
      <w:r w:rsidR="00A72F7E">
        <w:rPr>
          <w:rFonts w:eastAsia="Arial" w:cs="Times New Roman"/>
          <w:color w:val="2E74B5" w:themeColor="accent5" w:themeShade="BF"/>
          <w:szCs w:val="24"/>
        </w:rPr>
        <w:t xml:space="preserve"> </w:t>
      </w:r>
      <w:r w:rsidR="00A72F7E" w:rsidRPr="008541DE">
        <w:rPr>
          <w:rFonts w:eastAsia="Arial" w:cs="Times New Roman"/>
          <w:color w:val="4472C4" w:themeColor="accent1"/>
          <w:szCs w:val="24"/>
        </w:rPr>
        <w:t>3 (Encoding Group: Item-Specific vs. Relational vs</w:t>
      </w:r>
      <w:r w:rsidR="00A72F7E">
        <w:rPr>
          <w:rFonts w:eastAsia="Arial" w:cs="Times New Roman"/>
          <w:color w:val="4472C4" w:themeColor="accent1"/>
          <w:szCs w:val="24"/>
        </w:rPr>
        <w:t>.</w:t>
      </w:r>
      <w:r w:rsidR="00A72F7E" w:rsidRPr="008541DE">
        <w:rPr>
          <w:rFonts w:eastAsia="Arial" w:cs="Times New Roman"/>
          <w:color w:val="4472C4" w:themeColor="accent1"/>
          <w:szCs w:val="24"/>
        </w:rPr>
        <w:t xml:space="preserve"> Read) × 4 (Pair Type: Forward vs. Backward vs. Symmetrical vs. Unrelated) × 11 (JOL Increment) mixed ANOVA</w:t>
      </w:r>
      <w:r w:rsidR="00E35A45">
        <w:rPr>
          <w:rFonts w:eastAsia="Arial" w:cs="Times New Roman"/>
          <w:color w:val="4472C4" w:themeColor="accent1"/>
          <w:szCs w:val="24"/>
        </w:rPr>
        <w:t xml:space="preserve">. Overall, </w:t>
      </w:r>
      <w:r w:rsidR="007125F0">
        <w:rPr>
          <w:rFonts w:eastAsia="Arial" w:cs="Times New Roman"/>
          <w:color w:val="4472C4" w:themeColor="accent1"/>
          <w:szCs w:val="24"/>
        </w:rPr>
        <w:t xml:space="preserve">this analysis yielded a significant </w:t>
      </w:r>
      <w:r w:rsidR="00E35A45">
        <w:rPr>
          <w:rFonts w:eastAsia="Arial" w:cs="Times New Roman"/>
          <w:color w:val="4472C4" w:themeColor="accent1"/>
          <w:szCs w:val="24"/>
        </w:rPr>
        <w:t xml:space="preserve">Experiment </w:t>
      </w:r>
      <w:r w:rsidR="007125F0" w:rsidRPr="007125F0">
        <w:rPr>
          <w:rFonts w:eastAsia="Arial" w:cs="Times New Roman"/>
          <w:color w:val="4472C4" w:themeColor="accent1"/>
          <w:szCs w:val="24"/>
        </w:rPr>
        <w:t>×</w:t>
      </w:r>
      <w:r w:rsidR="007125F0">
        <w:rPr>
          <w:rFonts w:eastAsia="Arial" w:cs="Times New Roman"/>
          <w:color w:val="4472C4" w:themeColor="accent1"/>
          <w:szCs w:val="24"/>
        </w:rPr>
        <w:t xml:space="preserve"> </w:t>
      </w:r>
      <w:r w:rsidR="00E35A45">
        <w:rPr>
          <w:rFonts w:eastAsia="Arial" w:cs="Times New Roman"/>
          <w:color w:val="4472C4" w:themeColor="accent1"/>
          <w:szCs w:val="24"/>
        </w:rPr>
        <w:t>Direction</w:t>
      </w:r>
      <w:r w:rsidR="007125F0">
        <w:rPr>
          <w:rFonts w:eastAsia="Arial" w:cs="Times New Roman"/>
          <w:color w:val="4472C4" w:themeColor="accent1"/>
          <w:szCs w:val="24"/>
        </w:rPr>
        <w:t xml:space="preserve"> interaction</w:t>
      </w:r>
      <w:r w:rsidR="00E35A45">
        <w:rPr>
          <w:rFonts w:eastAsia="Arial" w:cs="Times New Roman"/>
          <w:color w:val="4472C4" w:themeColor="accent1"/>
          <w:szCs w:val="24"/>
        </w:rPr>
        <w:t xml:space="preserve">, </w:t>
      </w:r>
      <w:r w:rsidR="00F95D08" w:rsidRPr="005D2858">
        <w:rPr>
          <w:rFonts w:eastAsia="Arial" w:cs="Times New Roman"/>
          <w:i/>
          <w:iCs/>
          <w:color w:val="2E74B5" w:themeColor="accent5" w:themeShade="BF"/>
          <w:szCs w:val="24"/>
        </w:rPr>
        <w:t>F</w:t>
      </w:r>
      <w:r w:rsidR="00F95D08" w:rsidRPr="005D2858">
        <w:rPr>
          <w:rFonts w:eastAsia="Arial" w:cs="Times New Roman"/>
          <w:color w:val="2E74B5" w:themeColor="accent5" w:themeShade="BF"/>
          <w:szCs w:val="24"/>
        </w:rPr>
        <w:t>(</w:t>
      </w:r>
      <w:r w:rsidR="0099201E">
        <w:rPr>
          <w:rFonts w:eastAsia="Arial" w:cs="Times New Roman"/>
          <w:color w:val="2E74B5" w:themeColor="accent5" w:themeShade="BF"/>
          <w:szCs w:val="24"/>
        </w:rPr>
        <w:t>3</w:t>
      </w:r>
      <w:r w:rsidR="00F95D08" w:rsidRPr="005D2858">
        <w:rPr>
          <w:rFonts w:eastAsia="Arial" w:cs="Times New Roman"/>
          <w:color w:val="2E74B5" w:themeColor="accent5" w:themeShade="BF"/>
          <w:szCs w:val="24"/>
        </w:rPr>
        <w:t xml:space="preserve">, </w:t>
      </w:r>
      <w:r w:rsidR="0099201E">
        <w:rPr>
          <w:rFonts w:eastAsia="Arial" w:cs="Times New Roman"/>
          <w:color w:val="2E74B5" w:themeColor="accent5" w:themeShade="BF"/>
          <w:szCs w:val="24"/>
        </w:rPr>
        <w:t>546</w:t>
      </w:r>
      <w:r w:rsidR="00F95D08" w:rsidRPr="005D2858">
        <w:rPr>
          <w:rFonts w:eastAsia="Arial" w:cs="Times New Roman"/>
          <w:color w:val="2E74B5" w:themeColor="accent5" w:themeShade="BF"/>
          <w:szCs w:val="24"/>
        </w:rPr>
        <w:t xml:space="preserve">) = </w:t>
      </w:r>
      <w:r w:rsidR="0099201E">
        <w:rPr>
          <w:rFonts w:eastAsia="Arial" w:cs="Times New Roman"/>
          <w:color w:val="2E74B5" w:themeColor="accent5" w:themeShade="BF"/>
          <w:szCs w:val="24"/>
        </w:rPr>
        <w:t>12.57</w:t>
      </w:r>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MSE</w:t>
      </w:r>
      <w:r w:rsidR="00F95D08" w:rsidRPr="005D2858">
        <w:rPr>
          <w:rFonts w:eastAsia="Arial" w:cs="Times New Roman"/>
          <w:color w:val="2E74B5" w:themeColor="accent5" w:themeShade="BF"/>
          <w:szCs w:val="24"/>
        </w:rPr>
        <w:t xml:space="preserve"> = </w:t>
      </w:r>
      <w:r w:rsidR="0099201E">
        <w:rPr>
          <w:rFonts w:eastAsia="Arial" w:cs="Times New Roman"/>
          <w:color w:val="2E74B5" w:themeColor="accent5" w:themeShade="BF"/>
          <w:szCs w:val="24"/>
        </w:rPr>
        <w:t>1640.37</w:t>
      </w:r>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η</w:t>
      </w:r>
      <w:r w:rsidR="00F95D08" w:rsidRPr="005D2858">
        <w:rPr>
          <w:rFonts w:eastAsia="Arial" w:cs="Times New Roman"/>
          <w:color w:val="2E74B5" w:themeColor="accent5" w:themeShade="BF"/>
          <w:szCs w:val="24"/>
          <w:vertAlign w:val="subscript"/>
        </w:rPr>
        <w:t>p</w:t>
      </w:r>
      <w:r w:rsidR="00F95D08" w:rsidRPr="005D2858">
        <w:rPr>
          <w:rFonts w:eastAsia="Arial" w:cs="Times New Roman"/>
          <w:color w:val="2E74B5" w:themeColor="accent5" w:themeShade="BF"/>
          <w:szCs w:val="24"/>
          <w:vertAlign w:val="superscript"/>
        </w:rPr>
        <w:t>2</w:t>
      </w:r>
      <w:r w:rsidR="00F95D08" w:rsidRPr="005D2858">
        <w:rPr>
          <w:rFonts w:eastAsia="Arial" w:cs="Times New Roman"/>
          <w:color w:val="2E74B5" w:themeColor="accent5" w:themeShade="BF"/>
          <w:szCs w:val="24"/>
        </w:rPr>
        <w:t xml:space="preserve"> = .</w:t>
      </w:r>
      <w:r w:rsidR="0099201E">
        <w:rPr>
          <w:rFonts w:eastAsia="Arial" w:cs="Times New Roman"/>
          <w:color w:val="2E74B5" w:themeColor="accent5" w:themeShade="BF"/>
          <w:szCs w:val="24"/>
        </w:rPr>
        <w:t>12</w:t>
      </w:r>
      <w:r w:rsidR="00E35A45">
        <w:rPr>
          <w:rFonts w:eastAsia="Arial" w:cs="Times New Roman"/>
          <w:color w:val="4472C4" w:themeColor="accent1"/>
          <w:szCs w:val="24"/>
        </w:rPr>
        <w:t xml:space="preserve">. However, all other interactions, including the four-way interaction, </w:t>
      </w:r>
      <w:r w:rsidR="007125F0">
        <w:rPr>
          <w:rFonts w:eastAsia="Arial" w:cs="Times New Roman"/>
          <w:color w:val="4472C4" w:themeColor="accent1"/>
          <w:szCs w:val="24"/>
        </w:rPr>
        <w:t>failed to reach significance</w:t>
      </w:r>
      <w:r w:rsidR="00E35A45">
        <w:rPr>
          <w:rFonts w:eastAsia="Arial" w:cs="Times New Roman"/>
          <w:color w:val="4472C4" w:themeColor="accent1"/>
          <w:szCs w:val="24"/>
        </w:rPr>
        <w:t xml:space="preserve">, </w:t>
      </w:r>
      <w:r w:rsidR="00E35A45" w:rsidRPr="002C67F8">
        <w:rPr>
          <w:rFonts w:eastAsia="Arial" w:cs="Times New Roman"/>
          <w:i/>
          <w:iCs/>
          <w:color w:val="4472C4" w:themeColor="accent1"/>
          <w:szCs w:val="24"/>
        </w:rPr>
        <w:t>F</w:t>
      </w:r>
      <w:r w:rsidR="00E35A45">
        <w:rPr>
          <w:rFonts w:eastAsia="Arial" w:cs="Times New Roman"/>
          <w:color w:val="4472C4" w:themeColor="accent1"/>
          <w:szCs w:val="24"/>
        </w:rPr>
        <w:t xml:space="preserve">s ≤ </w:t>
      </w:r>
      <w:r w:rsidR="007125F0">
        <w:rPr>
          <w:rFonts w:eastAsia="Arial" w:cs="Times New Roman"/>
          <w:color w:val="4472C4" w:themeColor="accent1"/>
          <w:szCs w:val="24"/>
        </w:rPr>
        <w:t>1.69</w:t>
      </w:r>
      <w:r w:rsidR="00E35A45">
        <w:rPr>
          <w:rFonts w:eastAsia="Arial" w:cs="Times New Roman"/>
          <w:color w:val="4472C4" w:themeColor="accent1"/>
          <w:szCs w:val="24"/>
        </w:rPr>
        <w:t xml:space="preserve">, </w:t>
      </w:r>
      <w:proofErr w:type="spellStart"/>
      <w:r w:rsidR="00E35A45" w:rsidRPr="002C67F8">
        <w:rPr>
          <w:rFonts w:eastAsia="Arial" w:cs="Times New Roman"/>
          <w:i/>
          <w:iCs/>
          <w:color w:val="4472C4" w:themeColor="accent1"/>
          <w:szCs w:val="24"/>
        </w:rPr>
        <w:t>p</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 </w:t>
      </w:r>
      <w:r w:rsidR="007125F0">
        <w:rPr>
          <w:rFonts w:eastAsia="Arial" w:cs="Times New Roman"/>
          <w:color w:val="4472C4" w:themeColor="accent1"/>
          <w:szCs w:val="24"/>
        </w:rPr>
        <w:t>.08</w:t>
      </w:r>
      <w:r w:rsidR="00E35A45">
        <w:rPr>
          <w:rFonts w:eastAsia="Arial" w:cs="Times New Roman"/>
          <w:color w:val="4472C4" w:themeColor="accent1"/>
          <w:szCs w:val="24"/>
        </w:rPr>
        <w:t xml:space="preserve">, </w:t>
      </w:r>
      <w:proofErr w:type="spellStart"/>
      <w:r w:rsidR="00E35A45" w:rsidRPr="002C67F8">
        <w:rPr>
          <w:rFonts w:eastAsia="Arial" w:cs="Times New Roman"/>
          <w:i/>
          <w:iCs/>
          <w:color w:val="4472C4" w:themeColor="accent1"/>
          <w:szCs w:val="24"/>
        </w:rPr>
        <w:t>p</w:t>
      </w:r>
      <w:r w:rsidR="00E35A45" w:rsidRPr="002C67F8">
        <w:rPr>
          <w:rFonts w:eastAsia="Arial" w:cs="Times New Roman"/>
          <w:caps/>
          <w:color w:val="4472C4" w:themeColor="accent1"/>
          <w:szCs w:val="24"/>
          <w:vertAlign w:val="subscript"/>
        </w:rPr>
        <w:t>bic</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w:t>
      </w:r>
      <w:r w:rsidR="000528E2">
        <w:rPr>
          <w:rFonts w:eastAsia="Arial" w:cs="Times New Roman"/>
          <w:color w:val="4472C4" w:themeColor="accent1"/>
          <w:szCs w:val="24"/>
        </w:rPr>
        <w:t>&gt;</w:t>
      </w:r>
      <w:r w:rsidR="00E35A45">
        <w:rPr>
          <w:rFonts w:eastAsia="Arial" w:cs="Times New Roman"/>
          <w:color w:val="4472C4" w:themeColor="accent1"/>
          <w:szCs w:val="24"/>
        </w:rPr>
        <w:t xml:space="preserve"> </w:t>
      </w:r>
      <w:r w:rsidR="000528E2">
        <w:rPr>
          <w:rFonts w:eastAsia="Arial" w:cs="Times New Roman"/>
          <w:color w:val="4472C4" w:themeColor="accent1"/>
          <w:szCs w:val="24"/>
        </w:rPr>
        <w:t>.99</w:t>
      </w:r>
      <w:r w:rsidR="00E35A45">
        <w:rPr>
          <w:rFonts w:eastAsia="Arial" w:cs="Times New Roman"/>
          <w:color w:val="4472C4" w:themeColor="accent1"/>
          <w:szCs w:val="24"/>
        </w:rPr>
        <w:t xml:space="preserve">. Regarding resolution, </w:t>
      </w:r>
      <w:r w:rsidR="000528E2">
        <w:rPr>
          <w:rFonts w:eastAsia="Arial" w:cs="Times New Roman"/>
          <w:color w:val="4472C4" w:themeColor="accent1"/>
          <w:szCs w:val="24"/>
        </w:rPr>
        <w:t xml:space="preserve">a 2 (Experiment) </w:t>
      </w:r>
      <w:r w:rsidR="000528E2" w:rsidRPr="00EE09EE">
        <w:rPr>
          <w:rFonts w:eastAsia="Arial" w:cs="Times New Roman"/>
          <w:color w:val="4472C4" w:themeColor="accent1"/>
          <w:szCs w:val="24"/>
        </w:rPr>
        <w:t xml:space="preserve">3 </w:t>
      </w:r>
      <w:r w:rsidR="000528E2" w:rsidRPr="000528E2">
        <w:rPr>
          <w:rFonts w:eastAsia="Arial" w:cs="Times New Roman"/>
          <w:color w:val="4472C4" w:themeColor="accent1"/>
          <w:szCs w:val="24"/>
        </w:rPr>
        <w:t>×</w:t>
      </w:r>
      <w:r w:rsidR="000528E2">
        <w:rPr>
          <w:rFonts w:eastAsia="Arial" w:cs="Times New Roman"/>
          <w:color w:val="4472C4" w:themeColor="accent1"/>
          <w:szCs w:val="24"/>
        </w:rPr>
        <w:t xml:space="preserve"> </w:t>
      </w:r>
      <w:r w:rsidR="000528E2" w:rsidRPr="00EE09EE">
        <w:rPr>
          <w:rFonts w:eastAsia="Arial" w:cs="Times New Roman"/>
          <w:color w:val="4472C4" w:themeColor="accent1"/>
          <w:szCs w:val="24"/>
        </w:rPr>
        <w:t>(Encoding Group: Item-Specific vs. Relational vs Read) × 4 (Pair Type: Forward vs. Backward vs. Symmetrical vs. Unrelated) mixed ANOVA</w:t>
      </w:r>
      <w:r w:rsidR="000528E2">
        <w:rPr>
          <w:rFonts w:eastAsia="Arial" w:cs="Times New Roman"/>
          <w:color w:val="4472C4" w:themeColor="accent1"/>
          <w:szCs w:val="24"/>
        </w:rPr>
        <w:t xml:space="preserve"> confirmed that mean </w:t>
      </w:r>
      <w:r w:rsidR="000528E2" w:rsidRPr="002C67F8">
        <w:rPr>
          <w:rFonts w:eastAsia="Arial" w:cs="Times New Roman"/>
          <w:i/>
          <w:iCs/>
          <w:color w:val="4472C4" w:themeColor="accent1"/>
          <w:szCs w:val="24"/>
        </w:rPr>
        <w:t>G</w:t>
      </w:r>
      <w:r w:rsidR="000528E2">
        <w:rPr>
          <w:rFonts w:eastAsia="Arial" w:cs="Times New Roman"/>
          <w:color w:val="4472C4" w:themeColor="accent1"/>
          <w:szCs w:val="24"/>
        </w:rPr>
        <w:t xml:space="preserve"> did not differ as a function of experiment, as no interactions with Experiment were detected, </w:t>
      </w:r>
      <w:r w:rsidR="000528E2" w:rsidRPr="005D2858">
        <w:rPr>
          <w:rFonts w:eastAsia="Arial" w:cs="Times New Roman"/>
          <w:i/>
          <w:iCs/>
          <w:color w:val="4472C4" w:themeColor="accent1"/>
          <w:szCs w:val="24"/>
        </w:rPr>
        <w:t>F</w:t>
      </w:r>
      <w:r w:rsidR="000528E2">
        <w:rPr>
          <w:rFonts w:eastAsia="Arial" w:cs="Times New Roman"/>
          <w:color w:val="4472C4" w:themeColor="accent1"/>
          <w:szCs w:val="24"/>
        </w:rPr>
        <w:t xml:space="preserve">s ≤ 1.72, </w:t>
      </w:r>
      <w:proofErr w:type="spellStart"/>
      <w:r w:rsidR="000528E2" w:rsidRPr="005D2858">
        <w:rPr>
          <w:rFonts w:eastAsia="Arial" w:cs="Times New Roman"/>
          <w:i/>
          <w:iCs/>
          <w:color w:val="4472C4" w:themeColor="accent1"/>
          <w:szCs w:val="24"/>
        </w:rPr>
        <w:t>p</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 .16, </w:t>
      </w:r>
      <w:proofErr w:type="spellStart"/>
      <w:r w:rsidR="000528E2" w:rsidRPr="005D2858">
        <w:rPr>
          <w:rFonts w:eastAsia="Arial" w:cs="Times New Roman"/>
          <w:i/>
          <w:iCs/>
          <w:color w:val="4472C4" w:themeColor="accent1"/>
          <w:szCs w:val="24"/>
        </w:rPr>
        <w:lastRenderedPageBreak/>
        <w:t>p</w:t>
      </w:r>
      <w:r w:rsidR="000528E2" w:rsidRPr="005D2858">
        <w:rPr>
          <w:rFonts w:eastAsia="Arial" w:cs="Times New Roman"/>
          <w:caps/>
          <w:color w:val="4472C4" w:themeColor="accent1"/>
          <w:szCs w:val="24"/>
          <w:vertAlign w:val="subscript"/>
        </w:rPr>
        <w:t>bic</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&gt; .</w:t>
      </w:r>
      <w:r w:rsidR="001D4ADF">
        <w:rPr>
          <w:rFonts w:eastAsia="Arial" w:cs="Times New Roman"/>
          <w:color w:val="4472C4" w:themeColor="accent1"/>
          <w:szCs w:val="24"/>
        </w:rPr>
        <w:t>99</w:t>
      </w:r>
      <w:r w:rsidR="000528E2">
        <w:rPr>
          <w:rFonts w:eastAsia="Arial" w:cs="Times New Roman"/>
          <w:color w:val="4472C4" w:themeColor="accent1"/>
          <w:szCs w:val="24"/>
        </w:rPr>
        <w:t>. Thus, changes in calibration and resolution across pair types/encoding groups did not differ between experiments.</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27426A42" w14:textId="3CF50188" w:rsidR="0094421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r w:rsidR="00944214">
        <w:rPr>
          <w:rFonts w:eastAsia="Arial" w:cs="Times New Roman"/>
          <w:color w:val="2E74B5" w:themeColor="accent5" w:themeShade="BF"/>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p>
    <w:p w14:paraId="533866A7" w14:textId="319ECA73" w:rsidR="00944728"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372DE" w:rsidRPr="006A31D6">
        <w:rPr>
          <w:rFonts w:eastAsia="Arial" w:cs="Times New Roman"/>
          <w:color w:val="2E74B5" w:themeColor="accent5" w:themeShade="BF"/>
          <w:szCs w:val="24"/>
        </w:rPr>
        <w:t xml:space="preserve">Finally, </w:t>
      </w:r>
      <w:r>
        <w:rPr>
          <w:rFonts w:eastAsia="Arial" w:cs="Times New Roman"/>
          <w:color w:val="2E74B5" w:themeColor="accent5" w:themeShade="BF"/>
          <w:szCs w:val="24"/>
        </w:rPr>
        <w:t xml:space="preserve">we included a set of </w:t>
      </w:r>
      <w:r w:rsidR="00F372DE" w:rsidRPr="006A31D6">
        <w:rPr>
          <w:rFonts w:eastAsia="Arial" w:cs="Times New Roman"/>
          <w:color w:val="2E74B5" w:themeColor="accent5" w:themeShade="BF"/>
          <w:szCs w:val="24"/>
        </w:rPr>
        <w:t>cross-experimental analyses</w:t>
      </w:r>
      <w:r>
        <w:rPr>
          <w:rFonts w:eastAsia="Arial" w:cs="Times New Roman"/>
          <w:color w:val="2E74B5" w:themeColor="accent5" w:themeShade="BF"/>
          <w:szCs w:val="24"/>
        </w:rPr>
        <w:t xml:space="preserve"> </w:t>
      </w:r>
      <w:r w:rsidR="007C0336">
        <w:rPr>
          <w:rFonts w:eastAsia="Arial" w:cs="Times New Roman"/>
          <w:color w:val="2E74B5" w:themeColor="accent5" w:themeShade="BF"/>
          <w:szCs w:val="24"/>
        </w:rPr>
        <w:t>which assessed</w:t>
      </w:r>
      <w:r>
        <w:rPr>
          <w:rFonts w:eastAsia="Arial" w:cs="Times New Roman"/>
          <w:color w:val="2E74B5" w:themeColor="accent5" w:themeShade="BF"/>
          <w:szCs w:val="24"/>
        </w:rPr>
        <w:t xml:space="preserve"> whether JOLs and/or cued-recall rates differed between experiments, </w:t>
      </w:r>
      <w:r w:rsidR="007C0336">
        <w:rPr>
          <w:rFonts w:eastAsia="Arial" w:cs="Times New Roman"/>
          <w:color w:val="2E74B5" w:themeColor="accent5" w:themeShade="BF"/>
          <w:szCs w:val="24"/>
        </w:rPr>
        <w:t>as</w:t>
      </w:r>
      <w:r>
        <w:rPr>
          <w:rFonts w:eastAsia="Arial" w:cs="Times New Roman"/>
          <w:color w:val="2E74B5" w:themeColor="accent5" w:themeShade="BF"/>
          <w:szCs w:val="24"/>
        </w:rPr>
        <w:t xml:space="preserve"> the think-aloud procedure may have influenced </w:t>
      </w:r>
      <w:r w:rsidR="007C0336">
        <w:rPr>
          <w:rFonts w:eastAsia="Arial" w:cs="Times New Roman"/>
          <w:color w:val="2E74B5" w:themeColor="accent5" w:themeShade="BF"/>
          <w:szCs w:val="24"/>
        </w:rPr>
        <w:t xml:space="preserve">either </w:t>
      </w:r>
      <w:r>
        <w:rPr>
          <w:rFonts w:eastAsia="Arial" w:cs="Times New Roman"/>
          <w:color w:val="2E74B5" w:themeColor="accent5" w:themeShade="BF"/>
          <w:szCs w:val="24"/>
        </w:rPr>
        <w:t xml:space="preserve">how participants encoded items </w:t>
      </w:r>
      <w:r w:rsidR="007C0336">
        <w:rPr>
          <w:rFonts w:eastAsia="Arial" w:cs="Times New Roman"/>
          <w:color w:val="2E74B5" w:themeColor="accent5" w:themeShade="BF"/>
          <w:szCs w:val="24"/>
        </w:rPr>
        <w:t xml:space="preserve">or processed </w:t>
      </w:r>
      <w:r>
        <w:rPr>
          <w:rFonts w:eastAsia="Arial" w:cs="Times New Roman"/>
          <w:color w:val="2E74B5" w:themeColor="accent5" w:themeShade="BF"/>
          <w:szCs w:val="24"/>
        </w:rPr>
        <w:t xml:space="preserve">cues used to inform their </w:t>
      </w:r>
      <w:r>
        <w:rPr>
          <w:rFonts w:eastAsia="Arial" w:cs="Times New Roman"/>
          <w:color w:val="2E74B5" w:themeColor="accent5" w:themeShade="BF"/>
          <w:szCs w:val="24"/>
        </w:rPr>
        <w:lastRenderedPageBreak/>
        <w:t>judgments. Overall, these analyses</w:t>
      </w:r>
      <w:r w:rsidR="00F372DE" w:rsidRPr="006A31D6">
        <w:rPr>
          <w:rFonts w:eastAsia="Arial" w:cs="Times New Roman"/>
          <w:color w:val="2E74B5" w:themeColor="accent5" w:themeShade="BF"/>
          <w:szCs w:val="24"/>
        </w:rPr>
        <w:t xml:space="preserve"> revealed </w:t>
      </w:r>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the think-aloud procedure</w:t>
      </w:r>
      <w:r w:rsidR="009626E4">
        <w:rPr>
          <w:rFonts w:eastAsia="Arial" w:cs="Times New Roman"/>
          <w:color w:val="2E74B5" w:themeColor="accent5" w:themeShade="BF"/>
          <w:szCs w:val="24"/>
        </w:rPr>
        <w:t xml:space="preserve"> improved</w:t>
      </w:r>
      <w:r w:rsidR="006A31D6">
        <w:rPr>
          <w:rFonts w:eastAsia="Arial" w:cs="Times New Roman"/>
          <w:color w:val="2E74B5" w:themeColor="accent5" w:themeShade="BF"/>
          <w:szCs w:val="24"/>
        </w:rPr>
        <w:t xml:space="preserve"> recall relative to Experiment 1, </w:t>
      </w:r>
      <w:r w:rsidR="009626E4">
        <w:rPr>
          <w:rFonts w:eastAsia="Arial" w:cs="Times New Roman"/>
          <w:color w:val="2E74B5" w:themeColor="accent5" w:themeShade="BF"/>
          <w:szCs w:val="24"/>
        </w:rPr>
        <w:t>these benefits</w:t>
      </w:r>
      <w:r w:rsidR="006A31D6">
        <w:rPr>
          <w:rFonts w:eastAsia="Arial" w:cs="Times New Roman"/>
          <w:color w:val="2E74B5" w:themeColor="accent5" w:themeShade="BF"/>
          <w:szCs w:val="24"/>
        </w:rPr>
        <w:t xml:space="preserve"> w</w:t>
      </w:r>
      <w:r w:rsidR="009626E4">
        <w:rPr>
          <w:rFonts w:eastAsia="Arial" w:cs="Times New Roman"/>
          <w:color w:val="2E74B5" w:themeColor="accent5" w:themeShade="BF"/>
          <w:szCs w:val="24"/>
        </w:rPr>
        <w:t>ere</w:t>
      </w:r>
      <w:r w:rsidR="006A31D6">
        <w:rPr>
          <w:rFonts w:eastAsia="Arial" w:cs="Times New Roman"/>
          <w:color w:val="2E74B5" w:themeColor="accent5" w:themeShade="BF"/>
          <w:szCs w:val="24"/>
        </w:rPr>
        <w:t xml:space="preserve"> moderated by pair type, such that only the more difficult backward and unrelated pairs showed this improvement. </w:t>
      </w:r>
      <w:r>
        <w:rPr>
          <w:rFonts w:eastAsia="Arial" w:cs="Times New Roman"/>
          <w:color w:val="2E74B5" w:themeColor="accent5" w:themeShade="BF"/>
          <w:szCs w:val="24"/>
        </w:rPr>
        <w:t>Furthermore</w:t>
      </w:r>
      <w:r w:rsidR="006A31D6">
        <w:rPr>
          <w:rFonts w:eastAsia="Arial" w:cs="Times New Roman"/>
          <w:color w:val="2E74B5" w:themeColor="accent5" w:themeShade="BF"/>
          <w:szCs w:val="24"/>
        </w:rPr>
        <w:t>, the magnitude of JOLs did not differ between experiments.</w:t>
      </w:r>
      <w:r>
        <w:rPr>
          <w:rFonts w:eastAsia="Arial" w:cs="Times New Roman"/>
          <w:color w:val="2E74B5" w:themeColor="accent5" w:themeShade="BF"/>
          <w:szCs w:val="24"/>
        </w:rPr>
        <w:t xml:space="preserve"> Analysis of calibration plots and mean </w:t>
      </w:r>
      <w:r w:rsidRPr="002C67F8">
        <w:rPr>
          <w:rFonts w:eastAsia="Arial" w:cs="Times New Roman"/>
          <w:i/>
          <w:iCs/>
          <w:color w:val="2E74B5" w:themeColor="accent5" w:themeShade="BF"/>
          <w:szCs w:val="24"/>
        </w:rPr>
        <w:t>G</w:t>
      </w:r>
      <w:r>
        <w:rPr>
          <w:rFonts w:eastAsia="Arial" w:cs="Times New Roman"/>
          <w:color w:val="2E74B5" w:themeColor="accent5" w:themeShade="BF"/>
          <w:szCs w:val="24"/>
        </w:rPr>
        <w:t xml:space="preserve"> similarly revealed that calibration and resolution patterns were consistent </w:t>
      </w:r>
      <w:r w:rsidR="002C67F8">
        <w:rPr>
          <w:rFonts w:eastAsia="Arial" w:cs="Times New Roman"/>
          <w:color w:val="2E74B5" w:themeColor="accent5" w:themeShade="BF"/>
          <w:szCs w:val="24"/>
        </w:rPr>
        <w:t>between</w:t>
      </w:r>
      <w:r>
        <w:rPr>
          <w:rFonts w:eastAsia="Arial" w:cs="Times New Roman"/>
          <w:color w:val="2E74B5" w:themeColor="accent5" w:themeShade="BF"/>
          <w:szCs w:val="24"/>
        </w:rPr>
        <w:t xml:space="preserve"> experiments.</w:t>
      </w:r>
      <w:r w:rsidR="006A31D6">
        <w:rPr>
          <w:rFonts w:eastAsia="Arial" w:cs="Times New Roman"/>
          <w:color w:val="2E74B5" w:themeColor="accent5" w:themeShade="BF"/>
          <w:szCs w:val="24"/>
        </w:rPr>
        <w:t xml:space="preserve"> </w:t>
      </w:r>
      <w:r>
        <w:rPr>
          <w:rFonts w:eastAsia="Arial" w:cs="Times New Roman"/>
          <w:color w:val="2E74B5" w:themeColor="accent5" w:themeShade="BF"/>
          <w:szCs w:val="24"/>
        </w:rPr>
        <w:t xml:space="preserve">Thus, our inclusion of the think-aloud procedure in Experiment </w:t>
      </w:r>
      <w:r w:rsidR="009626E4">
        <w:rPr>
          <w:rFonts w:eastAsia="Arial" w:cs="Times New Roman"/>
          <w:color w:val="2E74B5" w:themeColor="accent5" w:themeShade="BF"/>
          <w:szCs w:val="24"/>
        </w:rPr>
        <w:t>2 successfully</w:t>
      </w:r>
      <w:r>
        <w:rPr>
          <w:rFonts w:eastAsia="Arial" w:cs="Times New Roman"/>
          <w:color w:val="2E74B5" w:themeColor="accent5" w:themeShade="BF"/>
          <w:szCs w:val="24"/>
        </w:rPr>
        <w:t xml:space="preserve"> ensured that participants remained attentive to their respective encoding tasks</w:t>
      </w:r>
      <w:r w:rsidR="009626E4">
        <w:rPr>
          <w:rFonts w:eastAsia="Arial" w:cs="Times New Roman"/>
          <w:color w:val="2E74B5" w:themeColor="accent5" w:themeShade="BF"/>
          <w:szCs w:val="24"/>
        </w:rPr>
        <w:t xml:space="preserve"> without influencing the magnitude of their JOLs.</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w:t>
      </w:r>
      <w:r w:rsidR="00630712">
        <w:lastRenderedPageBreak/>
        <w:t>&amp;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69AC1E8A"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w:t>
      </w:r>
      <w:r w:rsidR="00AD767D" w:rsidRPr="00AD767D">
        <w:rPr>
          <w:color w:val="4472C4" w:themeColor="accent1"/>
        </w:rPr>
        <w:lastRenderedPageBreak/>
        <w:t xml:space="preserve">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w:t>
      </w:r>
      <w:r w:rsidR="005D6B11">
        <w:rPr>
          <w:color w:val="4472C4" w:themeColor="accent1"/>
        </w:rPr>
        <w:t>required to complete</w:t>
      </w:r>
      <w:r w:rsidR="00F06E8F">
        <w:rPr>
          <w:color w:val="4472C4" w:themeColor="accent1"/>
        </w:rPr>
        <w:t xml:space="preserve">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8"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 xml:space="preserve">predict their own recall for </w:t>
      </w:r>
      <w:r w:rsidR="00A04F94" w:rsidRPr="00A04F94">
        <w:lastRenderedPageBreak/>
        <w:t>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w:t>
      </w:r>
      <w:r w:rsidR="003E5834">
        <w:rPr>
          <w:rFonts w:eastAsia="Arial" w:cs="Times New Roman"/>
          <w:szCs w:val="24"/>
        </w:rPr>
        <w:lastRenderedPageBreak/>
        <w:t xml:space="preserve">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w:t>
      </w:r>
      <w:r w:rsidR="00222416">
        <w:rPr>
          <w:rFonts w:eastAsia="Arial" w:cs="Times New Roman"/>
          <w:szCs w:val="24"/>
        </w:rPr>
        <w:lastRenderedPageBreak/>
        <w:t xml:space="preserve">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r w:rsidR="00960293">
        <w:rPr>
          <w:rFonts w:eastAsia="Arial" w:cs="Times New Roman"/>
          <w:szCs w:val="24"/>
        </w:rPr>
        <w:t xml:space="preserve">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lastRenderedPageBreak/>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9" w:name="_Hlk11864411"/>
      <w:proofErr w:type="spellStart"/>
      <w:r>
        <w:rPr>
          <w:rFonts w:eastAsia="Arial" w:cs="Times New Roman"/>
          <w:szCs w:val="24"/>
        </w:rPr>
        <w:t>Hanczakowski</w:t>
      </w:r>
      <w:proofErr w:type="spellEnd"/>
      <w:r>
        <w:rPr>
          <w:rFonts w:eastAsia="Arial" w:cs="Times New Roman"/>
          <w:szCs w:val="24"/>
        </w:rPr>
        <w:t xml:space="preserve">, M., Zawadzka, K., Pasek,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9"/>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proofErr w:type="spellStart"/>
      <w:r w:rsidRPr="00A936E5">
        <w:rPr>
          <w:rFonts w:eastAsia="Arial" w:cs="Times New Roman"/>
          <w:color w:val="4472C4" w:themeColor="accent1"/>
          <w:szCs w:val="24"/>
        </w:rPr>
        <w:t>Koriat</w:t>
      </w:r>
      <w:proofErr w:type="spellEnd"/>
      <w:r w:rsidRPr="00A936E5">
        <w:rPr>
          <w:rFonts w:eastAsia="Arial" w:cs="Times New Roman"/>
          <w:color w:val="4472C4" w:themeColor="accent1"/>
          <w:szCs w:val="24"/>
        </w:rPr>
        <w:t xml:space="preserve">,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proofErr w:type="spellStart"/>
      <w:r w:rsidRPr="00A936E5">
        <w:rPr>
          <w:rFonts w:eastAsia="Arial" w:cs="Times New Roman"/>
          <w:szCs w:val="24"/>
        </w:rPr>
        <w:t>Koriat</w:t>
      </w:r>
      <w:proofErr w:type="spellEnd"/>
      <w:r w:rsidRPr="00A936E5">
        <w:rPr>
          <w:rFonts w:eastAsia="Arial" w:cs="Times New Roman"/>
          <w:szCs w:val="24"/>
        </w:rPr>
        <w:t xml:space="preserve">,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Ma’Ayan,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2C67F8" w:rsidRDefault="00D521BE" w:rsidP="00981DF2">
      <w:pPr>
        <w:ind w:left="700" w:hanging="702"/>
        <w:contextualSpacing/>
        <w:rPr>
          <w:rFonts w:eastAsia="Arial" w:cs="Times New Roman"/>
          <w:color w:val="4472C4" w:themeColor="accent1"/>
          <w:szCs w:val="24"/>
        </w:rPr>
      </w:pPr>
      <w:r w:rsidRPr="002C67F8">
        <w:rPr>
          <w:color w:val="4472C4" w:themeColor="accent1"/>
        </w:rPr>
        <w:t xml:space="preserve">Mulligan, N. W. (2011). Generation disrupts memory for intrinsic context but not extrinsic context. </w:t>
      </w:r>
      <w:r w:rsidRPr="002C67F8">
        <w:rPr>
          <w:i/>
          <w:iCs/>
          <w:color w:val="4472C4" w:themeColor="accent1"/>
        </w:rPr>
        <w:t>The Quarterly Journal of Experimental Psychology, 64</w:t>
      </w:r>
      <w:r w:rsidRPr="002C67F8">
        <w:rPr>
          <w:color w:val="4472C4" w:themeColor="accent1"/>
        </w:rPr>
        <w:t>(8), 1543-1562.</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xml:space="preserve">,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Bröder,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r w:rsidR="00CE2BF0" w:rsidRPr="00CE2BF0">
              <w:rPr>
                <w:rFonts w:ascii="Times New Roman" w:hAnsi="Times New Roman" w:cs="Times New Roman"/>
                <w:color w:val="4472C4" w:themeColor="accent1"/>
                <w:sz w:val="24"/>
                <w:szCs w:val="24"/>
              </w:rPr>
              <w:t>*</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r w:rsidR="00CE2BF0" w:rsidRPr="00CE2BF0">
              <w:rPr>
                <w:rFonts w:ascii="Times New Roman" w:hAnsi="Times New Roman" w:cs="Times New Roman"/>
                <w:color w:val="4472C4" w:themeColor="accent1"/>
                <w:sz w:val="24"/>
                <w:szCs w:val="24"/>
              </w:rPr>
              <w:t>*</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r w:rsidR="00CE2BF0" w:rsidRPr="00CE2BF0">
              <w:rPr>
                <w:rFonts w:ascii="Times New Roman" w:hAnsi="Times New Roman" w:cs="Times New Roman"/>
                <w:color w:val="4472C4" w:themeColor="accent1"/>
                <w:sz w:val="24"/>
                <w:szCs w:val="24"/>
              </w:rPr>
              <w:t>*</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r w:rsidR="00CE2BF0" w:rsidRPr="00CE2BF0">
              <w:rPr>
                <w:rFonts w:ascii="Times New Roman" w:hAnsi="Times New Roman" w:cs="Times New Roman"/>
                <w:color w:val="4472C4" w:themeColor="accent1"/>
                <w:sz w:val="24"/>
                <w:szCs w:val="24"/>
              </w:rPr>
              <w:t>*</w:t>
            </w:r>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C67F8" w14:paraId="1D9899FA" w14:textId="77777777" w:rsidTr="00654F69">
        <w:tc>
          <w:tcPr>
            <w:tcW w:w="1870" w:type="dxa"/>
            <w:tcBorders>
              <w:left w:val="nil"/>
              <w:bottom w:val="nil"/>
              <w:right w:val="nil"/>
            </w:tcBorders>
          </w:tcPr>
          <w:p w14:paraId="604F047C" w14:textId="77777777" w:rsidR="002F6CAB" w:rsidRPr="002C67F8" w:rsidRDefault="002F6CAB" w:rsidP="002F6CAB">
            <w:pPr>
              <w:spacing w:line="480" w:lineRule="auto"/>
              <w:contextualSpacing/>
              <w:rPr>
                <w:rFonts w:ascii="Times New Roman" w:hAnsi="Times New Roman" w:cs="Times New Roman"/>
                <w:color w:val="0070C0"/>
                <w:sz w:val="24"/>
                <w:szCs w:val="24"/>
              </w:rPr>
            </w:pPr>
            <w:r w:rsidRPr="002C67F8">
              <w:rPr>
                <w:rFonts w:ascii="Times New Roman" w:hAnsi="Times New Roman" w:cs="Times New Roman"/>
                <w:color w:val="0070C0"/>
                <w:sz w:val="24"/>
                <w:szCs w:val="24"/>
              </w:rPr>
              <w:t>Read</w:t>
            </w:r>
          </w:p>
        </w:tc>
        <w:tc>
          <w:tcPr>
            <w:tcW w:w="1870" w:type="dxa"/>
            <w:tcBorders>
              <w:left w:val="nil"/>
              <w:bottom w:val="nil"/>
              <w:right w:val="nil"/>
            </w:tcBorders>
          </w:tcPr>
          <w:p w14:paraId="526BE37C" w14:textId="0BEC88CD"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.20 (</w:t>
            </w:r>
            <w:r w:rsidR="00BE477D" w:rsidRPr="002C67F8">
              <w:rPr>
                <w:rFonts w:ascii="Times New Roman" w:hAnsi="Times New Roman" w:cs="Times New Roman"/>
                <w:color w:val="0070C0"/>
                <w:sz w:val="24"/>
                <w:szCs w:val="24"/>
              </w:rPr>
              <w:t>.13</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c>
          <w:tcPr>
            <w:tcW w:w="1870" w:type="dxa"/>
            <w:tcBorders>
              <w:left w:val="nil"/>
              <w:bottom w:val="nil"/>
              <w:right w:val="nil"/>
            </w:tcBorders>
          </w:tcPr>
          <w:p w14:paraId="1002EF1B" w14:textId="2BC1C455"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.07 (</w:t>
            </w:r>
            <w:r w:rsidR="00F059E5" w:rsidRPr="002C67F8">
              <w:rPr>
                <w:rFonts w:ascii="Times New Roman" w:hAnsi="Times New Roman" w:cs="Times New Roman"/>
                <w:color w:val="0070C0"/>
                <w:sz w:val="24"/>
                <w:szCs w:val="24"/>
              </w:rPr>
              <w:t>.12</w:t>
            </w:r>
            <w:r w:rsidRPr="002C67F8">
              <w:rPr>
                <w:rFonts w:ascii="Times New Roman" w:hAnsi="Times New Roman" w:cs="Times New Roman"/>
                <w:color w:val="0070C0"/>
                <w:sz w:val="24"/>
                <w:szCs w:val="24"/>
              </w:rPr>
              <w:t>)</w:t>
            </w:r>
          </w:p>
        </w:tc>
        <w:tc>
          <w:tcPr>
            <w:tcW w:w="1870" w:type="dxa"/>
            <w:tcBorders>
              <w:left w:val="nil"/>
              <w:bottom w:val="nil"/>
              <w:right w:val="nil"/>
            </w:tcBorders>
          </w:tcPr>
          <w:p w14:paraId="5B9B973A" w14:textId="51E1C62A"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.30 (</w:t>
            </w:r>
            <w:r w:rsidR="009E29D8" w:rsidRPr="002C67F8">
              <w:rPr>
                <w:rFonts w:ascii="Times New Roman" w:hAnsi="Times New Roman" w:cs="Times New Roman"/>
                <w:color w:val="0070C0"/>
                <w:sz w:val="24"/>
                <w:szCs w:val="24"/>
              </w:rPr>
              <w:t>.11</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c>
          <w:tcPr>
            <w:tcW w:w="1870" w:type="dxa"/>
            <w:tcBorders>
              <w:left w:val="nil"/>
              <w:bottom w:val="nil"/>
              <w:right w:val="nil"/>
            </w:tcBorders>
          </w:tcPr>
          <w:p w14:paraId="7B0583A7" w14:textId="00F5DCC4" w:rsidR="00BB4C94" w:rsidRPr="002C67F8" w:rsidRDefault="002F6CAB" w:rsidP="00BB4C94">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.21 (</w:t>
            </w:r>
            <w:r w:rsidR="00E440F5" w:rsidRPr="002C67F8">
              <w:rPr>
                <w:rFonts w:ascii="Times New Roman" w:hAnsi="Times New Roman" w:cs="Times New Roman"/>
                <w:color w:val="0070C0"/>
                <w:sz w:val="24"/>
                <w:szCs w:val="24"/>
              </w:rPr>
              <w:t>.17</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r>
      <w:tr w:rsidR="002F6CAB" w:rsidRPr="002C67F8" w14:paraId="4F7DBA47" w14:textId="77777777" w:rsidTr="00654F69">
        <w:tc>
          <w:tcPr>
            <w:tcW w:w="1870" w:type="dxa"/>
            <w:tcBorders>
              <w:top w:val="nil"/>
              <w:left w:val="nil"/>
              <w:bottom w:val="nil"/>
              <w:right w:val="nil"/>
            </w:tcBorders>
          </w:tcPr>
          <w:p w14:paraId="0257CC7D" w14:textId="77777777" w:rsidR="002F6CAB" w:rsidRPr="002C67F8" w:rsidRDefault="002F6CAB" w:rsidP="002F6CAB">
            <w:pPr>
              <w:spacing w:line="480" w:lineRule="auto"/>
              <w:contextualSpacing/>
              <w:rPr>
                <w:rFonts w:ascii="Times New Roman" w:hAnsi="Times New Roman" w:cs="Times New Roman"/>
                <w:color w:val="0070C0"/>
                <w:sz w:val="24"/>
                <w:szCs w:val="24"/>
              </w:rPr>
            </w:pPr>
            <w:r w:rsidRPr="002C67F8">
              <w:rPr>
                <w:rFonts w:ascii="Times New Roman" w:hAnsi="Times New Roman" w:cs="Times New Roman"/>
                <w:color w:val="0070C0"/>
                <w:sz w:val="24"/>
                <w:szCs w:val="24"/>
              </w:rPr>
              <w:t>Item-Specific</w:t>
            </w:r>
          </w:p>
        </w:tc>
        <w:tc>
          <w:tcPr>
            <w:tcW w:w="1870" w:type="dxa"/>
            <w:tcBorders>
              <w:top w:val="nil"/>
              <w:left w:val="nil"/>
              <w:bottom w:val="nil"/>
              <w:right w:val="nil"/>
            </w:tcBorders>
          </w:tcPr>
          <w:p w14:paraId="7D4C8184" w14:textId="17F5A3D2"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.02 (</w:t>
            </w:r>
            <w:r w:rsidR="00AC36DF" w:rsidRPr="002C67F8">
              <w:rPr>
                <w:rFonts w:ascii="Times New Roman" w:hAnsi="Times New Roman" w:cs="Times New Roman"/>
                <w:color w:val="0070C0"/>
                <w:sz w:val="24"/>
                <w:szCs w:val="24"/>
              </w:rPr>
              <w:t>.18</w:t>
            </w:r>
            <w:r w:rsidRPr="002C67F8">
              <w:rPr>
                <w:rFonts w:ascii="Times New Roman" w:hAnsi="Times New Roman" w:cs="Times New Roman"/>
                <w:color w:val="0070C0"/>
                <w:sz w:val="24"/>
                <w:szCs w:val="24"/>
              </w:rPr>
              <w:t>)</w:t>
            </w:r>
          </w:p>
        </w:tc>
        <w:tc>
          <w:tcPr>
            <w:tcW w:w="1870" w:type="dxa"/>
            <w:tcBorders>
              <w:top w:val="nil"/>
              <w:left w:val="nil"/>
              <w:bottom w:val="nil"/>
              <w:right w:val="nil"/>
            </w:tcBorders>
          </w:tcPr>
          <w:p w14:paraId="7B11A84D" w14:textId="551D6E12"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.1</w:t>
            </w:r>
            <w:r w:rsidR="003B54DF" w:rsidRPr="002C67F8">
              <w:rPr>
                <w:rFonts w:ascii="Times New Roman" w:hAnsi="Times New Roman" w:cs="Times New Roman"/>
                <w:color w:val="0070C0"/>
                <w:sz w:val="24"/>
                <w:szCs w:val="24"/>
              </w:rPr>
              <w:t>1</w:t>
            </w:r>
            <w:r w:rsidRPr="002C67F8">
              <w:rPr>
                <w:rFonts w:ascii="Times New Roman" w:hAnsi="Times New Roman" w:cs="Times New Roman"/>
                <w:color w:val="0070C0"/>
                <w:sz w:val="24"/>
                <w:szCs w:val="24"/>
              </w:rPr>
              <w:t xml:space="preserve"> (</w:t>
            </w:r>
            <w:r w:rsidR="00F059E5" w:rsidRPr="002C67F8">
              <w:rPr>
                <w:rFonts w:ascii="Times New Roman" w:hAnsi="Times New Roman" w:cs="Times New Roman"/>
                <w:color w:val="0070C0"/>
                <w:sz w:val="24"/>
                <w:szCs w:val="24"/>
              </w:rPr>
              <w:t>.15</w:t>
            </w:r>
            <w:r w:rsidRPr="002C67F8">
              <w:rPr>
                <w:rFonts w:ascii="Times New Roman" w:hAnsi="Times New Roman" w:cs="Times New Roman"/>
                <w:color w:val="0070C0"/>
                <w:sz w:val="24"/>
                <w:szCs w:val="24"/>
              </w:rPr>
              <w:t>)</w:t>
            </w:r>
          </w:p>
        </w:tc>
        <w:tc>
          <w:tcPr>
            <w:tcW w:w="1870" w:type="dxa"/>
            <w:tcBorders>
              <w:top w:val="nil"/>
              <w:left w:val="nil"/>
              <w:bottom w:val="nil"/>
              <w:right w:val="nil"/>
            </w:tcBorders>
          </w:tcPr>
          <w:p w14:paraId="6F7292C6" w14:textId="67BDF550"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.22 (</w:t>
            </w:r>
            <w:r w:rsidR="009E29D8" w:rsidRPr="002C67F8">
              <w:rPr>
                <w:rFonts w:ascii="Times New Roman" w:hAnsi="Times New Roman" w:cs="Times New Roman"/>
                <w:color w:val="0070C0"/>
                <w:sz w:val="24"/>
                <w:szCs w:val="24"/>
              </w:rPr>
              <w:t>.18</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c>
          <w:tcPr>
            <w:tcW w:w="1870" w:type="dxa"/>
            <w:tcBorders>
              <w:top w:val="nil"/>
              <w:left w:val="nil"/>
              <w:bottom w:val="nil"/>
              <w:right w:val="nil"/>
            </w:tcBorders>
          </w:tcPr>
          <w:p w14:paraId="19759910" w14:textId="37E4170C"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.30 (</w:t>
            </w:r>
            <w:r w:rsidR="00E440F5" w:rsidRPr="002C67F8">
              <w:rPr>
                <w:rFonts w:ascii="Times New Roman" w:hAnsi="Times New Roman" w:cs="Times New Roman"/>
                <w:color w:val="0070C0"/>
                <w:sz w:val="24"/>
                <w:szCs w:val="24"/>
              </w:rPr>
              <w:t>.19</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r>
      <w:tr w:rsidR="002F6CAB" w:rsidRPr="002C67F8" w14:paraId="7E1F462F" w14:textId="77777777" w:rsidTr="00654F69">
        <w:tc>
          <w:tcPr>
            <w:tcW w:w="1870" w:type="dxa"/>
            <w:tcBorders>
              <w:top w:val="nil"/>
              <w:left w:val="nil"/>
              <w:right w:val="nil"/>
            </w:tcBorders>
          </w:tcPr>
          <w:p w14:paraId="256009DD" w14:textId="77777777" w:rsidR="002F6CAB" w:rsidRPr="002C67F8" w:rsidRDefault="002F6CAB" w:rsidP="002F6CAB">
            <w:pPr>
              <w:spacing w:line="480" w:lineRule="auto"/>
              <w:contextualSpacing/>
              <w:rPr>
                <w:rFonts w:ascii="Times New Roman" w:hAnsi="Times New Roman" w:cs="Times New Roman"/>
                <w:color w:val="0070C0"/>
                <w:sz w:val="24"/>
                <w:szCs w:val="24"/>
              </w:rPr>
            </w:pPr>
            <w:r w:rsidRPr="002C67F8">
              <w:rPr>
                <w:rFonts w:ascii="Times New Roman" w:hAnsi="Times New Roman" w:cs="Times New Roman"/>
                <w:color w:val="0070C0"/>
                <w:sz w:val="24"/>
                <w:szCs w:val="24"/>
              </w:rPr>
              <w:t>Relational</w:t>
            </w:r>
          </w:p>
        </w:tc>
        <w:tc>
          <w:tcPr>
            <w:tcW w:w="1870" w:type="dxa"/>
            <w:tcBorders>
              <w:top w:val="nil"/>
              <w:left w:val="nil"/>
              <w:right w:val="nil"/>
            </w:tcBorders>
          </w:tcPr>
          <w:p w14:paraId="7067357B" w14:textId="1BF65932"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.02 (</w:t>
            </w:r>
            <w:r w:rsidR="005E4A7B" w:rsidRPr="002C67F8">
              <w:rPr>
                <w:rFonts w:ascii="Times New Roman" w:hAnsi="Times New Roman" w:cs="Times New Roman"/>
                <w:color w:val="0070C0"/>
                <w:sz w:val="24"/>
                <w:szCs w:val="24"/>
              </w:rPr>
              <w:t>.20</w:t>
            </w:r>
            <w:r w:rsidRPr="002C67F8">
              <w:rPr>
                <w:rFonts w:ascii="Times New Roman" w:hAnsi="Times New Roman" w:cs="Times New Roman"/>
                <w:color w:val="0070C0"/>
                <w:sz w:val="24"/>
                <w:szCs w:val="24"/>
              </w:rPr>
              <w:t>)</w:t>
            </w:r>
          </w:p>
        </w:tc>
        <w:tc>
          <w:tcPr>
            <w:tcW w:w="1870" w:type="dxa"/>
            <w:tcBorders>
              <w:top w:val="nil"/>
              <w:left w:val="nil"/>
              <w:right w:val="nil"/>
            </w:tcBorders>
          </w:tcPr>
          <w:p w14:paraId="427B937D" w14:textId="638C1227"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.01 (</w:t>
            </w:r>
            <w:r w:rsidR="00AC36DF" w:rsidRPr="002C67F8">
              <w:rPr>
                <w:rFonts w:ascii="Times New Roman" w:hAnsi="Times New Roman" w:cs="Times New Roman"/>
                <w:color w:val="0070C0"/>
                <w:sz w:val="24"/>
                <w:szCs w:val="24"/>
              </w:rPr>
              <w:t>.1</w:t>
            </w:r>
            <w:r w:rsidR="00F059E5" w:rsidRPr="002C67F8">
              <w:rPr>
                <w:rFonts w:ascii="Times New Roman" w:hAnsi="Times New Roman" w:cs="Times New Roman"/>
                <w:color w:val="0070C0"/>
                <w:sz w:val="24"/>
                <w:szCs w:val="24"/>
              </w:rPr>
              <w:t>4</w:t>
            </w:r>
            <w:r w:rsidRPr="002C67F8">
              <w:rPr>
                <w:rFonts w:ascii="Times New Roman" w:hAnsi="Times New Roman" w:cs="Times New Roman"/>
                <w:color w:val="0070C0"/>
                <w:sz w:val="24"/>
                <w:szCs w:val="24"/>
              </w:rPr>
              <w:t>)</w:t>
            </w:r>
          </w:p>
        </w:tc>
        <w:tc>
          <w:tcPr>
            <w:tcW w:w="1870" w:type="dxa"/>
            <w:tcBorders>
              <w:top w:val="nil"/>
              <w:left w:val="nil"/>
              <w:right w:val="nil"/>
            </w:tcBorders>
          </w:tcPr>
          <w:p w14:paraId="19D5FA27" w14:textId="18DC045F"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.04 (</w:t>
            </w:r>
            <w:r w:rsidR="009E29D8" w:rsidRPr="002C67F8">
              <w:rPr>
                <w:rFonts w:ascii="Times New Roman" w:hAnsi="Times New Roman" w:cs="Times New Roman"/>
                <w:color w:val="0070C0"/>
                <w:sz w:val="24"/>
                <w:szCs w:val="24"/>
              </w:rPr>
              <w:t>.17</w:t>
            </w:r>
            <w:r w:rsidRPr="002C67F8">
              <w:rPr>
                <w:rFonts w:ascii="Times New Roman" w:hAnsi="Times New Roman" w:cs="Times New Roman"/>
                <w:color w:val="0070C0"/>
                <w:sz w:val="24"/>
                <w:szCs w:val="24"/>
              </w:rPr>
              <w:t>)</w:t>
            </w:r>
          </w:p>
        </w:tc>
        <w:tc>
          <w:tcPr>
            <w:tcW w:w="1870" w:type="dxa"/>
            <w:tcBorders>
              <w:top w:val="nil"/>
              <w:left w:val="nil"/>
              <w:right w:val="nil"/>
            </w:tcBorders>
          </w:tcPr>
          <w:p w14:paraId="40EA788B" w14:textId="1B9C0A29"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.12 (</w:t>
            </w:r>
            <w:r w:rsidR="00E440F5" w:rsidRPr="002C67F8">
              <w:rPr>
                <w:rFonts w:ascii="Times New Roman" w:hAnsi="Times New Roman" w:cs="Times New Roman"/>
                <w:color w:val="0070C0"/>
                <w:sz w:val="24"/>
                <w:szCs w:val="24"/>
              </w:rPr>
              <w:t>.14</w:t>
            </w:r>
            <w:r w:rsidRPr="002C67F8">
              <w:rPr>
                <w:rFonts w:ascii="Times New Roman" w:hAnsi="Times New Roman" w:cs="Times New Roman"/>
                <w:color w:val="0070C0"/>
                <w:sz w:val="24"/>
                <w:szCs w:val="24"/>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0"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0"/>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2" w:name="_Hlk32942520"/>
      <w:bookmarkEnd w:id="31"/>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2"/>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3"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3"/>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4"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4"/>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5"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5"/>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420C8" w14:textId="77777777" w:rsidR="00467518" w:rsidRDefault="00467518" w:rsidP="00CA5EF6">
      <w:pPr>
        <w:spacing w:line="240" w:lineRule="auto"/>
      </w:pPr>
      <w:r>
        <w:separator/>
      </w:r>
    </w:p>
  </w:endnote>
  <w:endnote w:type="continuationSeparator" w:id="0">
    <w:p w14:paraId="23E9CCA9" w14:textId="77777777" w:rsidR="00467518" w:rsidRDefault="00467518"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10409" w14:textId="77777777" w:rsidR="00467518" w:rsidRDefault="00467518" w:rsidP="00CA5EF6">
      <w:pPr>
        <w:spacing w:line="240" w:lineRule="auto"/>
      </w:pPr>
      <w:r>
        <w:separator/>
      </w:r>
    </w:p>
  </w:footnote>
  <w:footnote w:type="continuationSeparator" w:id="0">
    <w:p w14:paraId="6D25770C" w14:textId="77777777" w:rsidR="00467518" w:rsidRDefault="00467518"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33C"/>
    <w:rsid w:val="002B3881"/>
    <w:rsid w:val="002C00DD"/>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0A3E"/>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58</Pages>
  <Words>13709</Words>
  <Characters>78145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5</cp:revision>
  <cp:lastPrinted>2020-11-23T20:30:00Z</cp:lastPrinted>
  <dcterms:created xsi:type="dcterms:W3CDTF">2023-01-29T18:49:00Z</dcterms:created>
  <dcterms:modified xsi:type="dcterms:W3CDTF">2023-01-29T22:55:00Z</dcterms:modified>
</cp:coreProperties>
</file>