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79986BC9"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8B51CC">
        <w:rPr>
          <w:rFonts w:ascii="Times New Roman" w:hAnsi="Times New Roman" w:cs="Times New Roman"/>
          <w:sz w:val="24"/>
          <w:szCs w:val="24"/>
        </w:rPr>
        <w:t>XXX</w:t>
      </w:r>
      <w:commentRangeEnd w:id="2"/>
      <w:r w:rsidR="008B51CC">
        <w:rPr>
          <w:rStyle w:val="CommentReference"/>
        </w:rPr>
        <w:commentReference w:id="2"/>
      </w:r>
    </w:p>
    <w:p w14:paraId="2C0E25E3" w14:textId="4FDD6A53" w:rsidR="000C0BB7" w:rsidRDefault="000C0BB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Corresponding Author: Nicholas P. Maxwell</w:t>
      </w:r>
    </w:p>
    <w:p w14:paraId="169B0AA1" w14:textId="77777777" w:rsidR="002926DA" w:rsidRDefault="002926DA" w:rsidP="000C0BB7">
      <w:pPr>
        <w:spacing w:after="0" w:line="480" w:lineRule="auto"/>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commentRangeStart w:id="3"/>
      <w:r>
        <w:rPr>
          <w:rFonts w:ascii="Times New Roman" w:eastAsia="Arial" w:hAnsi="Times New Roman" w:cs="Times New Roman"/>
          <w:sz w:val="24"/>
          <w:szCs w:val="24"/>
        </w:rPr>
        <w:lastRenderedPageBreak/>
        <w:t>Abstract</w:t>
      </w:r>
      <w:commentRangeEnd w:id="3"/>
      <w:r w:rsidR="008B51CC">
        <w:rPr>
          <w:rStyle w:val="CommentReference"/>
        </w:rPr>
        <w:commentReference w:id="3"/>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86EEEEA"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50A0476E"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w:t>
      </w:r>
      <w:commentRangeStart w:id="4"/>
      <w:r>
        <w:rPr>
          <w:rFonts w:ascii="Times New Roman" w:hAnsi="Times New Roman" w:cs="Times New Roman"/>
          <w:sz w:val="24"/>
          <w:szCs w:val="24"/>
        </w:rPr>
        <w:t>online</w:t>
      </w:r>
      <w:commentRangeEnd w:id="4"/>
      <w:r w:rsidR="0091546C">
        <w:rPr>
          <w:rStyle w:val="CommentReference"/>
        </w:rPr>
        <w:commentReference w:id="4"/>
      </w:r>
      <w:r>
        <w:rPr>
          <w:rFonts w:ascii="Times New Roman" w:hAnsi="Times New Roman" w:cs="Times New Roman"/>
          <w:sz w:val="24"/>
          <w:szCs w:val="24"/>
        </w:rPr>
        <w:t xml:space="preserv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654A20" w:rsidRPr="00654A20">
        <w:rPr>
          <w:rFonts w:ascii="Times New Roman" w:hAnsi="Times New Roman" w:cs="Times New Roman"/>
          <w:color w:val="2683C6" w:themeColor="accent6"/>
          <w:sz w:val="24"/>
          <w:szCs w:val="24"/>
        </w:rPr>
        <w:t xml:space="preserve">While JOLs can be elicited for a variety of study paradigms </w:t>
      </w:r>
      <w:r w:rsidR="00654A20" w:rsidRPr="00654A20">
        <w:rPr>
          <w:rFonts w:ascii="Times New Roman" w:hAnsi="Times New Roman" w:cs="Times New Roman"/>
          <w:color w:val="2683C6" w:themeColor="accent6"/>
          <w:sz w:val="24"/>
          <w:szCs w:val="24"/>
          <w:highlight w:val="yellow"/>
        </w:rPr>
        <w:t>[EXAMPLE; CITE]</w:t>
      </w:r>
      <w:r w:rsidR="00654A20" w:rsidRPr="00654A20">
        <w:rPr>
          <w:rFonts w:ascii="Times New Roman" w:hAnsi="Times New Roman" w:cs="Times New Roman"/>
          <w:color w:val="2683C6" w:themeColor="accent6"/>
          <w:sz w:val="24"/>
          <w:szCs w:val="24"/>
        </w:rPr>
        <w:t xml:space="preserve">, they are commonly used to assess item-based learning </w:t>
      </w:r>
      <w:r w:rsidR="00654A20" w:rsidRPr="00E76049">
        <w:rPr>
          <w:rFonts w:ascii="Times New Roman" w:hAnsi="Times New Roman" w:cs="Times New Roman"/>
          <w:color w:val="2683C6" w:themeColor="accent6"/>
          <w:sz w:val="24"/>
          <w:szCs w:val="24"/>
          <w:highlight w:val="cyan"/>
        </w:rPr>
        <w:t>[CITE]</w:t>
      </w:r>
      <w:r w:rsidR="00654A20">
        <w:rPr>
          <w:rFonts w:ascii="Times New Roman" w:hAnsi="Times New Roman" w:cs="Times New Roman"/>
          <w:sz w:val="24"/>
          <w:szCs w:val="24"/>
        </w:rPr>
        <w:t xml:space="preserve">. </w:t>
      </w:r>
      <w:r w:rsidR="003B19B0">
        <w:rPr>
          <w:rFonts w:ascii="Times New Roman" w:hAnsi="Times New Roman" w:cs="Times New Roman"/>
          <w:sz w:val="24"/>
          <w:szCs w:val="24"/>
        </w:rPr>
        <w:t>In a standard</w:t>
      </w:r>
      <w:r w:rsidR="00654A20">
        <w:rPr>
          <w:rFonts w:ascii="Times New Roman" w:hAnsi="Times New Roman" w:cs="Times New Roman"/>
          <w:sz w:val="24"/>
          <w:szCs w:val="24"/>
        </w:rPr>
        <w:t xml:space="preserve"> item-based</w:t>
      </w:r>
      <w:r w:rsidR="003B19B0">
        <w:rPr>
          <w:rFonts w:ascii="Times New Roman" w:hAnsi="Times New Roman" w:cs="Times New Roman"/>
          <w:sz w:val="24"/>
          <w:szCs w:val="24"/>
        </w:rPr>
        <w:t xml:space="preserve">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w:t>
      </w:r>
      <w:r w:rsidR="0004459D">
        <w:rPr>
          <w:rFonts w:ascii="Times New Roman" w:hAnsi="Times New Roman" w:cs="Times New Roman"/>
          <w:sz w:val="24"/>
          <w:szCs w:val="24"/>
        </w:rPr>
        <w:t>a target will be retrieved at test if only provided with the cue</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e.g., Likert scales or binary “yes”</w:t>
      </w:r>
      <w:proofErr w:type="gramStart"/>
      <w:r w:rsidR="002517CB">
        <w:rPr>
          <w:rFonts w:ascii="Times New Roman" w:hAnsi="Times New Roman" w:cs="Times New Roman"/>
          <w:sz w:val="24"/>
          <w:szCs w:val="24"/>
        </w:rPr>
        <w:t>-“</w:t>
      </w:r>
      <w:proofErr w:type="gramEnd"/>
      <w:r w:rsidR="002517CB">
        <w:rPr>
          <w:rFonts w:ascii="Times New Roman" w:hAnsi="Times New Roman" w:cs="Times New Roman"/>
          <w:sz w:val="24"/>
          <w:szCs w:val="24"/>
        </w:rPr>
        <w:t xml:space="preserve">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definitely would remember; 0% = definitely </w:t>
      </w:r>
      <w:r w:rsidR="00BA5415" w:rsidRPr="00BA5415">
        <w:rPr>
          <w:rFonts w:ascii="Times New Roman" w:hAnsi="Times New Roman" w:cs="Times New Roman"/>
          <w:sz w:val="24"/>
          <w:szCs w:val="24"/>
        </w:rPr>
        <w:lastRenderedPageBreak/>
        <w:t>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w:t>
      </w:r>
      <w:r w:rsidR="00285735" w:rsidRPr="00285735">
        <w:rPr>
          <w:rFonts w:ascii="Times New Roman" w:hAnsi="Times New Roman" w:cs="Times New Roman"/>
          <w:sz w:val="24"/>
          <w:szCs w:val="24"/>
        </w:rPr>
        <w:lastRenderedPageBreak/>
        <w:t xml:space="preserve">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w:t>
      </w:r>
      <w:proofErr w:type="gramStart"/>
      <w:r w:rsidRPr="00285735">
        <w:rPr>
          <w:rFonts w:ascii="Times New Roman" w:hAnsi="Times New Roman" w:cs="Times New Roman"/>
          <w:sz w:val="24"/>
          <w:szCs w:val="24"/>
        </w:rPr>
        <w:t xml:space="preserve">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which</w:t>
      </w:r>
      <w:proofErr w:type="gramEnd"/>
      <w:r w:rsidRPr="00285735">
        <w:rPr>
          <w:rFonts w:ascii="Times New Roman" w:hAnsi="Times New Roman" w:cs="Times New Roman"/>
          <w:sz w:val="24"/>
          <w:szCs w:val="24"/>
        </w:rPr>
        <w:t xml:space="preserve">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72534429"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w:t>
      </w:r>
      <w:r w:rsidR="00E76049">
        <w:rPr>
          <w:rFonts w:ascii="Times New Roman" w:hAnsi="Times New Roman" w:cs="Times New Roman"/>
          <w:sz w:val="24"/>
          <w:szCs w:val="24"/>
        </w:rPr>
        <w:t xml:space="preserve"> </w:t>
      </w:r>
      <w:r w:rsidR="00E76049" w:rsidRPr="00E76049">
        <w:rPr>
          <w:rFonts w:ascii="Times New Roman" w:hAnsi="Times New Roman" w:cs="Times New Roman"/>
          <w:color w:val="2683C6" w:themeColor="accent6"/>
          <w:sz w:val="24"/>
          <w:szCs w:val="24"/>
        </w:rPr>
        <w:t>in which JOLs produced a cost to memory performance</w:t>
      </w:r>
      <w:r w:rsidRPr="00285735">
        <w:rPr>
          <w:rFonts w:ascii="Times New Roman" w:hAnsi="Times New Roman" w:cs="Times New Roman"/>
          <w:sz w:val="24"/>
          <w:szCs w:val="24"/>
        </w:rPr>
        <w:t xml:space="preserve">.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 xml:space="preserve">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FB2B95">
        <w:rPr>
          <w:rFonts w:ascii="Times New Roman" w:hAnsi="Times New Roman" w:cs="Times New Roman"/>
          <w:sz w:val="24"/>
          <w:szCs w:val="24"/>
        </w:rPr>
        <w:lastRenderedPageBreak/>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w:t>
      </w:r>
      <w:proofErr w:type="spellStart"/>
      <w:r w:rsidR="00AB264B">
        <w:rPr>
          <w:rFonts w:ascii="Times New Roman" w:hAnsi="Times New Roman" w:cs="Times New Roman"/>
          <w:sz w:val="24"/>
          <w:szCs w:val="24"/>
        </w:rPr>
        <w:t>Soderstrom</w:t>
      </w:r>
      <w:proofErr w:type="spellEnd"/>
      <w:r w:rsidR="00AB264B">
        <w:rPr>
          <w:rFonts w:ascii="Times New Roman" w:hAnsi="Times New Roman" w:cs="Times New Roman"/>
          <w:sz w:val="24"/>
          <w:szCs w:val="24"/>
        </w:rPr>
        <w:t xml:space="preserve">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w:t>
      </w:r>
      <w:r w:rsidR="00DC411F">
        <w:rPr>
          <w:rFonts w:ascii="Times New Roman" w:hAnsi="Times New Roman" w:cs="Times New Roman"/>
          <w:sz w:val="24"/>
          <w:szCs w:val="24"/>
        </w:rPr>
        <w:lastRenderedPageBreak/>
        <w:t>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1CC9E66C"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w:t>
      </w:r>
      <w:proofErr w:type="spellStart"/>
      <w:r w:rsidR="001B404C" w:rsidRPr="001B404C">
        <w:rPr>
          <w:rFonts w:ascii="Times New Roman" w:hAnsi="Times New Roman" w:cs="Times New Roman"/>
          <w:sz w:val="24"/>
          <w:szCs w:val="24"/>
        </w:rPr>
        <w:t>Soderstrom</w:t>
      </w:r>
      <w:proofErr w:type="spellEnd"/>
      <w:r w:rsidR="001B404C" w:rsidRPr="001B404C">
        <w:rPr>
          <w:rFonts w:ascii="Times New Roman" w:hAnsi="Times New Roman" w:cs="Times New Roman"/>
          <w:sz w:val="24"/>
          <w:szCs w:val="24"/>
        </w:rPr>
        <w:t xml:space="preserve">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proofErr w:type="gramStart"/>
      <w:r w:rsidR="003D1438">
        <w:rPr>
          <w:rFonts w:ascii="Times New Roman" w:hAnsi="Times New Roman" w:cs="Times New Roman"/>
          <w:sz w:val="24"/>
          <w:szCs w:val="24"/>
        </w:rPr>
        <w:t>cued-recall</w:t>
      </w:r>
      <w:proofErr w:type="gramEnd"/>
      <w:r w:rsidR="003D1438">
        <w:rPr>
          <w:rFonts w:ascii="Times New Roman" w:hAnsi="Times New Roman" w:cs="Times New Roman"/>
          <w:sz w:val="24"/>
          <w:szCs w:val="24"/>
        </w:rPr>
        <w:t xml:space="preserve">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lastRenderedPageBreak/>
        <w:t>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08997728"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w:t>
      </w:r>
      <w:r w:rsidR="0004459D">
        <w:rPr>
          <w:rFonts w:ascii="Times New Roman" w:hAnsi="Times New Roman" w:cs="Times New Roman"/>
          <w:sz w:val="24"/>
          <w:szCs w:val="24"/>
        </w:rPr>
        <w:t>compared to strong forward pair associations</w:t>
      </w:r>
      <w:r w:rsidR="00FA65DE">
        <w:rPr>
          <w:rFonts w:ascii="Times New Roman" w:hAnsi="Times New Roman" w:cs="Times New Roman"/>
          <w:sz w:val="24"/>
          <w:szCs w:val="24"/>
        </w:rPr>
        <w:t xml:space="preserve">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w:t>
      </w:r>
      <w:r w:rsidR="00FA65DE">
        <w:rPr>
          <w:rFonts w:ascii="Times New Roman" w:hAnsi="Times New Roman" w:cs="Times New Roman"/>
          <w:sz w:val="24"/>
          <w:szCs w:val="24"/>
        </w:rPr>
        <w:lastRenderedPageBreak/>
        <w:t>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027CFCAC"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04459D">
        <w:rPr>
          <w:rFonts w:ascii="Times New Roman" w:hAnsi="Times New Roman" w:cs="Times New Roman"/>
          <w:sz w:val="24"/>
          <w:szCs w:val="24"/>
        </w:rPr>
        <w:t>than</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0FF5FC5F"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 xml:space="preserve">forward </w:t>
      </w:r>
      <w:proofErr w:type="gramStart"/>
      <w:r w:rsidR="005F0800">
        <w:rPr>
          <w:rFonts w:ascii="Times New Roman" w:hAnsi="Times New Roman" w:cs="Times New Roman"/>
          <w:sz w:val="24"/>
          <w:szCs w:val="24"/>
        </w:rPr>
        <w:t>paired-associates</w:t>
      </w:r>
      <w:proofErr w:type="gramEnd"/>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it is </w:t>
      </w:r>
      <w:r w:rsidR="0046458D">
        <w:rPr>
          <w:rFonts w:ascii="Times New Roman" w:hAnsi="Times New Roman" w:cs="Times New Roman"/>
          <w:sz w:val="24"/>
          <w:szCs w:val="24"/>
        </w:rPr>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w:t>
      </w:r>
      <w:r>
        <w:rPr>
          <w:rFonts w:ascii="Times New Roman" w:hAnsi="Times New Roman" w:cs="Times New Roman"/>
          <w:sz w:val="24"/>
          <w:szCs w:val="24"/>
        </w:rPr>
        <w:lastRenderedPageBreak/>
        <w:t xml:space="preserve">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3D9D9585"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F833A1">
        <w:rPr>
          <w:rFonts w:ascii="Times New Roman" w:hAnsi="Times New Roman" w:cs="Times New Roman"/>
          <w:sz w:val="24"/>
          <w:szCs w:val="24"/>
        </w:rPr>
        <w:t xml:space="preserve"> </w:t>
      </w:r>
      <w:r w:rsidR="00F833A1" w:rsidRPr="00F833A1">
        <w:rPr>
          <w:rFonts w:ascii="Times New Roman" w:hAnsi="Times New Roman" w:cs="Times New Roman"/>
          <w:color w:val="2683C6" w:themeColor="accent6"/>
          <w:sz w:val="24"/>
          <w:szCs w:val="24"/>
        </w:rPr>
        <w:t>encouraged 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F833A1" w:rsidRPr="00F833A1">
        <w:rPr>
          <w:rFonts w:ascii="Times New Roman" w:hAnsi="Times New Roman" w:cs="Times New Roman"/>
          <w:color w:val="2683C6" w:themeColor="accent6"/>
          <w:sz w:val="24"/>
          <w:szCs w:val="24"/>
        </w:rPr>
        <w:t>Further, each task allowed participants to provide</w:t>
      </w:r>
      <w:r w:rsidR="00DB0801" w:rsidRPr="00F833A1">
        <w:rPr>
          <w:rFonts w:ascii="Times New Roman" w:hAnsi="Times New Roman" w:cs="Times New Roman"/>
          <w:color w:val="2683C6" w:themeColor="accent6"/>
          <w:sz w:val="24"/>
          <w:szCs w:val="24"/>
        </w:rPr>
        <w:t xml:space="preserve"> ratings </w:t>
      </w:r>
      <w:r w:rsidR="00DB0801">
        <w:rPr>
          <w:rFonts w:ascii="Times New Roman" w:hAnsi="Times New Roman" w:cs="Times New Roman"/>
          <w:sz w:val="24"/>
          <w:szCs w:val="24"/>
        </w:rPr>
        <w:t xml:space="preserve">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5"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xml:space="preserve">. As evidenced by </w:t>
      </w:r>
      <w:proofErr w:type="spellStart"/>
      <w:r w:rsidR="00D40B6B">
        <w:rPr>
          <w:rFonts w:ascii="Times New Roman" w:hAnsi="Times New Roman" w:cs="Times New Roman"/>
          <w:sz w:val="24"/>
          <w:szCs w:val="24"/>
        </w:rPr>
        <w:t>Soderstrom</w:t>
      </w:r>
      <w:proofErr w:type="spellEnd"/>
      <w:r w:rsidR="002A7B50">
        <w:rPr>
          <w:rFonts w:ascii="Times New Roman" w:hAnsi="Times New Roman" w:cs="Times New Roman"/>
          <w:sz w:val="24"/>
          <w:szCs w:val="24"/>
        </w:rPr>
        <w:t xml:space="preserve"> </w:t>
      </w:r>
      <w:r w:rsidR="002A7B50">
        <w:rPr>
          <w:rFonts w:ascii="Times New Roman" w:hAnsi="Times New Roman" w:cs="Times New Roman"/>
          <w:sz w:val="24"/>
          <w:szCs w:val="24"/>
        </w:rPr>
        <w:lastRenderedPageBreak/>
        <w:t xml:space="preserve">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5"/>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proofErr w:type="spellStart"/>
      <w:r w:rsidR="00763A38" w:rsidRPr="00DE7186">
        <w:rPr>
          <w:rFonts w:ascii="Times New Roman" w:hAnsi="Times New Roman" w:cs="Times New Roman"/>
          <w:sz w:val="24"/>
          <w:szCs w:val="24"/>
        </w:rPr>
        <w:t>Soderstrom</w:t>
      </w:r>
      <w:proofErr w:type="spellEnd"/>
      <w:r w:rsidR="00763A38" w:rsidRPr="00DE7186">
        <w:rPr>
          <w:rFonts w:ascii="Times New Roman" w:hAnsi="Times New Roman" w:cs="Times New Roman"/>
          <w:sz w:val="24"/>
          <w:szCs w:val="24"/>
        </w:rPr>
        <w:t xml:space="preserve">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6" w:name="_Hlk42873698"/>
      <w:r>
        <w:rPr>
          <w:rFonts w:ascii="Times New Roman" w:hAnsi="Times New Roman" w:cs="Times New Roman"/>
          <w:sz w:val="24"/>
          <w:szCs w:val="24"/>
        </w:rPr>
        <w:lastRenderedPageBreak/>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6"/>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 xml:space="preserve">for associative </w:t>
      </w:r>
      <w:r w:rsidR="00693372">
        <w:rPr>
          <w:rFonts w:ascii="Times New Roman" w:hAnsi="Times New Roman" w:cs="Times New Roman"/>
          <w:sz w:val="24"/>
          <w:szCs w:val="24"/>
        </w:rPr>
        <w:lastRenderedPageBreak/>
        <w:t>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w:t>
      </w:r>
      <w:proofErr w:type="gramStart"/>
      <w:r w:rsidR="009231B7">
        <w:rPr>
          <w:rFonts w:ascii="Times New Roman" w:hAnsi="Times New Roman" w:cs="Times New Roman"/>
          <w:sz w:val="24"/>
          <w:szCs w:val="24"/>
        </w:rPr>
        <w:t>- ?</w:t>
      </w:r>
      <w:proofErr w:type="gramEnd"/>
      <w:r w:rsidR="009231B7">
        <w:rPr>
          <w:rFonts w:ascii="Times New Roman" w:hAnsi="Times New Roman" w:cs="Times New Roman"/>
          <w:sz w:val="24"/>
          <w:szCs w:val="24"/>
        </w:rPr>
        <w:t xml:space="preserve">).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3313F113"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 xml:space="preserve">such that </w:t>
      </w:r>
      <w:r w:rsidR="00E17F29">
        <w:rPr>
          <w:rFonts w:ascii="Times New Roman" w:hAnsi="Times New Roman" w:cs="Times New Roman"/>
          <w:sz w:val="24"/>
          <w:szCs w:val="24"/>
        </w:rPr>
        <w:lastRenderedPageBreak/>
        <w:t>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w:t>
      </w:r>
      <w:proofErr w:type="spellStart"/>
      <w:r w:rsidR="00B03315">
        <w:rPr>
          <w:rFonts w:ascii="Times New Roman" w:hAnsi="Times New Roman" w:cs="Times New Roman"/>
          <w:sz w:val="24"/>
          <w:szCs w:val="24"/>
        </w:rPr>
        <w:t>Mitchum</w:t>
      </w:r>
      <w:proofErr w:type="spellEnd"/>
      <w:r w:rsidR="00B03315">
        <w:rPr>
          <w:rFonts w:ascii="Times New Roman" w:hAnsi="Times New Roman" w:cs="Times New Roman"/>
          <w:sz w:val="24"/>
          <w:szCs w:val="24"/>
        </w:rPr>
        <w:t xml:space="preserve">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 reactivity</w:t>
      </w:r>
      <w:r w:rsidR="006718B7">
        <w:rPr>
          <w:rFonts w:ascii="Times New Roman" w:hAnsi="Times New Roman" w:cs="Times New Roman"/>
          <w:sz w:val="24"/>
          <w:szCs w:val="24"/>
        </w:rPr>
        <w:t xml:space="preserve"> </w:t>
      </w:r>
      <w:r w:rsidR="00AB3942" w:rsidRPr="00AB3942">
        <w:rPr>
          <w:rFonts w:ascii="Times New Roman" w:hAnsi="Times New Roman" w:cs="Times New Roman"/>
          <w:sz w:val="24"/>
          <w:szCs w:val="24"/>
        </w:rPr>
        <w:t>between correct recall proportions for JOL and no-JOL groups are reported in Table A</w:t>
      </w:r>
      <w:r w:rsidR="006718B7">
        <w:rPr>
          <w:rFonts w:ascii="Times New Roman" w:hAnsi="Times New Roman" w:cs="Times New Roman"/>
          <w:sz w:val="24"/>
          <w:szCs w:val="24"/>
        </w:rPr>
        <w:t>4</w:t>
      </w:r>
      <w:r w:rsidR="00AB3942" w:rsidRPr="00AB3942">
        <w:rPr>
          <w:rFonts w:ascii="Times New Roman" w:hAnsi="Times New Roman" w:cs="Times New Roman"/>
          <w:sz w:val="24"/>
          <w:szCs w:val="24"/>
        </w:rPr>
        <w:t>.</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proofErr w:type="gramStart"/>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proofErr w:type="gramEnd"/>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proofErr w:type="gramStart"/>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proofErr w:type="gramEnd"/>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proofErr w:type="gramStart"/>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proofErr w:type="gramEnd"/>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7"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7"/>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w:t>
      </w:r>
      <w:r w:rsidR="00CB7430">
        <w:rPr>
          <w:rFonts w:ascii="Times New Roman" w:hAnsi="Times New Roman" w:cs="Times New Roman"/>
          <w:sz w:val="24"/>
          <w:szCs w:val="24"/>
        </w:rPr>
        <w:lastRenderedPageBreak/>
        <w:t>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8" w:name="_Hlk47622072"/>
    </w:p>
    <w:bookmarkEnd w:id="8"/>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 xml:space="preserve">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40C15AB5"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proofErr w:type="gramStart"/>
      <w:r w:rsidR="007A6160">
        <w:rPr>
          <w:rFonts w:ascii="Times New Roman" w:hAnsi="Times New Roman" w:cs="Times New Roman"/>
          <w:sz w:val="24"/>
          <w:szCs w:val="24"/>
        </w:rPr>
        <w:t>pairs</w:t>
      </w:r>
      <w:proofErr w:type="gramEnd"/>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w:t>
      </w:r>
      <w:proofErr w:type="spellStart"/>
      <w:r w:rsidR="00F10714">
        <w:rPr>
          <w:rFonts w:ascii="Times New Roman" w:hAnsi="Times New Roman" w:cs="Times New Roman"/>
          <w:sz w:val="24"/>
          <w:szCs w:val="24"/>
        </w:rPr>
        <w:t>Mitchum</w:t>
      </w:r>
      <w:proofErr w:type="spellEnd"/>
      <w:r w:rsidR="00F10714">
        <w:rPr>
          <w:rFonts w:ascii="Times New Roman" w:hAnsi="Times New Roman" w:cs="Times New Roman"/>
          <w:sz w:val="24"/>
          <w:szCs w:val="24"/>
        </w:rPr>
        <w:t xml:space="preserve">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w:t>
      </w:r>
      <w:r w:rsidR="00E65A2B">
        <w:rPr>
          <w:rFonts w:ascii="Times New Roman" w:hAnsi="Times New Roman" w:cs="Times New Roman"/>
          <w:sz w:val="24"/>
          <w:szCs w:val="24"/>
        </w:rPr>
        <w:lastRenderedPageBreak/>
        <w:t xml:space="preserve">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 xml:space="preserve">previous research on JOL reactivity conducted by </w:t>
      </w:r>
      <w:proofErr w:type="spellStart"/>
      <w:r w:rsidR="00281041">
        <w:rPr>
          <w:rFonts w:ascii="Times New Roman" w:hAnsi="Times New Roman" w:cs="Times New Roman"/>
          <w:sz w:val="24"/>
          <w:szCs w:val="24"/>
        </w:rPr>
        <w:t>Soderstrom</w:t>
      </w:r>
      <w:proofErr w:type="spellEnd"/>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proofErr w:type="spellStart"/>
      <w:r w:rsidR="004D28D7">
        <w:rPr>
          <w:rFonts w:ascii="Times New Roman" w:hAnsi="Times New Roman" w:cs="Times New Roman"/>
          <w:sz w:val="24"/>
          <w:szCs w:val="24"/>
        </w:rPr>
        <w:t>Soderstrom</w:t>
      </w:r>
      <w:proofErr w:type="spellEnd"/>
      <w:r w:rsidR="004D28D7">
        <w:rPr>
          <w:rFonts w:ascii="Times New Roman" w:hAnsi="Times New Roman" w:cs="Times New Roman"/>
          <w:sz w:val="24"/>
          <w:szCs w:val="24"/>
        </w:rPr>
        <w:t xml:space="preserve">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proofErr w:type="spellStart"/>
      <w:r w:rsidR="00AF45A2">
        <w:rPr>
          <w:rFonts w:ascii="Times New Roman" w:hAnsi="Times New Roman" w:cs="Times New Roman"/>
          <w:sz w:val="24"/>
          <w:szCs w:val="24"/>
        </w:rPr>
        <w:t>Soderstrom</w:t>
      </w:r>
      <w:proofErr w:type="spellEnd"/>
      <w:r w:rsidR="00AF45A2">
        <w:rPr>
          <w:rFonts w:ascii="Times New Roman" w:hAnsi="Times New Roman" w:cs="Times New Roman"/>
          <w:sz w:val="24"/>
          <w:szCs w:val="24"/>
        </w:rPr>
        <w:t xml:space="preserve">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w:t>
      </w:r>
      <w:r w:rsidR="00BD192A">
        <w:rPr>
          <w:rFonts w:ascii="Times New Roman" w:hAnsi="Times New Roman" w:cs="Times New Roman"/>
          <w:sz w:val="24"/>
          <w:szCs w:val="24"/>
        </w:rPr>
        <w:lastRenderedPageBreak/>
        <w:t xml:space="preserve">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w:t>
      </w:r>
      <w:r>
        <w:rPr>
          <w:rFonts w:ascii="Times New Roman" w:hAnsi="Times New Roman" w:cs="Times New Roman"/>
          <w:sz w:val="24"/>
          <w:szCs w:val="24"/>
        </w:rPr>
        <w:lastRenderedPageBreak/>
        <w:t xml:space="preserve">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t>
      </w:r>
      <w:r>
        <w:rPr>
          <w:rFonts w:ascii="Times New Roman" w:hAnsi="Times New Roman" w:cs="Times New Roman"/>
          <w:sz w:val="24"/>
          <w:szCs w:val="24"/>
        </w:rPr>
        <w:lastRenderedPageBreak/>
        <w:t xml:space="preserve">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.87. For backward pairs </w:t>
      </w:r>
      <w:r>
        <w:rPr>
          <w:rFonts w:ascii="Times New Roman" w:hAnsi="Times New Roman" w:cs="Times New Roman"/>
          <w:sz w:val="24"/>
          <w:szCs w:val="24"/>
        </w:rPr>
        <w:lastRenderedPageBreak/>
        <w:t xml:space="preserve">correct recall in the JOL (35.61) and JAM (36.36) groups was again greater relative to the no-JOL group (27.34). Correct recall in the JAM and the No-JOL groups differed significantly,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9"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9"/>
    <w:p w14:paraId="19A8AF0B" w14:textId="4E9286A6"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w:t>
      </w:r>
      <w:r w:rsidR="00CF4AF4">
        <w:rPr>
          <w:rFonts w:ascii="Times New Roman" w:hAnsi="Times New Roman" w:cs="Times New Roman"/>
          <w:sz w:val="24"/>
          <w:szCs w:val="24"/>
        </w:rPr>
        <w:lastRenderedPageBreak/>
        <w:t xml:space="preserve">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w:t>
      </w:r>
      <w:proofErr w:type="gramStart"/>
      <w:r w:rsidR="00CF4AF4">
        <w:rPr>
          <w:rFonts w:ascii="Times New Roman" w:hAnsi="Times New Roman" w:cs="Times New Roman"/>
          <w:sz w:val="24"/>
          <w:szCs w:val="24"/>
        </w:rPr>
        <w:t>in reference to</w:t>
      </w:r>
      <w:proofErr w:type="gramEnd"/>
      <w:r w:rsidR="00CF4AF4">
        <w:rPr>
          <w:rFonts w:ascii="Times New Roman" w:hAnsi="Times New Roman" w:cs="Times New Roman"/>
          <w:sz w:val="24"/>
          <w:szCs w:val="24"/>
        </w:rPr>
        <w:t xml:space="preserve"> other studies that have reported JOL reactivity patterns (e.g., </w:t>
      </w:r>
      <w:proofErr w:type="spellStart"/>
      <w:r w:rsidR="00CF4AF4">
        <w:rPr>
          <w:rFonts w:ascii="Times New Roman" w:hAnsi="Times New Roman" w:cs="Times New Roman"/>
          <w:sz w:val="24"/>
          <w:szCs w:val="24"/>
        </w:rPr>
        <w:t>Soderstrom</w:t>
      </w:r>
      <w:proofErr w:type="spellEnd"/>
      <w:r w:rsidR="00CF4AF4">
        <w:rPr>
          <w:rFonts w:ascii="Times New Roman" w:hAnsi="Times New Roman" w:cs="Times New Roman"/>
          <w:sz w:val="24"/>
          <w:szCs w:val="24"/>
        </w:rPr>
        <w:t xml:space="preserve"> et al., 2015; </w:t>
      </w:r>
      <w:proofErr w:type="spellStart"/>
      <w:r w:rsidR="00CF4AF4">
        <w:rPr>
          <w:rFonts w:ascii="Times New Roman" w:hAnsi="Times New Roman" w:cs="Times New Roman"/>
          <w:sz w:val="24"/>
          <w:szCs w:val="24"/>
        </w:rPr>
        <w:t>Mitchum</w:t>
      </w:r>
      <w:proofErr w:type="spellEnd"/>
      <w:r w:rsidR="00CF4AF4">
        <w:rPr>
          <w:rFonts w:ascii="Times New Roman" w:hAnsi="Times New Roman" w:cs="Times New Roman"/>
          <w:sz w:val="24"/>
          <w:szCs w:val="24"/>
        </w:rPr>
        <w:t xml:space="preserve">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10"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10"/>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w:t>
      </w:r>
      <w:r>
        <w:rPr>
          <w:rFonts w:ascii="Times New Roman" w:hAnsi="Times New Roman" w:cs="Times New Roman"/>
          <w:sz w:val="24"/>
          <w:szCs w:val="24"/>
        </w:rPr>
        <w:lastRenderedPageBreak/>
        <w:t xml:space="preserve">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1" w:name="_Hlk43816728"/>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1"/>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w:t>
      </w:r>
      <w:r>
        <w:rPr>
          <w:rFonts w:ascii="Times New Roman" w:hAnsi="Times New Roman" w:cs="Times New Roman"/>
          <w:sz w:val="24"/>
          <w:szCs w:val="24"/>
        </w:rPr>
        <w:lastRenderedPageBreak/>
        <w:t xml:space="preserve">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2" w:name="_Hlk47706029"/>
      <w:r w:rsidRPr="005A3E91">
        <w:rPr>
          <w:rFonts w:ascii="Times New Roman" w:hAnsi="Times New Roman" w:cs="Times New Roman"/>
          <w:sz w:val="24"/>
          <w:szCs w:val="24"/>
        </w:rPr>
        <w:t>≥</w:t>
      </w:r>
      <w:bookmarkEnd w:id="12"/>
      <w:r>
        <w:rPr>
          <w:rFonts w:ascii="Times New Roman" w:hAnsi="Times New Roman" w:cs="Times New Roman"/>
          <w:sz w:val="24"/>
          <w:szCs w:val="24"/>
        </w:rPr>
        <w:t xml:space="preserve"> .31,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w:t>
      </w:r>
      <w:r w:rsidR="00F9086D">
        <w:rPr>
          <w:rFonts w:ascii="Times New Roman" w:hAnsi="Times New Roman" w:cs="Times New Roman"/>
          <w:sz w:val="24"/>
          <w:szCs w:val="24"/>
        </w:rPr>
        <w:lastRenderedPageBreak/>
        <w:t xml:space="preserve">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23B8460C"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w:t>
      </w:r>
      <w:proofErr w:type="spellStart"/>
      <w:r w:rsidR="00E80D37">
        <w:rPr>
          <w:rFonts w:ascii="Times New Roman" w:hAnsi="Times New Roman" w:cs="Times New Roman"/>
          <w:sz w:val="24"/>
          <w:szCs w:val="24"/>
        </w:rPr>
        <w:t>Soderstrom</w:t>
      </w:r>
      <w:proofErr w:type="spellEnd"/>
      <w:r w:rsidR="00E80D37">
        <w:rPr>
          <w:rFonts w:ascii="Times New Roman" w:hAnsi="Times New Roman" w:cs="Times New Roman"/>
          <w:sz w:val="24"/>
          <w:szCs w:val="24"/>
        </w:rPr>
        <w:t xml:space="preserve">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w:t>
      </w:r>
      <w:proofErr w:type="spellStart"/>
      <w:r w:rsidR="00E80D37">
        <w:rPr>
          <w:rFonts w:ascii="Times New Roman" w:hAnsi="Times New Roman" w:cs="Times New Roman"/>
          <w:sz w:val="24"/>
          <w:szCs w:val="24"/>
        </w:rPr>
        <w:t>Soderstrom</w:t>
      </w:r>
      <w:proofErr w:type="spellEnd"/>
      <w:r w:rsidR="00E80D37">
        <w:rPr>
          <w:rFonts w:ascii="Times New Roman" w:hAnsi="Times New Roman" w:cs="Times New Roman"/>
          <w:sz w:val="24"/>
          <w:szCs w:val="24"/>
        </w:rPr>
        <w:t xml:space="preserve">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63F8D9"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w:t>
      </w:r>
      <w:r w:rsidR="002252BE">
        <w:rPr>
          <w:rFonts w:ascii="Times New Roman" w:hAnsi="Times New Roman" w:cs="Times New Roman"/>
          <w:sz w:val="24"/>
          <w:szCs w:val="24"/>
        </w:rPr>
        <w:t>Because our</w:t>
      </w:r>
      <w:r w:rsidR="006E0C71">
        <w:rPr>
          <w:rFonts w:ascii="Times New Roman" w:hAnsi="Times New Roman" w:cs="Times New Roman"/>
          <w:sz w:val="24"/>
          <w:szCs w:val="24"/>
        </w:rPr>
        <w:t xml:space="preserv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7FCA98B" w:rsidR="001F5086" w:rsidRDefault="002252BE"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inclusion of a</w:t>
      </w:r>
      <w:r w:rsidR="00977508">
        <w:rPr>
          <w:rFonts w:ascii="Times New Roman" w:hAnsi="Times New Roman" w:cs="Times New Roman"/>
          <w:sz w:val="24"/>
          <w:szCs w:val="24"/>
        </w:rPr>
        <w:t>n</w:t>
      </w:r>
      <w:r w:rsidR="00FC7DF1">
        <w:rPr>
          <w:rFonts w:ascii="Times New Roman" w:hAnsi="Times New Roman" w:cs="Times New Roman"/>
          <w:sz w:val="24"/>
          <w:szCs w:val="24"/>
        </w:rPr>
        <w:t xml:space="preserve"> 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w:t>
      </w:r>
      <w:proofErr w:type="spellStart"/>
      <w:r w:rsidR="001F5086">
        <w:rPr>
          <w:rFonts w:ascii="Times New Roman" w:hAnsi="Times New Roman" w:cs="Times New Roman"/>
          <w:sz w:val="24"/>
          <w:szCs w:val="24"/>
        </w:rPr>
        <w:t>Gretz</w:t>
      </w:r>
      <w:proofErr w:type="spellEnd"/>
      <w:r w:rsidR="001F5086">
        <w:rPr>
          <w:rFonts w:ascii="Times New Roman" w:hAnsi="Times New Roman" w:cs="Times New Roman"/>
          <w:sz w:val="24"/>
          <w:szCs w:val="24"/>
        </w:rPr>
        <w:t xml:space="preserve">,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1F5086">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proofErr w:type="gramStart"/>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proofErr w:type="gramEnd"/>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3"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3"/>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4" w:name="_Hlk45377200"/>
      <w:r>
        <w:rPr>
          <w:rFonts w:ascii="Times New Roman" w:hAnsi="Times New Roman" w:cs="Times New Roman"/>
          <w:i/>
          <w:iCs/>
          <w:sz w:val="24"/>
          <w:szCs w:val="24"/>
        </w:rPr>
        <w:t>t</w:t>
      </w:r>
      <w:bookmarkEnd w:id="14"/>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.88. Additionally, there was no difference between the no-JOL and shallow groups, </w:t>
      </w:r>
      <w:bookmarkStart w:id="15" w:name="_Hlk45392827"/>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5"/>
      <w:r>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6" w:name="_Hlk45459364"/>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6"/>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7"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7"/>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8"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8"/>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9" w:name="_Hlk45540076"/>
      <w:r w:rsidRPr="00C474E3">
        <w:rPr>
          <w:rFonts w:ascii="Times New Roman" w:hAnsi="Times New Roman" w:cs="Times New Roman"/>
          <w:sz w:val="24"/>
          <w:szCs w:val="24"/>
        </w:rPr>
        <w:t>≥</w:t>
      </w:r>
      <w:bookmarkEnd w:id="19"/>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66EE48A3"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w:t>
      </w:r>
      <w:r w:rsidR="00A71120">
        <w:rPr>
          <w:rFonts w:ascii="Times New Roman" w:hAnsi="Times New Roman" w:cs="Times New Roman"/>
          <w:sz w:val="24"/>
          <w:szCs w:val="24"/>
        </w:rPr>
        <w:lastRenderedPageBreak/>
        <w:t>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w:t>
      </w:r>
      <w:r w:rsidR="002252BE">
        <w:rPr>
          <w:rFonts w:ascii="Times New Roman" w:hAnsi="Times New Roman" w:cs="Times New Roman"/>
          <w:sz w:val="24"/>
          <w:szCs w:val="24"/>
        </w:rPr>
        <w:t xml:space="preserve">strategically </w:t>
      </w:r>
      <w:r>
        <w:rPr>
          <w:rFonts w:ascii="Times New Roman" w:hAnsi="Times New Roman" w:cs="Times New Roman"/>
          <w:sz w:val="24"/>
          <w:szCs w:val="24"/>
        </w:rPr>
        <w:t xml:space="preserve">limiting it to only related pairs as is likely occurring in the JOL group. </w:t>
      </w:r>
      <w:r w:rsidR="00A71120">
        <w:rPr>
          <w:rFonts w:ascii="Times New Roman" w:hAnsi="Times New Roman" w:cs="Times New Roman"/>
          <w:sz w:val="24"/>
          <w:szCs w:val="24"/>
        </w:rPr>
        <w:t xml:space="preserve">Thus, these patterns </w:t>
      </w:r>
      <w:r w:rsidR="002252BE">
        <w:rPr>
          <w:rFonts w:ascii="Times New Roman" w:hAnsi="Times New Roman" w:cs="Times New Roman"/>
          <w:sz w:val="24"/>
          <w:szCs w:val="24"/>
        </w:rPr>
        <w:t xml:space="preserve">provide evidence </w:t>
      </w:r>
      <w:r w:rsidR="00A71120">
        <w:rPr>
          <w:rFonts w:ascii="Times New Roman" w:hAnsi="Times New Roman" w:cs="Times New Roman"/>
          <w:sz w:val="24"/>
          <w:szCs w:val="24"/>
        </w:rPr>
        <w:t>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5E657C51"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w:t>
      </w:r>
      <w:proofErr w:type="spellStart"/>
      <w:r w:rsidR="003557E5" w:rsidRPr="00E9298D">
        <w:rPr>
          <w:rFonts w:ascii="Times New Roman" w:hAnsi="Times New Roman" w:cs="Times New Roman"/>
          <w:sz w:val="24"/>
          <w:szCs w:val="24"/>
        </w:rPr>
        <w:t>Soderstrom</w:t>
      </w:r>
      <w:proofErr w:type="spellEnd"/>
      <w:r w:rsidR="003557E5" w:rsidRPr="00E9298D">
        <w:rPr>
          <w:rFonts w:ascii="Times New Roman" w:hAnsi="Times New Roman" w:cs="Times New Roman"/>
          <w:sz w:val="24"/>
          <w:szCs w:val="24"/>
        </w:rPr>
        <w:t xml:space="preserve">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xml:space="preserve">, which is consistent with </w:t>
      </w:r>
      <w:proofErr w:type="spellStart"/>
      <w:r w:rsidR="00D52019">
        <w:rPr>
          <w:rFonts w:ascii="Times New Roman" w:hAnsi="Times New Roman" w:cs="Times New Roman"/>
          <w:sz w:val="24"/>
          <w:szCs w:val="24"/>
        </w:rPr>
        <w:t>Soderstrom</w:t>
      </w:r>
      <w:proofErr w:type="spellEnd"/>
      <w:r w:rsidR="00D52019">
        <w:rPr>
          <w:rFonts w:ascii="Times New Roman" w:hAnsi="Times New Roman" w:cs="Times New Roman"/>
          <w:sz w:val="24"/>
          <w:szCs w:val="24"/>
        </w:rPr>
        <w:t xml:space="preserve">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20"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2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FB73AE4"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w:t>
      </w:r>
      <w:proofErr w:type="spellStart"/>
      <w:r w:rsidR="00373595">
        <w:rPr>
          <w:rFonts w:ascii="Times New Roman" w:hAnsi="Times New Roman" w:cs="Times New Roman"/>
          <w:sz w:val="24"/>
          <w:szCs w:val="24"/>
        </w:rPr>
        <w:t>Mitchum</w:t>
      </w:r>
      <w:proofErr w:type="spellEnd"/>
      <w:r w:rsidR="00373595">
        <w:rPr>
          <w:rFonts w:ascii="Times New Roman" w:hAnsi="Times New Roman" w:cs="Times New Roman"/>
          <w:sz w:val="24"/>
          <w:szCs w:val="24"/>
        </w:rPr>
        <w:t xml:space="preserve">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w:t>
      </w:r>
      <w:proofErr w:type="spellStart"/>
      <w:r w:rsidR="00205985">
        <w:rPr>
          <w:rFonts w:ascii="Times New Roman" w:hAnsi="Times New Roman" w:cs="Times New Roman"/>
          <w:sz w:val="24"/>
          <w:szCs w:val="24"/>
        </w:rPr>
        <w:t>Soderstrom</w:t>
      </w:r>
      <w:proofErr w:type="spellEnd"/>
      <w:r w:rsidR="00205985">
        <w:rPr>
          <w:rFonts w:ascii="Times New Roman" w:hAnsi="Times New Roman" w:cs="Times New Roman"/>
          <w:sz w:val="24"/>
          <w:szCs w:val="24"/>
        </w:rPr>
        <w:t xml:space="preserve">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 xml:space="preserve">participants generally performed </w:t>
      </w:r>
      <w:r w:rsidR="00C80ED3">
        <w:rPr>
          <w:rFonts w:ascii="Times New Roman" w:hAnsi="Times New Roman" w:cs="Times New Roman"/>
          <w:sz w:val="24"/>
          <w:szCs w:val="24"/>
        </w:rPr>
        <w:lastRenderedPageBreak/>
        <w:t>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w:t>
      </w:r>
      <w:proofErr w:type="spellStart"/>
      <w:r w:rsidR="00CF42DA">
        <w:rPr>
          <w:rFonts w:ascii="Times New Roman" w:hAnsi="Times New Roman" w:cs="Times New Roman"/>
          <w:sz w:val="24"/>
          <w:szCs w:val="24"/>
        </w:rPr>
        <w:t>Soderstrom</w:t>
      </w:r>
      <w:proofErr w:type="spellEnd"/>
      <w:r w:rsidR="00CF42DA">
        <w:rPr>
          <w:rFonts w:ascii="Times New Roman" w:hAnsi="Times New Roman" w:cs="Times New Roman"/>
          <w:sz w:val="24"/>
          <w:szCs w:val="24"/>
        </w:rPr>
        <w:t xml:space="preserve">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proofErr w:type="spellStart"/>
      <w:r w:rsidR="005C5224">
        <w:rPr>
          <w:rFonts w:ascii="Times New Roman" w:hAnsi="Times New Roman" w:cs="Times New Roman"/>
          <w:sz w:val="24"/>
          <w:szCs w:val="24"/>
        </w:rPr>
        <w:t>Mitchum</w:t>
      </w:r>
      <w:proofErr w:type="spellEnd"/>
      <w:r w:rsidR="005C5224">
        <w:rPr>
          <w:rFonts w:ascii="Times New Roman" w:hAnsi="Times New Roman" w:cs="Times New Roman"/>
          <w:sz w:val="24"/>
          <w:szCs w:val="24"/>
        </w:rPr>
        <w:t xml:space="preserve">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w:t>
      </w:r>
      <w:r w:rsidR="00B83C0E">
        <w:rPr>
          <w:rFonts w:ascii="Times New Roman" w:hAnsi="Times New Roman" w:cs="Times New Roman"/>
          <w:sz w:val="24"/>
          <w:szCs w:val="24"/>
        </w:rPr>
        <w:lastRenderedPageBreak/>
        <w:t xml:space="preserve">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w:t>
      </w:r>
      <w:r>
        <w:rPr>
          <w:rFonts w:ascii="Times New Roman" w:hAnsi="Times New Roman" w:cs="Times New Roman"/>
          <w:sz w:val="24"/>
          <w:szCs w:val="24"/>
        </w:rPr>
        <w:lastRenderedPageBreak/>
        <w:t>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w:t>
      </w:r>
      <w:proofErr w:type="spellStart"/>
      <w:r w:rsidR="00646C53">
        <w:rPr>
          <w:rFonts w:ascii="Times New Roman" w:hAnsi="Times New Roman" w:cs="Times New Roman"/>
          <w:sz w:val="24"/>
          <w:szCs w:val="24"/>
        </w:rPr>
        <w:t>Soderstrom</w:t>
      </w:r>
      <w:proofErr w:type="spellEnd"/>
      <w:r w:rsidR="00646C53">
        <w:rPr>
          <w:rFonts w:ascii="Times New Roman" w:hAnsi="Times New Roman" w:cs="Times New Roman"/>
          <w:sz w:val="24"/>
          <w:szCs w:val="24"/>
        </w:rPr>
        <w:t xml:space="preserve">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w:t>
      </w:r>
      <w:r w:rsidR="00881C66">
        <w:rPr>
          <w:rFonts w:ascii="Times New Roman" w:hAnsi="Times New Roman" w:cs="Times New Roman"/>
          <w:sz w:val="24"/>
          <w:szCs w:val="24"/>
        </w:rPr>
        <w:lastRenderedPageBreak/>
        <w:t>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482DBC5B" w:rsidR="000B73EC" w:rsidRPr="002252BE" w:rsidRDefault="00DC7D8E" w:rsidP="002703C0">
      <w:pPr>
        <w:spacing w:after="0" w:line="480" w:lineRule="auto"/>
        <w:ind w:firstLine="720"/>
        <w:rPr>
          <w:rFonts w:ascii="Times New Roman" w:hAnsi="Times New Roman" w:cs="Times New Roman"/>
          <w:sz w:val="24"/>
          <w:szCs w:val="24"/>
        </w:rPr>
      </w:pPr>
      <w:r w:rsidRPr="002252BE">
        <w:rPr>
          <w:rFonts w:ascii="Times New Roman" w:hAnsi="Times New Roman" w:cs="Times New Roman"/>
          <w:sz w:val="24"/>
          <w:szCs w:val="24"/>
        </w:rPr>
        <w:t xml:space="preserve">Relatedly, reactivity effects may </w:t>
      </w:r>
      <w:r w:rsidR="007A168A" w:rsidRPr="002252BE">
        <w:rPr>
          <w:rFonts w:ascii="Times New Roman" w:hAnsi="Times New Roman" w:cs="Times New Roman"/>
          <w:sz w:val="24"/>
          <w:szCs w:val="24"/>
        </w:rPr>
        <w:t xml:space="preserve">partially </w:t>
      </w:r>
      <w:r w:rsidR="00627607" w:rsidRPr="002252BE">
        <w:rPr>
          <w:rFonts w:ascii="Times New Roman" w:hAnsi="Times New Roman" w:cs="Times New Roman"/>
          <w:sz w:val="24"/>
          <w:szCs w:val="24"/>
        </w:rPr>
        <w:t>represent</w:t>
      </w:r>
      <w:r w:rsidRPr="002252BE">
        <w:rPr>
          <w:rFonts w:ascii="Times New Roman" w:hAnsi="Times New Roman" w:cs="Times New Roman"/>
          <w:sz w:val="24"/>
          <w:szCs w:val="24"/>
        </w:rPr>
        <w:t xml:space="preserve"> increased encoding durations </w:t>
      </w:r>
      <w:r w:rsidR="00560CAE" w:rsidRPr="002252BE">
        <w:rPr>
          <w:rFonts w:ascii="Times New Roman" w:hAnsi="Times New Roman" w:cs="Times New Roman"/>
          <w:sz w:val="24"/>
          <w:szCs w:val="24"/>
        </w:rPr>
        <w:t xml:space="preserve">for participants who </w:t>
      </w:r>
      <w:r w:rsidR="00D447C3" w:rsidRPr="002252BE">
        <w:rPr>
          <w:rFonts w:ascii="Times New Roman" w:hAnsi="Times New Roman" w:cs="Times New Roman"/>
          <w:sz w:val="24"/>
          <w:szCs w:val="24"/>
        </w:rPr>
        <w:t>completed</w:t>
      </w:r>
      <w:r w:rsidRPr="002252BE">
        <w:rPr>
          <w:rFonts w:ascii="Times New Roman" w:hAnsi="Times New Roman" w:cs="Times New Roman"/>
          <w:sz w:val="24"/>
          <w:szCs w:val="24"/>
        </w:rPr>
        <w:t xml:space="preserve"> </w:t>
      </w:r>
      <w:r w:rsidR="007A168A" w:rsidRPr="002252BE">
        <w:rPr>
          <w:rFonts w:ascii="Times New Roman" w:hAnsi="Times New Roman" w:cs="Times New Roman"/>
          <w:sz w:val="24"/>
          <w:szCs w:val="24"/>
        </w:rPr>
        <w:t>judgment</w:t>
      </w:r>
      <w:r w:rsidRPr="002252BE">
        <w:rPr>
          <w:rFonts w:ascii="Times New Roman" w:hAnsi="Times New Roman" w:cs="Times New Roman"/>
          <w:sz w:val="24"/>
          <w:szCs w:val="24"/>
        </w:rPr>
        <w:t xml:space="preserve"> tasks at study relative to silent reading</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w:t>
      </w:r>
      <w:r w:rsidR="0079259F" w:rsidRPr="002252BE">
        <w:rPr>
          <w:rFonts w:ascii="Times New Roman" w:hAnsi="Times New Roman" w:cs="Times New Roman"/>
          <w:sz w:val="24"/>
          <w:szCs w:val="24"/>
        </w:rPr>
        <w:lastRenderedPageBreak/>
        <w:t xml:space="preserve">experimenter paced study </w:t>
      </w:r>
      <w:r w:rsidR="0013697C" w:rsidRPr="002252BE">
        <w:rPr>
          <w:rFonts w:ascii="Times New Roman" w:hAnsi="Times New Roman" w:cs="Times New Roman"/>
          <w:sz w:val="24"/>
          <w:szCs w:val="24"/>
        </w:rPr>
        <w:t xml:space="preserve">(e.g., Janes et al., 2018; </w:t>
      </w:r>
      <w:proofErr w:type="spellStart"/>
      <w:r w:rsidR="0013697C" w:rsidRPr="002252BE">
        <w:rPr>
          <w:rFonts w:ascii="Times New Roman" w:hAnsi="Times New Roman" w:cs="Times New Roman"/>
          <w:sz w:val="24"/>
          <w:szCs w:val="24"/>
        </w:rPr>
        <w:t>Soderstrom</w:t>
      </w:r>
      <w:proofErr w:type="spellEnd"/>
      <w:r w:rsidR="0013697C" w:rsidRPr="002252BE">
        <w:rPr>
          <w:rFonts w:ascii="Times New Roman" w:hAnsi="Times New Roman" w:cs="Times New Roman"/>
          <w:sz w:val="24"/>
          <w:szCs w:val="24"/>
        </w:rPr>
        <w:t xml:space="preserve">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2252BE">
        <w:rPr>
          <w:rFonts w:ascii="Times New Roman" w:hAnsi="Times New Roman" w:cs="Times New Roman"/>
          <w:sz w:val="24"/>
          <w:szCs w:val="24"/>
        </w:rPr>
        <w:t>Collectively</w:t>
      </w:r>
      <w:r w:rsidR="00560CAE" w:rsidRPr="002252BE">
        <w:rPr>
          <w:rFonts w:ascii="Times New Roman" w:hAnsi="Times New Roman" w:cs="Times New Roman"/>
          <w:sz w:val="24"/>
          <w:szCs w:val="24"/>
        </w:rPr>
        <w:t xml:space="preserve">, </w:t>
      </w:r>
      <w:r w:rsidR="00322450" w:rsidRPr="002252BE">
        <w:rPr>
          <w:rFonts w:ascii="Times New Roman" w:hAnsi="Times New Roman" w:cs="Times New Roman"/>
          <w:sz w:val="24"/>
          <w:szCs w:val="24"/>
        </w:rPr>
        <w:t>reactivity effects in the present study appear to be driven primarily by relational encoding rather than increased study durations.</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 xml:space="preserve">(e.g., Janes et al., 2018; </w:t>
      </w:r>
      <w:proofErr w:type="spellStart"/>
      <w:r w:rsidR="00E837EC">
        <w:rPr>
          <w:rFonts w:ascii="Times New Roman" w:hAnsi="Times New Roman" w:cs="Times New Roman"/>
          <w:sz w:val="24"/>
          <w:szCs w:val="24"/>
        </w:rPr>
        <w:t>Soderstrom</w:t>
      </w:r>
      <w:proofErr w:type="spellEnd"/>
      <w:r w:rsidR="00E837EC">
        <w:rPr>
          <w:rFonts w:ascii="Times New Roman" w:hAnsi="Times New Roman" w:cs="Times New Roman"/>
          <w:sz w:val="24"/>
          <w:szCs w:val="24"/>
        </w:rPr>
        <w:t xml:space="preserve">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w:t>
      </w:r>
      <w:r w:rsidR="00E837EC">
        <w:rPr>
          <w:rFonts w:ascii="Times New Roman" w:hAnsi="Times New Roman" w:cs="Times New Roman"/>
          <w:sz w:val="24"/>
          <w:szCs w:val="24"/>
        </w:rPr>
        <w:lastRenderedPageBreak/>
        <w:t>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6ED1BEF7"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metamemorial</w:t>
      </w:r>
      <w:proofErr w:type="spellEnd"/>
      <w:r w:rsidR="005C0FD6"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w:t>
      </w:r>
      <w:proofErr w:type="gramStart"/>
      <w:r w:rsidR="000B5817">
        <w:rPr>
          <w:rFonts w:ascii="Times New Roman" w:hAnsi="Times New Roman" w:cs="Times New Roman"/>
          <w:sz w:val="24"/>
          <w:szCs w:val="24"/>
        </w:rPr>
        <w:t>goal</w:t>
      </w:r>
      <w:proofErr w:type="gramEnd"/>
      <w:r w:rsidR="000B5817">
        <w:rPr>
          <w:rFonts w:ascii="Times New Roman" w:hAnsi="Times New Roman" w:cs="Times New Roman"/>
          <w:sz w:val="24"/>
          <w:szCs w:val="24"/>
        </w:rPr>
        <w:t xml:space="preserve">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1"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2" w:name="_Hlk65826197"/>
      <w:bookmarkEnd w:id="21"/>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2"/>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3"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3"/>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4"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4"/>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5"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5"/>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6"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6"/>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7"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7"/>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18BD7489" w:rsidR="00550A74" w:rsidRP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t xml:space="preserve">Rhodes, M. G. (2016). Judgments of learning. In J. </w:t>
      </w:r>
      <w:proofErr w:type="spellStart"/>
      <w:r w:rsidRPr="00550A74">
        <w:rPr>
          <w:rFonts w:ascii="Times New Roman" w:eastAsia="Calibri" w:hAnsi="Times New Roman" w:cs="Times New Roman"/>
          <w:color w:val="2683C6" w:themeColor="accent6"/>
          <w:sz w:val="24"/>
          <w:szCs w:val="24"/>
        </w:rPr>
        <w:t>Dunlosky</w:t>
      </w:r>
      <w:proofErr w:type="spellEnd"/>
      <w:r w:rsidRPr="00550A74">
        <w:rPr>
          <w:rFonts w:ascii="Times New Roman" w:eastAsia="Calibri" w:hAnsi="Times New Roman" w:cs="Times New Roman"/>
          <w:color w:val="2683C6" w:themeColor="accent6"/>
          <w:sz w:val="24"/>
          <w:szCs w:val="24"/>
        </w:rPr>
        <w:t xml:space="preserve">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8"/>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proofErr w:type="gramStart"/>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w:t>
      </w:r>
      <w:proofErr w:type="gramEnd"/>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9" w:name="_Hlk49607166"/>
      <w:bookmarkStart w:id="30"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9"/>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0"/>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proofErr w:type="gramStart"/>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proofErr w:type="gramEnd"/>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proofErr w:type="gramStart"/>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proofErr w:type="gramEnd"/>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1"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1"/>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proofErr w:type="gram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w:t>
      </w:r>
      <w:proofErr w:type="gramEnd"/>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proofErr w:type="gram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w:t>
      </w:r>
      <w:proofErr w:type="gramEnd"/>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3"/>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2A8F4F71"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w:t>
      </w:r>
      <w:proofErr w:type="spellStart"/>
      <w:r w:rsidRPr="00E161FF">
        <w:rPr>
          <w:rFonts w:ascii="Times New Roman" w:hAnsi="Times New Roman" w:cs="Times New Roman"/>
          <w:sz w:val="24"/>
          <w:szCs w:val="24"/>
        </w:rPr>
        <w:t>Mitchum</w:t>
      </w:r>
      <w:proofErr w:type="spellEnd"/>
      <w:r w:rsidRPr="00E161FF">
        <w:rPr>
          <w:rFonts w:ascii="Times New Roman" w:hAnsi="Times New Roman" w:cs="Times New Roman"/>
          <w:sz w:val="24"/>
          <w:szCs w:val="24"/>
        </w:rPr>
        <w:t xml:space="preserve">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r w:rsidRPr="00FA6917">
        <w:rPr>
          <w:rFonts w:ascii="Times New Roman" w:hAnsi="Times New Roman" w:cs="Times New Roman"/>
          <w:sz w:val="24"/>
          <w:szCs w:val="24"/>
        </w:rPr>
        <w:t>Koriat</w:t>
      </w:r>
      <w:proofErr w:type="spell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4"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4"/>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5" w:name="_Hlk58079244"/>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5"/>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7" w:name="_Hlk32942520"/>
      <w:bookmarkEnd w:id="3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8"/>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w:t>
      </w:r>
      <w:proofErr w:type="spellStart"/>
      <w:r w:rsidRPr="00FF16FE">
        <w:rPr>
          <w:rFonts w:ascii="Times New Roman" w:hAnsi="Times New Roman" w:cs="Times New Roman"/>
          <w:sz w:val="24"/>
          <w:szCs w:val="24"/>
        </w:rPr>
        <w:t>Brysbaert</w:t>
      </w:r>
      <w:proofErr w:type="spellEnd"/>
      <w:r w:rsidRPr="00FF16FE">
        <w:rPr>
          <w:rFonts w:ascii="Times New Roman" w:hAnsi="Times New Roman" w:cs="Times New Roman"/>
          <w:sz w:val="24"/>
          <w:szCs w:val="24"/>
        </w:rPr>
        <w:t xml:space="preserve">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81A451F"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bookmarkStart w:id="39" w:name="_Hlk90536641"/>
      <w:r w:rsidR="00DC463C" w:rsidRPr="00DC463C">
        <w:rPr>
          <w:rFonts w:ascii="Times New Roman" w:hAnsi="Times New Roman"/>
          <w:color w:val="578793" w:themeColor="accent5" w:themeShade="BF"/>
        </w:rPr>
        <w:t>Confidence intervals can be computed by adding or subtracting the CI column from the mean.</w:t>
      </w:r>
      <w:bookmarkEnd w:id="39"/>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3523102C"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00DC463C" w:rsidRPr="00DC463C">
        <w:rPr>
          <w:rFonts w:ascii="Times New Roman" w:hAnsi="Times New Roman"/>
          <w:color w:val="578793" w:themeColor="accent5" w:themeShade="BF"/>
        </w:rPr>
        <w:t>Confidence intervals can be computed by adding or subtracting the CI column from the mean.</w:t>
      </w:r>
      <w:r w:rsidR="00DC463C">
        <w:rPr>
          <w:rFonts w:ascii="Times New Roman" w:hAnsi="Times New Roman"/>
          <w:color w:val="578793" w:themeColor="accent5" w:themeShade="BF"/>
        </w:rPr>
        <w:t xml:space="preserv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holas Maxwell" w:date="2021-12-16T07:52:00Z" w:initials="NM">
    <w:p w14:paraId="360A4226" w14:textId="0971DDAD" w:rsidR="008B51CC" w:rsidRDefault="008B51CC">
      <w:pPr>
        <w:pStyle w:val="CommentText"/>
      </w:pPr>
      <w:r>
        <w:rPr>
          <w:rStyle w:val="CommentReference"/>
        </w:rPr>
        <w:annotationRef/>
      </w:r>
      <w:r>
        <w:t>Will update when finished</w:t>
      </w:r>
    </w:p>
  </w:comment>
  <w:comment w:id="3" w:author="Nicholas Maxwell" w:date="2021-12-16T07:53:00Z" w:initials="NM">
    <w:p w14:paraId="23D3DB16" w14:textId="62022E63" w:rsidR="008B51CC" w:rsidRDefault="008B51CC">
      <w:pPr>
        <w:pStyle w:val="CommentText"/>
      </w:pPr>
      <w:r>
        <w:rPr>
          <w:rStyle w:val="CommentReference"/>
        </w:rPr>
        <w:annotationRef/>
      </w:r>
      <w:r>
        <w:t>Will need to update if we add an additional experiment</w:t>
      </w:r>
    </w:p>
  </w:comment>
  <w:comment w:id="4" w:author="Nicholas Maxwell" w:date="2021-12-16T11:17:00Z" w:initials="NM">
    <w:p w14:paraId="7DA49BE6" w14:textId="06D52A31" w:rsidR="0091546C" w:rsidRDefault="0091546C">
      <w:pPr>
        <w:pStyle w:val="CommentText"/>
      </w:pPr>
      <w:r>
        <w:rPr>
          <w:rStyle w:val="CommentReference"/>
        </w:rPr>
        <w:annotationRef/>
      </w:r>
      <w:r>
        <w:t>“real-time”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0A4226" w15:done="0"/>
  <w15:commentEx w15:paraId="23D3DB16" w15:done="0"/>
  <w15:commentEx w15:paraId="7DA49B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56EBD" w16cex:dateUtc="2021-12-16T13:52:00Z"/>
  <w16cex:commentExtensible w16cex:durableId="25656EDE" w16cex:dateUtc="2021-12-16T13:53:00Z"/>
  <w16cex:commentExtensible w16cex:durableId="25659EE4" w16cex:dateUtc="2021-12-16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0A4226" w16cid:durableId="25656EBD"/>
  <w16cid:commentId w16cid:paraId="23D3DB16" w16cid:durableId="25656EDE"/>
  <w16cid:commentId w16cid:paraId="7DA49BE6" w16cid:durableId="25659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C4E59" w14:textId="77777777" w:rsidR="004C75B4" w:rsidRDefault="004C75B4" w:rsidP="00A34848">
      <w:pPr>
        <w:spacing w:after="0" w:line="240" w:lineRule="auto"/>
      </w:pPr>
      <w:r>
        <w:separator/>
      </w:r>
    </w:p>
  </w:endnote>
  <w:endnote w:type="continuationSeparator" w:id="0">
    <w:p w14:paraId="48E2EB3E" w14:textId="77777777" w:rsidR="004C75B4" w:rsidRDefault="004C75B4"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96229" w14:textId="77777777" w:rsidR="004C75B4" w:rsidRDefault="004C75B4" w:rsidP="00A34848">
      <w:pPr>
        <w:spacing w:after="0" w:line="240" w:lineRule="auto"/>
      </w:pPr>
      <w:r>
        <w:separator/>
      </w:r>
    </w:p>
  </w:footnote>
  <w:footnote w:type="continuationSeparator" w:id="0">
    <w:p w14:paraId="3A1CBBA9" w14:textId="77777777" w:rsidR="004C75B4" w:rsidRDefault="004C75B4"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8B51CC" w:rsidRPr="002276D1" w:rsidRDefault="008B51C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8B51CC" w:rsidRDefault="008B5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8B51CC" w:rsidRDefault="008B51C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8B51CC" w:rsidRDefault="008B5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59D"/>
    <w:rsid w:val="00044F23"/>
    <w:rsid w:val="000455F9"/>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693"/>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18A3"/>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DF8"/>
    <w:rsid w:val="00216AE2"/>
    <w:rsid w:val="00216BF0"/>
    <w:rsid w:val="0021750B"/>
    <w:rsid w:val="002210E5"/>
    <w:rsid w:val="00221460"/>
    <w:rsid w:val="00223490"/>
    <w:rsid w:val="002246AF"/>
    <w:rsid w:val="002252BE"/>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3FE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C75B4"/>
    <w:rsid w:val="004D0158"/>
    <w:rsid w:val="004D021E"/>
    <w:rsid w:val="004D2556"/>
    <w:rsid w:val="004D2670"/>
    <w:rsid w:val="004D28D7"/>
    <w:rsid w:val="004D4D4F"/>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A20"/>
    <w:rsid w:val="00654C86"/>
    <w:rsid w:val="00655E32"/>
    <w:rsid w:val="006569E1"/>
    <w:rsid w:val="0065799E"/>
    <w:rsid w:val="00663CA0"/>
    <w:rsid w:val="00665099"/>
    <w:rsid w:val="006651E9"/>
    <w:rsid w:val="0066549D"/>
    <w:rsid w:val="00665A11"/>
    <w:rsid w:val="0066720F"/>
    <w:rsid w:val="00667457"/>
    <w:rsid w:val="00667D15"/>
    <w:rsid w:val="006707EF"/>
    <w:rsid w:val="006718B7"/>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68A"/>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3F4"/>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482A"/>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54B"/>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450A"/>
    <w:rsid w:val="00DC463C"/>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E33"/>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3A1"/>
    <w:rsid w:val="00F83A56"/>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74F"/>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64</Pages>
  <Words>15838</Words>
  <Characters>90280</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16</cp:revision>
  <cp:lastPrinted>2021-10-08T13:48:00Z</cp:lastPrinted>
  <dcterms:created xsi:type="dcterms:W3CDTF">2021-10-08T20:30:00Z</dcterms:created>
  <dcterms:modified xsi:type="dcterms:W3CDTF">2021-12-16T17:29:00Z</dcterms:modified>
</cp:coreProperties>
</file>