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215E47"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5AF81AF2"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60C47E07"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C237298"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proofErr w:type="spellStart"/>
      <w:r w:rsidR="00874A24">
        <w:rPr>
          <w:rFonts w:ascii="Times New Roman" w:hAnsi="Times New Roman" w:cs="Times New Roman"/>
          <w:i/>
          <w:iCs/>
          <w:sz w:val="24"/>
          <w:szCs w:val="24"/>
        </w:rPr>
        <w:t>reactive</w:t>
      </w:r>
      <w:r w:rsidR="00663096" w:rsidRPr="00663096">
        <w:rPr>
          <w:rFonts w:ascii="Times New Roman" w:hAnsi="Times New Roman" w:cs="Times New Roman"/>
          <w:i/>
          <w:iCs/>
          <w:sz w:val="24"/>
          <w:szCs w:val="24"/>
        </w:rPr>
        <w:t>ty</w:t>
      </w:r>
      <w:proofErr w:type="spellEnd"/>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0D904992"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267812E5"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310AEE11"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in press;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To date, it is unclear why this pattern changed as similar methodologies were used relative to other studies (e.g., Maxwell &amp; Huff, in press;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3475F3EF"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 xml:space="preserve">Finally, Maxwell and Huff (in press)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proofErr w:type="gramStart"/>
      <w:r w:rsidRPr="004C1631">
        <w:rPr>
          <w:rFonts w:ascii="Times New Roman" w:hAnsi="Times New Roman" w:cs="Times New Roman"/>
          <w:sz w:val="24"/>
          <w:szCs w:val="24"/>
        </w:rPr>
        <w:t>Tauber</w:t>
      </w:r>
      <w:proofErr w:type="gramEnd"/>
      <w:r w:rsidRPr="004C1631">
        <w:rPr>
          <w:rFonts w:ascii="Times New Roman" w:hAnsi="Times New Roman" w:cs="Times New Roman"/>
          <w:sz w:val="24"/>
          <w:szCs w:val="24"/>
        </w:rPr>
        <w:t xml:space="preserve">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6E5FC1C4"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4C0E3093"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(in press),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2AAE6C67"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BC1646">
        <w:rPr>
          <w:rFonts w:ascii="Times New Roman" w:hAnsi="Times New Roman" w:cs="Times New Roman"/>
          <w:sz w:val="24"/>
          <w:szCs w:val="24"/>
        </w:rPr>
        <w:t>provide further evidence for a goal-changing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w:t>
      </w:r>
      <w:r w:rsidR="00872CA3">
        <w:rPr>
          <w:rFonts w:ascii="Times New Roman" w:eastAsia="Times New Roman" w:hAnsi="Times New Roman" w:cs="Times New Roman"/>
          <w:color w:val="000000"/>
          <w:sz w:val="24"/>
          <w:szCs w:val="24"/>
        </w:rPr>
        <w:lastRenderedPageBreak/>
        <w:t xml:space="preserve">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w:t>
      </w:r>
      <w:r w:rsidRPr="00DA7450">
        <w:rPr>
          <w:rFonts w:ascii="Times New Roman" w:hAnsi="Times New Roman" w:cs="Times New Roman"/>
          <w:sz w:val="24"/>
          <w:szCs w:val="24"/>
        </w:rPr>
        <w:lastRenderedPageBreak/>
        <w:t>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w:t>
      </w:r>
      <w:r w:rsidR="00831E52">
        <w:rPr>
          <w:rFonts w:ascii="Times New Roman" w:hAnsi="Times New Roman" w:cs="Times New Roman"/>
          <w:sz w:val="24"/>
          <w:szCs w:val="24"/>
        </w:rPr>
        <w:lastRenderedPageBreak/>
        <w:t xml:space="preserve">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xml:space="preserve">; Bayesian </w:t>
      </w:r>
      <w:r w:rsidR="0076799D">
        <w:rPr>
          <w:rFonts w:ascii="Times New Roman" w:hAnsi="Times New Roman" w:cs="Times New Roman"/>
          <w:sz w:val="24"/>
          <w:szCs w:val="24"/>
        </w:rPr>
        <w:lastRenderedPageBreak/>
        <w:t>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 w:name="_Hlk91596326"/>
    </w:p>
    <w:bookmarkEnd w:id="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34F3095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F3F4DCB" w:rsidR="00370B79" w:rsidRDefault="00370B79" w:rsidP="00370B79">
      <w:pPr>
        <w:spacing w:after="0" w:line="480" w:lineRule="auto"/>
        <w:rPr>
          <w:rFonts w:ascii="Times New Roman" w:hAnsi="Times New Roman" w:cs="Times New Roman"/>
          <w:sz w:val="24"/>
          <w:szCs w:val="24"/>
        </w:rPr>
      </w:pPr>
      <w:bookmarkStart w:id="3" w:name="_Hlk31990163"/>
      <w:r>
        <w:rPr>
          <w:rFonts w:ascii="Times New Roman" w:hAnsi="Times New Roman" w:cs="Times New Roman"/>
          <w:sz w:val="24"/>
          <w:szCs w:val="24"/>
        </w:rPr>
        <w:tab/>
      </w:r>
      <w:bookmarkEnd w:id="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w:t>
      </w:r>
      <w:r>
        <w:rPr>
          <w:rFonts w:ascii="Times New Roman" w:hAnsi="Times New Roman" w:cs="Times New Roman"/>
          <w:sz w:val="24"/>
          <w:szCs w:val="24"/>
        </w:rPr>
        <w:lastRenderedPageBreak/>
        <w:t xml:space="preserve">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 </w:t>
      </w:r>
    </w:p>
    <w:p w14:paraId="4DC1B8A7" w14:textId="6380414F"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w:t>
      </w:r>
      <w:r>
        <w:rPr>
          <w:rFonts w:ascii="Times New Roman" w:hAnsi="Times New Roman" w:cs="Times New Roman"/>
          <w:sz w:val="24"/>
          <w:szCs w:val="24"/>
        </w:rPr>
        <w:lastRenderedPageBreak/>
        <w:t xml:space="preserve">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6B8A88E"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6378D9">
        <w:rPr>
          <w:rFonts w:ascii="Times New Roman" w:hAnsi="Times New Roman" w:cs="Times New Roman"/>
          <w:sz w:val="24"/>
          <w:szCs w:val="24"/>
        </w:rPr>
        <w:t xml:space="preserve">is </w:t>
      </w:r>
      <w:r>
        <w:rPr>
          <w:rFonts w:ascii="Times New Roman" w:hAnsi="Times New Roman" w:cs="Times New Roman"/>
          <w:sz w:val="24"/>
          <w:szCs w:val="24"/>
        </w:rPr>
        <w:t xml:space="preserve">not readily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w:t>
      </w:r>
      <w:r>
        <w:rPr>
          <w:rFonts w:ascii="Times New Roman" w:hAnsi="Times New Roman" w:cs="Times New Roman"/>
          <w:sz w:val="24"/>
          <w:szCs w:val="24"/>
        </w:rPr>
        <w:lastRenderedPageBreak/>
        <w:t xml:space="preserve">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4"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5" w:name="_Hlk91685452"/>
      <w:bookmarkEnd w:id="4"/>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6"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6"/>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7"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7"/>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w:t>
      </w:r>
      <w:r>
        <w:rPr>
          <w:rFonts w:ascii="Times New Roman" w:eastAsia="Calibri" w:hAnsi="Times New Roman" w:cs="Times New Roman"/>
          <w:bCs/>
          <w:sz w:val="24"/>
          <w:szCs w:val="24"/>
        </w:rPr>
        <w:lastRenderedPageBreak/>
        <w:t>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B1283D2"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 xml:space="preserve">comparison), and no </w:t>
      </w:r>
      <w:r w:rsidR="00A03E2F">
        <w:rPr>
          <w:rFonts w:ascii="Times New Roman" w:eastAsia="Calibri" w:hAnsi="Times New Roman" w:cs="Times New Roman"/>
          <w:bCs/>
          <w:sz w:val="24"/>
          <w:szCs w:val="24"/>
        </w:rPr>
        <w:t xml:space="preserve">reactivity </w:t>
      </w:r>
      <w:r>
        <w:rPr>
          <w:rFonts w:ascii="Times New Roman" w:eastAsia="Calibri" w:hAnsi="Times New Roman" w:cs="Times New Roman"/>
          <w:bCs/>
          <w:sz w:val="24"/>
          <w:szCs w:val="24"/>
        </w:rPr>
        <w:t xml:space="preserve">study </w:t>
      </w:r>
      <w:r w:rsidR="00A03E2F">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related pairs has only </w:t>
      </w:r>
      <w:r w:rsidR="00A03E2F">
        <w:rPr>
          <w:rFonts w:ascii="Times New Roman" w:eastAsia="Calibri" w:hAnsi="Times New Roman" w:cs="Times New Roman"/>
          <w:bCs/>
          <w:sz w:val="24"/>
          <w:szCs w:val="24"/>
        </w:rPr>
        <w:t xml:space="preserve">targeted </w:t>
      </w:r>
      <w:r>
        <w:rPr>
          <w:rFonts w:ascii="Times New Roman" w:eastAsia="Calibri" w:hAnsi="Times New Roman" w:cs="Times New Roman"/>
          <w:bCs/>
          <w:sz w:val="24"/>
          <w:szCs w:val="24"/>
        </w:rPr>
        <w:t>backward pairs without a forward pair comparison. 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w:t>
      </w:r>
      <w:r w:rsidR="00BD0A73" w:rsidRPr="00DA7450">
        <w:rPr>
          <w:rFonts w:ascii="Times New Roman" w:hAnsi="Times New Roman" w:cs="Times New Roman"/>
          <w:sz w:val="24"/>
          <w:szCs w:val="24"/>
        </w:rPr>
        <w:lastRenderedPageBreak/>
        <w:t xml:space="preserve">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w:t>
      </w:r>
      <w:r w:rsidR="00BD0A73">
        <w:rPr>
          <w:rFonts w:ascii="Times New Roman" w:hAnsi="Times New Roman" w:cs="Times New Roman"/>
          <w:sz w:val="24"/>
          <w:szCs w:val="24"/>
        </w:rPr>
        <w:lastRenderedPageBreak/>
        <w:t xml:space="preserve">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9"/>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0"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0"/>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w:t>
      </w:r>
      <w:r>
        <w:rPr>
          <w:rFonts w:ascii="Times New Roman" w:hAnsi="Times New Roman" w:cs="Times New Roman"/>
          <w:sz w:val="24"/>
          <w:szCs w:val="24"/>
        </w:rPr>
        <w:lastRenderedPageBreak/>
        <w:t xml:space="preserve">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00CD26D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606219DB"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w:t>
      </w:r>
      <w:r w:rsidR="007D72CD" w:rsidRPr="007D72CD">
        <w:rPr>
          <w:rFonts w:ascii="Times New Roman" w:hAnsi="Times New Roman" w:cs="Times New Roman"/>
          <w:sz w:val="24"/>
          <w:szCs w:val="24"/>
        </w:rPr>
        <w:lastRenderedPageBreak/>
        <w:t xml:space="preserve">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12D48F6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20C3B1C3"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w:t>
      </w:r>
      <w:r>
        <w:rPr>
          <w:rFonts w:ascii="Times New Roman" w:hAnsi="Times New Roman" w:cs="Times New Roman"/>
          <w:sz w:val="24"/>
          <w:szCs w:val="24"/>
        </w:rPr>
        <w:lastRenderedPageBreak/>
        <w:t>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6FB87568"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43342E4"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w:t>
      </w:r>
      <w:r w:rsidR="00CA1423">
        <w:rPr>
          <w:rFonts w:ascii="Times New Roman" w:hAnsi="Times New Roman" w:cs="Times New Roman"/>
          <w:sz w:val="24"/>
          <w:szCs w:val="24"/>
        </w:rPr>
        <w:lastRenderedPageBreak/>
        <w:t xml:space="preserve">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w:t>
      </w:r>
      <w:proofErr w:type="gramStart"/>
      <w:r w:rsidR="00BA6E5B">
        <w:rPr>
          <w:rFonts w:ascii="Times New Roman" w:hAnsi="Times New Roman" w:cs="Times New Roman"/>
          <w:sz w:val="24"/>
          <w:szCs w:val="24"/>
        </w:rPr>
        <w:t>use</w:t>
      </w:r>
      <w:proofErr w:type="gramEnd"/>
      <w:r w:rsidR="00BA6E5B">
        <w:rPr>
          <w:rFonts w:ascii="Times New Roman" w:hAnsi="Times New Roman" w:cs="Times New Roman"/>
          <w:sz w:val="24"/>
          <w:szCs w:val="24"/>
        </w:rPr>
        <w:t xml:space="preserve"> plays in JOL reactivity including whether strategies are shifted across items within a study set. </w:t>
      </w:r>
    </w:p>
    <w:p w14:paraId="7CBA6E8F" w14:textId="12D80FAB"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lastRenderedPageBreak/>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23B32AF4"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Additionally, we replicate previous findings showing that JOL reactivity extends to other, non-metacognitive judgment tasks. 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1"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2" w:name="_Hlk65826197"/>
      <w:bookmarkEnd w:id="11"/>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3" w:name="_Hlk65826038"/>
      <w:bookmarkEnd w:id="12"/>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3"/>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4"/>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8"/>
          <w:headerReference w:type="first" r:id="rId9"/>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5"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5"/>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6"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6"/>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7"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7"/>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8"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8"/>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19"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19"/>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0"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1"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1"/>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2"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2"/>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0"/>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9E62" w14:textId="77777777" w:rsidR="00215E47" w:rsidRDefault="00215E47" w:rsidP="00091B1E">
      <w:pPr>
        <w:spacing w:after="0" w:line="240" w:lineRule="auto"/>
      </w:pPr>
      <w:r>
        <w:separator/>
      </w:r>
    </w:p>
  </w:endnote>
  <w:endnote w:type="continuationSeparator" w:id="0">
    <w:p w14:paraId="4FBB7389" w14:textId="77777777" w:rsidR="00215E47" w:rsidRDefault="00215E47"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BA53" w14:textId="77777777" w:rsidR="00215E47" w:rsidRDefault="00215E47" w:rsidP="00091B1E">
      <w:pPr>
        <w:spacing w:after="0" w:line="240" w:lineRule="auto"/>
      </w:pPr>
      <w:r>
        <w:separator/>
      </w:r>
    </w:p>
  </w:footnote>
  <w:footnote w:type="continuationSeparator" w:id="0">
    <w:p w14:paraId="3D30D56A" w14:textId="77777777" w:rsidR="00215E47" w:rsidRDefault="00215E47"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555121761">
    <w:abstractNumId w:val="0"/>
  </w:num>
  <w:num w:numId="2" w16cid:durableId="2040932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50F9"/>
    <w:rsid w:val="00185774"/>
    <w:rsid w:val="001874B4"/>
    <w:rsid w:val="001915AE"/>
    <w:rsid w:val="00191DFA"/>
    <w:rsid w:val="001930D4"/>
    <w:rsid w:val="001A5AED"/>
    <w:rsid w:val="001B2012"/>
    <w:rsid w:val="001B5CC5"/>
    <w:rsid w:val="001C113C"/>
    <w:rsid w:val="001C1557"/>
    <w:rsid w:val="001C2612"/>
    <w:rsid w:val="001C668E"/>
    <w:rsid w:val="001C7C3B"/>
    <w:rsid w:val="001D0B13"/>
    <w:rsid w:val="001D115C"/>
    <w:rsid w:val="001D42F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5E7B"/>
    <w:rsid w:val="002C3438"/>
    <w:rsid w:val="002C38F8"/>
    <w:rsid w:val="002C425F"/>
    <w:rsid w:val="002D54D8"/>
    <w:rsid w:val="002D6E30"/>
    <w:rsid w:val="002E34EE"/>
    <w:rsid w:val="002E4CF7"/>
    <w:rsid w:val="002E6CC7"/>
    <w:rsid w:val="002F2E93"/>
    <w:rsid w:val="002F50B6"/>
    <w:rsid w:val="00304F04"/>
    <w:rsid w:val="0030757B"/>
    <w:rsid w:val="00311BF1"/>
    <w:rsid w:val="00313990"/>
    <w:rsid w:val="00322DA0"/>
    <w:rsid w:val="00325508"/>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6424"/>
    <w:rsid w:val="00540F9D"/>
    <w:rsid w:val="00543BB1"/>
    <w:rsid w:val="00546DB6"/>
    <w:rsid w:val="0054718D"/>
    <w:rsid w:val="00550D26"/>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A590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79DC"/>
    <w:rsid w:val="009B0148"/>
    <w:rsid w:val="009B21C0"/>
    <w:rsid w:val="009B265B"/>
    <w:rsid w:val="009B3BE4"/>
    <w:rsid w:val="009B4FF9"/>
    <w:rsid w:val="009C00E6"/>
    <w:rsid w:val="009C143E"/>
    <w:rsid w:val="009C5C2E"/>
    <w:rsid w:val="009D252C"/>
    <w:rsid w:val="009D5201"/>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1D8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1FB7"/>
    <w:rsid w:val="00F42367"/>
    <w:rsid w:val="00F47A03"/>
    <w:rsid w:val="00F51047"/>
    <w:rsid w:val="00F52282"/>
    <w:rsid w:val="00F5535C"/>
    <w:rsid w:val="00F5535F"/>
    <w:rsid w:val="00F564D2"/>
    <w:rsid w:val="00F61FDB"/>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40030-0901-4376-950F-CFF3AA0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47</Pages>
  <Words>10270</Words>
  <Characters>58542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cp:revision>
  <dcterms:created xsi:type="dcterms:W3CDTF">2022-05-20T16:17:00Z</dcterms:created>
  <dcterms:modified xsi:type="dcterms:W3CDTF">2022-05-20T18:50:00Z</dcterms:modified>
</cp:coreProperties>
</file>