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0EE164B" w14:textId="4CA1AEF2" w:rsidR="000713B2" w:rsidRPr="00C627FD"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7D289DF3"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w:t>
      </w:r>
      <w:r w:rsidRPr="00C627FD">
        <w:rPr>
          <w:rFonts w:ascii="Times New Roman" w:hAnsi="Times New Roman" w:cs="Times New Roman"/>
          <w:color w:val="323130"/>
          <w:sz w:val="24"/>
          <w:szCs w:val="24"/>
          <w:shd w:val="clear" w:color="auto" w:fill="FFFFFF"/>
        </w:rPr>
        <w:lastRenderedPageBreak/>
        <w:t>JOLs and thus strengthened by relatedness processing? How can these cues explain why backward pairs showed reactivity, too?</w:t>
      </w:r>
    </w:p>
    <w:p w14:paraId="1A4063E6"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33452255"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Minor Comments:</w:t>
      </w:r>
    </w:p>
    <w:p w14:paraId="4F7BFA31" w14:textId="77777777" w:rsidR="00D075D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4 line 15: Cuddy is missing from “Arbuckle and compared”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9 line 54: Do you mean “would provide further evidence for the cue-strengthening hypothesis”?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10 line 31: What was the medium effect of interest in the mixed-lists design power analysis? The between variable? The within variable? The interaction?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w:t>
      </w:r>
      <w:commentRangeStart w:id="6"/>
      <w:r w:rsidRPr="00C627FD">
        <w:rPr>
          <w:rFonts w:ascii="Times New Roman" w:hAnsi="Times New Roman" w:cs="Times New Roman"/>
          <w:color w:val="323130"/>
          <w:sz w:val="24"/>
          <w:szCs w:val="24"/>
          <w:shd w:val="clear" w:color="auto" w:fill="FFFFFF"/>
        </w:rPr>
        <w:t>.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lastRenderedPageBreak/>
        <w:t>rather than using &gt;. This will be helpful for future meta-analyses. These could be reported in an appendix or supplemental materials, though.</w:t>
      </w:r>
      <w:r w:rsidRPr="00C627FD">
        <w:rPr>
          <w:rFonts w:ascii="Times New Roman" w:hAnsi="Times New Roman" w:cs="Times New Roman"/>
          <w:color w:val="323130"/>
          <w:sz w:val="24"/>
          <w:szCs w:val="24"/>
        </w:rPr>
        <w:br/>
      </w:r>
      <w:commentRangeEnd w:id="6"/>
      <w:r w:rsidRPr="00C627FD">
        <w:rPr>
          <w:rFonts w:ascii="Times New Roman" w:hAnsi="Times New Roman" w:cs="Times New Roman"/>
          <w:sz w:val="24"/>
          <w:szCs w:val="24"/>
        </w:rPr>
        <w:commentReference w:id="6"/>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21 line 54: Is there evidence that symmetrical pairs are “deceptive”? I’m assuming that deceptive means that they engender overconfident JOLs? Is the absolute accuracy of JOLs important for understanding JOL reactivity?</w:t>
      </w:r>
      <w:r w:rsidRPr="00C627FD">
        <w:rPr>
          <w:rFonts w:ascii="Times New Roman" w:hAnsi="Times New Roman" w:cs="Times New Roman"/>
          <w:color w:val="323130"/>
          <w:sz w:val="24"/>
          <w:szCs w:val="24"/>
        </w:rPr>
        <w:br/>
      </w:r>
      <w:commentRangeStart w:id="7"/>
      <w:r w:rsidRPr="00C627FD">
        <w:rPr>
          <w:rFonts w:ascii="Times New Roman" w:hAnsi="Times New Roman" w:cs="Times New Roman"/>
          <w:color w:val="323130"/>
          <w:sz w:val="24"/>
          <w:szCs w:val="24"/>
          <w:shd w:val="clear" w:color="auto" w:fill="FFFFFF"/>
        </w:rPr>
        <w:t>•       Might it make sense to reorder the experiments as 1, 3, then 2 since the predictions and proposed mechanisms are identical for forward (Ex. 1) and symmetrical (Ex. 3) pairs?</w:t>
      </w:r>
      <w:r w:rsidRPr="00C627FD">
        <w:rPr>
          <w:rFonts w:ascii="Times New Roman" w:hAnsi="Times New Roman" w:cs="Times New Roman"/>
          <w:color w:val="323130"/>
          <w:sz w:val="24"/>
          <w:szCs w:val="24"/>
        </w:rPr>
        <w:br/>
      </w:r>
      <w:commentRangeEnd w:id="7"/>
      <w:r w:rsidRPr="00C627FD">
        <w:rPr>
          <w:rFonts w:ascii="Times New Roman" w:hAnsi="Times New Roman" w:cs="Times New Roman"/>
          <w:sz w:val="24"/>
          <w:szCs w:val="24"/>
        </w:rPr>
        <w:commentReference w:id="7"/>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623A05BC"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study is a nice contribution comparing the two most prominent theories of word-pair reactivity – the cue strengthening account and the changed goal hypothesis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introduction provides a comprehensive overview of the growing area of JOL reactivity</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w:t>
      </w:r>
      <w:commentRangeStart w:id="8"/>
      <w:r w:rsidRPr="00C627FD">
        <w:rPr>
          <w:rFonts w:ascii="Times New Roman" w:hAnsi="Times New Roman" w:cs="Times New Roman"/>
          <w:color w:val="323130"/>
          <w:sz w:val="24"/>
          <w:szCs w:val="24"/>
          <w:shd w:val="clear" w:color="auto" w:fill="FFFFFF"/>
        </w:rPr>
        <w:t>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commentRangeEnd w:id="8"/>
      <w:r w:rsidRPr="00C627FD">
        <w:rPr>
          <w:rFonts w:ascii="Times New Roman" w:hAnsi="Times New Roman" w:cs="Times New Roman"/>
          <w:sz w:val="24"/>
          <w:szCs w:val="24"/>
        </w:rPr>
        <w:commentReference w:id="8"/>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57775874" w14:textId="77777777" w:rsidR="002A4BCF"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903799">
        <w:rPr>
          <w:rFonts w:ascii="Times New Roman" w:hAnsi="Times New Roman" w:cs="Times New Roman"/>
          <w:color w:val="323130"/>
          <w:sz w:val="24"/>
          <w:szCs w:val="24"/>
          <w:shd w:val="clear" w:color="auto" w:fill="FFFFFF"/>
        </w:rPr>
        <w:t>B</w:t>
      </w:r>
      <w:r w:rsidR="00512FB9">
        <w:rPr>
          <w:rFonts w:ascii="Times New Roman" w:hAnsi="Times New Roman" w:cs="Times New Roman"/>
          <w:color w:val="323130"/>
          <w:sz w:val="24"/>
          <w:szCs w:val="24"/>
          <w:shd w:val="clear" w:color="auto" w:fill="FFFFFF"/>
        </w:rPr>
        <w:t xml:space="preserve">ecause individuals process semantic information automatically, </w:t>
      </w:r>
      <w:r w:rsidR="00903799">
        <w:rPr>
          <w:rFonts w:ascii="Times New Roman" w:hAnsi="Times New Roman" w:cs="Times New Roman"/>
          <w:color w:val="323130"/>
          <w:sz w:val="24"/>
          <w:szCs w:val="24"/>
          <w:shd w:val="clear" w:color="auto" w:fill="FFFFFF"/>
        </w:rPr>
        <w:t>it is likely that relatedness is the most salient feature of word pairs</w:t>
      </w:r>
      <w:r w:rsidR="00903799" w:rsidRPr="00082C6B">
        <w:rPr>
          <w:rFonts w:ascii="Times New Roman" w:hAnsi="Times New Roman" w:cs="Times New Roman"/>
          <w:color w:val="323130"/>
          <w:sz w:val="24"/>
          <w:szCs w:val="24"/>
          <w:highlight w:val="yellow"/>
          <w:shd w:val="clear" w:color="auto" w:fill="FFFFFF"/>
        </w:rPr>
        <w:t xml:space="preserve">. </w:t>
      </w:r>
      <w:r w:rsidR="002E1060" w:rsidRPr="00082C6B">
        <w:rPr>
          <w:rFonts w:ascii="Times New Roman" w:hAnsi="Times New Roman" w:cs="Times New Roman"/>
          <w:color w:val="323130"/>
          <w:sz w:val="24"/>
          <w:szCs w:val="24"/>
          <w:highlight w:val="yellow"/>
          <w:shd w:val="clear" w:color="auto" w:fill="FFFFFF"/>
        </w:rPr>
        <w:t>[SOMETHING ABOUT SEMANTIC PRIMING, THEN MEDIATED PRIMING, EVEN MEDIATED DRM LISTS!]</w:t>
      </w:r>
      <w:r w:rsidR="00C428BE">
        <w:rPr>
          <w:rFonts w:ascii="Times New Roman" w:hAnsi="Times New Roman" w:cs="Times New Roman"/>
          <w:color w:val="323130"/>
          <w:sz w:val="24"/>
          <w:szCs w:val="24"/>
          <w:shd w:val="clear" w:color="auto" w:fill="FFFFFF"/>
        </w:rPr>
        <w:t xml:space="preserve"> Furthermore, </w:t>
      </w:r>
      <w:r w:rsidR="009A6E74">
        <w:rPr>
          <w:rFonts w:ascii="Times New Roman" w:hAnsi="Times New Roman" w:cs="Times New Roman"/>
          <w:color w:val="323130"/>
          <w:sz w:val="24"/>
          <w:szCs w:val="24"/>
          <w:shd w:val="clear" w:color="auto" w:fill="FFFFFF"/>
        </w:rPr>
        <w:t xml:space="preserve">both related and unrelated lists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24042E3D" w14:textId="77777777" w:rsidR="00467CED" w:rsidRDefault="002A4BCF" w:rsidP="000713B2">
      <w:pPr>
        <w:spacing w:after="0" w:line="240" w:lineRule="auto"/>
        <w:rPr>
          <w:rFonts w:ascii="Times New Roman" w:hAnsi="Times New Roman" w:cs="Times New Roman"/>
          <w:color w:val="323130"/>
          <w:sz w:val="24"/>
          <w:szCs w:val="24"/>
          <w:shd w:val="clear" w:color="auto" w:fill="FFFFFF"/>
        </w:rPr>
      </w:pPr>
      <w:r w:rsidRPr="002A4BCF">
        <w:rPr>
          <w:rFonts w:ascii="Times New Roman" w:hAnsi="Times New Roman" w:cs="Times New Roman"/>
          <w:b/>
          <w:bCs/>
          <w:i/>
          <w:iCs/>
          <w:color w:val="323130"/>
          <w:sz w:val="24"/>
          <w:szCs w:val="24"/>
          <w:shd w:val="clear" w:color="auto" w:fill="FFFFFF"/>
        </w:rPr>
        <w:t>Response:</w:t>
      </w:r>
      <w:r w:rsidRPr="002A4BCF">
        <w:rPr>
          <w:rFonts w:ascii="Times New Roman" w:hAnsi="Times New Roman" w:cs="Times New Roman"/>
          <w:i/>
          <w:iCs/>
          <w:color w:val="323130"/>
          <w:sz w:val="24"/>
          <w:szCs w:val="24"/>
          <w:shd w:val="clear" w:color="auto" w:fill="FFFFFF"/>
        </w:rPr>
        <w:t xml:space="preserve"> </w:t>
      </w:r>
      <w:r w:rsidR="001F283B">
        <w:rPr>
          <w:rFonts w:ascii="Times New Roman" w:hAnsi="Times New Roman" w:cs="Times New Roman"/>
          <w:color w:val="323130"/>
          <w:sz w:val="24"/>
          <w:szCs w:val="24"/>
        </w:rPr>
        <w:t xml:space="preserve">We initially based our sample on XXX. </w:t>
      </w:r>
      <w:r w:rsidR="001F283B" w:rsidRPr="00467CED">
        <w:rPr>
          <w:rFonts w:ascii="Times New Roman" w:hAnsi="Times New Roman" w:cs="Times New Roman"/>
          <w:color w:val="323130"/>
          <w:sz w:val="24"/>
          <w:szCs w:val="24"/>
          <w:highlight w:val="yellow"/>
        </w:rPr>
        <w:t>[OVERSAMPLED DUE TO GREATER RESPONSE VARIABILITY WITH ONLINE STUDIES]</w:t>
      </w:r>
      <w:r w:rsidR="001F283B">
        <w:rPr>
          <w:rFonts w:ascii="Times New Roman" w:hAnsi="Times New Roman" w:cs="Times New Roman"/>
          <w:color w:val="323130"/>
          <w:sz w:val="24"/>
          <w:szCs w:val="24"/>
        </w:rPr>
        <w:t xml:space="preserve">. </w:t>
      </w:r>
      <w:r w:rsidR="00F30238">
        <w:rPr>
          <w:rFonts w:ascii="Times New Roman" w:hAnsi="Times New Roman" w:cs="Times New Roman"/>
          <w:color w:val="323130"/>
          <w:sz w:val="24"/>
          <w:szCs w:val="24"/>
        </w:rPr>
        <w:t xml:space="preserve">Additionally, participant recruitment was extended to Prolific, as participant recruitment at USM </w:t>
      </w:r>
      <w:r w:rsidR="000C6BA2">
        <w:rPr>
          <w:rFonts w:ascii="Times New Roman" w:hAnsi="Times New Roman" w:cs="Times New Roman"/>
          <w:color w:val="323130"/>
          <w:sz w:val="24"/>
          <w:szCs w:val="24"/>
        </w:rPr>
        <w:t>was dwindling due to Covid-19. Comparisons between samples show</w:t>
      </w:r>
      <w:r w:rsidR="00467CED">
        <w:rPr>
          <w:rFonts w:ascii="Times New Roman" w:hAnsi="Times New Roman" w:cs="Times New Roman"/>
          <w:color w:val="323130"/>
          <w:sz w:val="24"/>
          <w:szCs w:val="24"/>
        </w:rPr>
        <w:t xml:space="preserve">ed </w:t>
      </w:r>
      <w:r w:rsidR="00467CED" w:rsidRPr="00467CED">
        <w:rPr>
          <w:rFonts w:ascii="Times New Roman" w:hAnsi="Times New Roman" w:cs="Times New Roman"/>
          <w:color w:val="323130"/>
          <w:sz w:val="24"/>
          <w:szCs w:val="24"/>
          <w:highlight w:val="yellow"/>
        </w:rPr>
        <w:t>[FINDINGS?]</w:t>
      </w:r>
      <w:r w:rsidR="000713B2" w:rsidRPr="002A4BCF">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77777777"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D075D6" w:rsidRPr="00D075D6">
        <w:rPr>
          <w:rFonts w:ascii="Times New Roman" w:hAnsi="Times New Roman" w:cs="Times New Roman"/>
          <w:color w:val="323130"/>
          <w:sz w:val="24"/>
          <w:szCs w:val="24"/>
          <w:highlight w:val="yellow"/>
          <w:shd w:val="clear" w:color="auto" w:fill="FFFFFF"/>
        </w:rPr>
        <w:t>[WORDS HERE]</w:t>
      </w:r>
      <w:r w:rsidR="000713B2" w:rsidRPr="00C627FD">
        <w:rPr>
          <w:rFonts w:ascii="Times New Roman" w:hAnsi="Times New Roman" w:cs="Times New Roman"/>
          <w:color w:val="323130"/>
          <w:sz w:val="24"/>
          <w:szCs w:val="24"/>
        </w:rPr>
        <w:br/>
      </w:r>
    </w:p>
    <w:p w14:paraId="4FD47A08" w14:textId="255A6D95" w:rsidR="00D075D6" w:rsidRDefault="000713B2" w:rsidP="00D075D6">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b/>
          <w:bCs/>
          <w:color w:val="323130"/>
          <w:sz w:val="24"/>
          <w:szCs w:val="24"/>
          <w:shd w:val="clear" w:color="auto" w:fill="FFFFFF"/>
        </w:rPr>
        <w:t>Reviewer: 3</w:t>
      </w:r>
      <w:r w:rsidRPr="00C627FD">
        <w:rPr>
          <w:rFonts w:ascii="Times New Roman" w:hAnsi="Times New Roman" w:cs="Times New Roman"/>
          <w:color w:val="323130"/>
          <w:sz w:val="24"/>
          <w:szCs w:val="24"/>
        </w:rPr>
        <w:br/>
      </w:r>
    </w:p>
    <w:p w14:paraId="34734FA1" w14:textId="77777777" w:rsidR="004A0803"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Summary: In three experiments, the authors explored JOL reactivity effects in pure and mixed list designs. Participants studied related and unrelated word pairs, and for each, made a JOL, a frequency of co-occurrence judgment, or did not make any judgment. Between experiments, the type of related word pair differed (E1: forward, E2: backward, E3: symmetrical). Regardless of list composition, positive JOL reactivity occurred for the related word pairs, but not for the unrelated word pairs. Moreover, the frequency judgments elicited a similar reactive effect, suggesting that the JOL reactivity effects are likely due to the processing of relational information rather than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forecasting. </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Evaluation:  Overall, I enjoyed reading this manuscript. I thought it was well written and methodologically sound. I also think the outcomes will be of interest to metamemory researchers especially those interested in reactivity. My only concern with this manuscript is that the contribution is not substantial enough to warrant publication in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9"/>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9"/>
      <w:r w:rsidRPr="00C627FD">
        <w:rPr>
          <w:rFonts w:ascii="Times New Roman" w:hAnsi="Times New Roman" w:cs="Times New Roman"/>
          <w:sz w:val="24"/>
          <w:szCs w:val="24"/>
        </w:rPr>
        <w:commentReference w:id="9"/>
      </w:r>
    </w:p>
    <w:p w14:paraId="342750B5" w14:textId="6B539EEC" w:rsidR="004A0803"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p>
    <w:p w14:paraId="7E42DE0F" w14:textId="46C2A456"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w:t>
      </w:r>
      <w:r w:rsidRPr="00C627FD">
        <w:rPr>
          <w:rFonts w:ascii="Times New Roman" w:hAnsi="Times New Roman" w:cs="Times New Roman"/>
          <w:color w:val="323130"/>
          <w:sz w:val="24"/>
          <w:szCs w:val="24"/>
          <w:shd w:val="clear" w:color="auto" w:fill="FFFFFF"/>
        </w:rPr>
        <w:lastRenderedPageBreak/>
        <w:t>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 </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0"/>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0"/>
      <w:r w:rsidRPr="00C627FD">
        <w:rPr>
          <w:rFonts w:ascii="Times New Roman" w:hAnsi="Times New Roman" w:cs="Times New Roman"/>
          <w:sz w:val="24"/>
          <w:szCs w:val="24"/>
        </w:rPr>
        <w:commentReference w:id="10"/>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4:</w:t>
      </w:r>
      <w:r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5T10:11:00Z" w:initials="MN">
    <w:p w14:paraId="57012BEC" w14:textId="77777777" w:rsidR="000713B2" w:rsidRDefault="000713B2" w:rsidP="000713B2">
      <w:pPr>
        <w:pStyle w:val="CommentText"/>
      </w:pPr>
      <w:r>
        <w:rPr>
          <w:rStyle w:val="CommentReference"/>
        </w:rPr>
        <w:annotationRef/>
      </w:r>
      <w:r>
        <w:t>Pbic provides evidence in favor of the null hypothesis. No reason to report this when effect is found (just supplemental for null)</w:t>
      </w:r>
    </w:p>
  </w:comment>
  <w:comment w:id="7" w:author="Maxwell, Nicholas" w:date="2022-08-25T10:13:00Z" w:initials="MN">
    <w:p w14:paraId="62FEDAFE" w14:textId="77777777" w:rsidR="000713B2" w:rsidRDefault="000713B2" w:rsidP="000713B2">
      <w:pPr>
        <w:pStyle w:val="CommentText"/>
      </w:pPr>
      <w:r>
        <w:rPr>
          <w:rStyle w:val="CommentReference"/>
        </w:rPr>
        <w:annotationRef/>
      </w:r>
      <w:r>
        <w:t>Most traditional comparison is between forward and backward, which is why we chose this order</w:t>
      </w:r>
    </w:p>
  </w:comment>
  <w:comment w:id="8" w:author="Maxwell, Nicholas" w:date="2022-08-25T10:15:00Z" w:initials="MN">
    <w:p w14:paraId="66242F71" w14:textId="77777777" w:rsidR="000713B2" w:rsidRDefault="000713B2" w:rsidP="000713B2">
      <w:pPr>
        <w:pStyle w:val="CommentText"/>
      </w:pPr>
      <w:r>
        <w:rPr>
          <w:rStyle w:val="CommentReference"/>
        </w:rPr>
        <w:annotationRef/>
      </w:r>
      <w:r>
        <w:t>Semantic priming, mediated (lion-stripes) its automatic. Mediated false memory! People process semantic information automatically so most likely its relatedness</w:t>
      </w:r>
    </w:p>
  </w:comment>
  <w:comment w:id="9"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0" w:author="Maxwell, Nicholas" w:date="2022-08-25T10:24:00Z" w:initials="MN">
    <w:p w14:paraId="0357FA94" w14:textId="77777777" w:rsidR="000713B2" w:rsidRDefault="000713B2" w:rsidP="000713B2">
      <w:pPr>
        <w:pStyle w:val="CommentText"/>
      </w:pPr>
      <w:r>
        <w:rPr>
          <w:rStyle w:val="CommentReference"/>
        </w:rPr>
        <w:annotationRef/>
      </w:r>
      <w:r>
        <w:t>If the effect is significant, the only thing that should be reported is the effect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0630" w15:done="0"/>
  <w15:commentEx w15:paraId="7A33E6B1" w15:done="0"/>
  <w15:commentEx w15:paraId="664DD4B7" w15:done="0"/>
  <w15:commentEx w15:paraId="52E666A4" w15:done="0"/>
  <w15:commentEx w15:paraId="6BFC8C93" w15:done="0"/>
  <w15:commentEx w15:paraId="52A9CBED" w15:done="0"/>
  <w15:commentEx w15:paraId="57012BEC" w15:done="0"/>
  <w15:commentEx w15:paraId="62FEDAFE" w15:done="0"/>
  <w15:commentEx w15:paraId="66242F71" w15:done="0"/>
  <w15:commentEx w15:paraId="65A8447A" w15:done="0"/>
  <w15:commentEx w15:paraId="0357F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57012BEC" w16cid:durableId="26B1C96D"/>
  <w16cid:commentId w16cid:paraId="62FEDAFE" w16cid:durableId="26B1C9DA"/>
  <w16cid:commentId w16cid:paraId="66242F71" w16cid:durableId="26B1CA40"/>
  <w16cid:commentId w16cid:paraId="65A8447A" w16cid:durableId="26B1CB6C"/>
  <w16cid:commentId w16cid:paraId="0357FA94" w16cid:durableId="26B1C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ADF5" w14:textId="77777777" w:rsidR="00B34859" w:rsidRDefault="00B34859" w:rsidP="002665A1">
      <w:pPr>
        <w:spacing w:after="0" w:line="240" w:lineRule="auto"/>
      </w:pPr>
      <w:r>
        <w:separator/>
      </w:r>
    </w:p>
  </w:endnote>
  <w:endnote w:type="continuationSeparator" w:id="0">
    <w:p w14:paraId="008DA72E" w14:textId="77777777" w:rsidR="00B34859" w:rsidRDefault="00B34859"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9176" w14:textId="77777777" w:rsidR="00B34859" w:rsidRDefault="00B34859" w:rsidP="002665A1">
      <w:pPr>
        <w:spacing w:after="0" w:line="240" w:lineRule="auto"/>
      </w:pPr>
      <w:r>
        <w:separator/>
      </w:r>
    </w:p>
  </w:footnote>
  <w:footnote w:type="continuationSeparator" w:id="0">
    <w:p w14:paraId="4FC35DEF" w14:textId="77777777" w:rsidR="00B34859" w:rsidRDefault="00B34859"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735214">
    <w:abstractNumId w:val="3"/>
  </w:num>
  <w:num w:numId="2" w16cid:durableId="354574067">
    <w:abstractNumId w:val="0"/>
  </w:num>
  <w:num w:numId="3" w16cid:durableId="2057583585">
    <w:abstractNumId w:val="2"/>
  </w:num>
  <w:num w:numId="4" w16cid:durableId="1330329291">
    <w:abstractNumId w:val="1"/>
  </w:num>
  <w:num w:numId="5" w16cid:durableId="1233156151">
    <w:abstractNumId w:val="5"/>
  </w:num>
  <w:num w:numId="6" w16cid:durableId="17324660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59C8"/>
    <w:rsid w:val="000C6BA2"/>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427F"/>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28D9"/>
    <w:rsid w:val="001A3649"/>
    <w:rsid w:val="001A4DB4"/>
    <w:rsid w:val="001B4428"/>
    <w:rsid w:val="001B6394"/>
    <w:rsid w:val="001B6573"/>
    <w:rsid w:val="001C138D"/>
    <w:rsid w:val="001C2AA3"/>
    <w:rsid w:val="001C2B17"/>
    <w:rsid w:val="001C2F21"/>
    <w:rsid w:val="001C3365"/>
    <w:rsid w:val="001C7073"/>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4BCF"/>
    <w:rsid w:val="002A59AD"/>
    <w:rsid w:val="002B3EE8"/>
    <w:rsid w:val="002C0EBD"/>
    <w:rsid w:val="002C1551"/>
    <w:rsid w:val="002C3345"/>
    <w:rsid w:val="002C393D"/>
    <w:rsid w:val="002C4272"/>
    <w:rsid w:val="002C7183"/>
    <w:rsid w:val="002D09B2"/>
    <w:rsid w:val="002D0C0D"/>
    <w:rsid w:val="002E1060"/>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5BD8"/>
    <w:rsid w:val="003818AF"/>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16EEA"/>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67CED"/>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5C5"/>
    <w:rsid w:val="00573BA6"/>
    <w:rsid w:val="005779E4"/>
    <w:rsid w:val="00583553"/>
    <w:rsid w:val="0059308E"/>
    <w:rsid w:val="00593F35"/>
    <w:rsid w:val="00595015"/>
    <w:rsid w:val="0059661D"/>
    <w:rsid w:val="00596F8D"/>
    <w:rsid w:val="005A7A4F"/>
    <w:rsid w:val="005B1099"/>
    <w:rsid w:val="005B1239"/>
    <w:rsid w:val="005B337C"/>
    <w:rsid w:val="005C34D3"/>
    <w:rsid w:val="005C3786"/>
    <w:rsid w:val="005C40D8"/>
    <w:rsid w:val="005C50CD"/>
    <w:rsid w:val="005C7E66"/>
    <w:rsid w:val="005D22DF"/>
    <w:rsid w:val="005D4074"/>
    <w:rsid w:val="005D45A3"/>
    <w:rsid w:val="005D512C"/>
    <w:rsid w:val="005D61A1"/>
    <w:rsid w:val="005D6AF8"/>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10F2"/>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3799"/>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452BE"/>
    <w:rsid w:val="009529CE"/>
    <w:rsid w:val="009531D1"/>
    <w:rsid w:val="0095762B"/>
    <w:rsid w:val="009614CD"/>
    <w:rsid w:val="00962D0A"/>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6E74"/>
    <w:rsid w:val="009B1821"/>
    <w:rsid w:val="009B32A4"/>
    <w:rsid w:val="009B5F04"/>
    <w:rsid w:val="009C0EC9"/>
    <w:rsid w:val="009C3F15"/>
    <w:rsid w:val="009C465D"/>
    <w:rsid w:val="009D0A9F"/>
    <w:rsid w:val="009D16C5"/>
    <w:rsid w:val="009D2536"/>
    <w:rsid w:val="009E2C4C"/>
    <w:rsid w:val="009E54A1"/>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1C1E"/>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3AF9"/>
    <w:rsid w:val="00AD5729"/>
    <w:rsid w:val="00AD6B6B"/>
    <w:rsid w:val="00AE0103"/>
    <w:rsid w:val="00AE1571"/>
    <w:rsid w:val="00AE2B99"/>
    <w:rsid w:val="00AE2CF1"/>
    <w:rsid w:val="00AE3939"/>
    <w:rsid w:val="00AE44E6"/>
    <w:rsid w:val="00AE7ECE"/>
    <w:rsid w:val="00AF1A34"/>
    <w:rsid w:val="00AF1B75"/>
    <w:rsid w:val="00AF2789"/>
    <w:rsid w:val="00AF5656"/>
    <w:rsid w:val="00AF6CAC"/>
    <w:rsid w:val="00B0317D"/>
    <w:rsid w:val="00B05C97"/>
    <w:rsid w:val="00B06FFB"/>
    <w:rsid w:val="00B1249C"/>
    <w:rsid w:val="00B128C9"/>
    <w:rsid w:val="00B129D0"/>
    <w:rsid w:val="00B14093"/>
    <w:rsid w:val="00B27A19"/>
    <w:rsid w:val="00B33156"/>
    <w:rsid w:val="00B33C19"/>
    <w:rsid w:val="00B33F86"/>
    <w:rsid w:val="00B34859"/>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5AA5"/>
    <w:rsid w:val="00BB6324"/>
    <w:rsid w:val="00BC01B9"/>
    <w:rsid w:val="00BC21F7"/>
    <w:rsid w:val="00BC30FF"/>
    <w:rsid w:val="00BC76BD"/>
    <w:rsid w:val="00BD119A"/>
    <w:rsid w:val="00BD61D9"/>
    <w:rsid w:val="00BE137F"/>
    <w:rsid w:val="00BE17AF"/>
    <w:rsid w:val="00BE2EEC"/>
    <w:rsid w:val="00BE65CC"/>
    <w:rsid w:val="00BF01A0"/>
    <w:rsid w:val="00C01C40"/>
    <w:rsid w:val="00C038D9"/>
    <w:rsid w:val="00C03AB2"/>
    <w:rsid w:val="00C07A6C"/>
    <w:rsid w:val="00C11F7D"/>
    <w:rsid w:val="00C14BE0"/>
    <w:rsid w:val="00C152EF"/>
    <w:rsid w:val="00C23CD3"/>
    <w:rsid w:val="00C31457"/>
    <w:rsid w:val="00C32B5C"/>
    <w:rsid w:val="00C37A47"/>
    <w:rsid w:val="00C37DFD"/>
    <w:rsid w:val="00C428BE"/>
    <w:rsid w:val="00C4704F"/>
    <w:rsid w:val="00C51B13"/>
    <w:rsid w:val="00C523DD"/>
    <w:rsid w:val="00C52BD6"/>
    <w:rsid w:val="00C52BE3"/>
    <w:rsid w:val="00C52E25"/>
    <w:rsid w:val="00C52EE9"/>
    <w:rsid w:val="00C54466"/>
    <w:rsid w:val="00C56AF6"/>
    <w:rsid w:val="00C60597"/>
    <w:rsid w:val="00C61B48"/>
    <w:rsid w:val="00C627FD"/>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D68"/>
    <w:rsid w:val="00CD0C52"/>
    <w:rsid w:val="00CD144F"/>
    <w:rsid w:val="00CD38AF"/>
    <w:rsid w:val="00CD3EAE"/>
    <w:rsid w:val="00CD6B70"/>
    <w:rsid w:val="00CE52C5"/>
    <w:rsid w:val="00CF4957"/>
    <w:rsid w:val="00CF516C"/>
    <w:rsid w:val="00CF583A"/>
    <w:rsid w:val="00CF5DE5"/>
    <w:rsid w:val="00CF700D"/>
    <w:rsid w:val="00CF7CE2"/>
    <w:rsid w:val="00D0017C"/>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0F82"/>
    <w:rsid w:val="00E61882"/>
    <w:rsid w:val="00E62AED"/>
    <w:rsid w:val="00E6465A"/>
    <w:rsid w:val="00E653B9"/>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91128"/>
    <w:rsid w:val="00E92A14"/>
    <w:rsid w:val="00E979E6"/>
    <w:rsid w:val="00EA412C"/>
    <w:rsid w:val="00EA5A2C"/>
    <w:rsid w:val="00EB071B"/>
    <w:rsid w:val="00EB23ED"/>
    <w:rsid w:val="00EB4121"/>
    <w:rsid w:val="00EB4C5B"/>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43</cp:revision>
  <cp:lastPrinted>2022-02-05T17:36:00Z</cp:lastPrinted>
  <dcterms:created xsi:type="dcterms:W3CDTF">2022-02-06T23:01:00Z</dcterms:created>
  <dcterms:modified xsi:type="dcterms:W3CDTF">2022-08-27T18:55:00Z</dcterms:modified>
</cp:coreProperties>
</file>