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650CB04" w14:textId="77777777" w:rsidR="002E7889"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61DC1091" w14:textId="527476A6"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7351329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My understanding of the predictions for Experiment 2 was that although JOLs cause participants </w:t>
      </w:r>
      <w:r w:rsidRPr="00C627FD">
        <w:rPr>
          <w:rFonts w:ascii="Times New Roman" w:hAnsi="Times New Roman" w:cs="Times New Roman"/>
          <w:color w:val="323130"/>
          <w:sz w:val="24"/>
          <w:szCs w:val="24"/>
          <w:shd w:val="clear" w:color="auto" w:fill="FFFFFF"/>
        </w:rPr>
        <w:lastRenderedPageBreak/>
        <w:t>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795B7E11" w14:textId="460044BE"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2A64B00B"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4EF2FF97"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197C0369" w14:textId="133BCBDB"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lastRenderedPageBreak/>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160E4593"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CB4B16">
        <w:rPr>
          <w:rFonts w:ascii="Times New Roman" w:hAnsi="Times New Roman" w:cs="Times New Roman"/>
          <w:color w:val="323130"/>
          <w:sz w:val="24"/>
          <w:szCs w:val="24"/>
          <w:highlight w:val="yellow"/>
          <w:shd w:val="clear" w:color="auto" w:fill="FFFFFF"/>
        </w:rPr>
        <w:t xml:space="preserve">For both </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6"/>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6"/>
      <w:r w:rsidR="008462F3">
        <w:rPr>
          <w:rStyle w:val="CommentReference"/>
        </w:rPr>
        <w:commentReference w:id="6"/>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172A8C83"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Pr="00FA77A9">
        <w:rPr>
          <w:rFonts w:ascii="Times New Roman" w:hAnsi="Times New Roman" w:cs="Times New Roman"/>
          <w:color w:val="323130"/>
          <w:sz w:val="24"/>
          <w:szCs w:val="24"/>
          <w:highlight w:val="yellow"/>
        </w:rPr>
        <w:t>[WORDS HERE]</w:t>
      </w:r>
    </w:p>
    <w:p w14:paraId="739BB342" w14:textId="77777777"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01EAEC44" w:rsidR="00146C58"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CB4B16" w:rsidRPr="00CB4B16">
        <w:rPr>
          <w:rFonts w:ascii="Times New Roman" w:hAnsi="Times New Roman" w:cs="Times New Roman"/>
          <w:color w:val="323130"/>
          <w:sz w:val="24"/>
          <w:szCs w:val="24"/>
          <w:shd w:val="clear" w:color="auto" w:fill="FFFFFF"/>
        </w:rPr>
        <w:t xml:space="preserve">The </w:t>
      </w:r>
      <w:proofErr w:type="spellStart"/>
      <w:r w:rsidR="00CB4B16" w:rsidRPr="00CB4B16">
        <w:rPr>
          <w:rFonts w:ascii="Times New Roman" w:hAnsi="Times New Roman" w:cs="Times New Roman"/>
          <w:i/>
          <w:color w:val="323130"/>
          <w:sz w:val="24"/>
          <w:szCs w:val="24"/>
          <w:shd w:val="clear" w:color="auto" w:fill="FFFFFF"/>
        </w:rPr>
        <w:t>p</w:t>
      </w:r>
      <w:r w:rsidR="00CB4B16" w:rsidRPr="00CB4B16">
        <w:rPr>
          <w:rFonts w:ascii="Times New Roman" w:hAnsi="Times New Roman" w:cs="Times New Roman"/>
          <w:i/>
          <w:color w:val="323130"/>
          <w:sz w:val="24"/>
          <w:szCs w:val="24"/>
          <w:shd w:val="clear" w:color="auto" w:fill="FFFFFF"/>
          <w:vertAlign w:val="subscript"/>
        </w:rPr>
        <w:t>BIC</w:t>
      </w:r>
      <w:proofErr w:type="spellEnd"/>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provides </w:t>
      </w:r>
      <w:r w:rsidR="00DC139F">
        <w:rPr>
          <w:rFonts w:ascii="Times New Roman" w:hAnsi="Times New Roman" w:cs="Times New Roman"/>
          <w:color w:val="323130"/>
          <w:sz w:val="24"/>
          <w:szCs w:val="24"/>
          <w:shd w:val="clear" w:color="auto" w:fill="FFFFFF"/>
        </w:rPr>
        <w:t xml:space="preserve">the 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CB4B16">
        <w:rPr>
          <w:rFonts w:ascii="Times New Roman" w:hAnsi="Times New Roman" w:cs="Times New Roman"/>
          <w:i/>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77777777"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FEB5F1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305F0623" w14:textId="77777777"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156F65D2" w14:textId="6DA1E54E"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 xml:space="preserve">Response: </w:t>
      </w:r>
      <w:r w:rsidRPr="00AD4016">
        <w:rPr>
          <w:rFonts w:ascii="Times New Roman" w:hAnsi="Times New Roman" w:cs="Times New Roman"/>
          <w:color w:val="323130"/>
          <w:sz w:val="24"/>
          <w:szCs w:val="24"/>
          <w:highlight w:val="yellow"/>
          <w:shd w:val="clear" w:color="auto" w:fill="FFFFFF"/>
        </w:rPr>
        <w:t>[WORDS HERE]</w:t>
      </w:r>
    </w:p>
    <w:p w14:paraId="38BF5041" w14:textId="6969A86E"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Default="00BA6A0A" w:rsidP="00D075D6">
      <w:pPr>
        <w:spacing w:after="0" w:line="240" w:lineRule="auto"/>
        <w:rPr>
          <w:rFonts w:ascii="Times New Roman" w:hAnsi="Times New Roman" w:cs="Times New Roman"/>
          <w:color w:val="323130"/>
          <w:sz w:val="24"/>
          <w:szCs w:val="24"/>
        </w:rPr>
      </w:pPr>
    </w:p>
    <w:p w14:paraId="0F6F2EA7" w14:textId="4BF251E3"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Response:</w:t>
      </w:r>
      <w:r w:rsidR="00813DDE">
        <w:rPr>
          <w:rFonts w:ascii="Times New Roman" w:hAnsi="Times New Roman" w:cs="Times New Roman"/>
          <w:b/>
          <w:bCs/>
          <w:iCs/>
          <w:color w:val="323130"/>
          <w:sz w:val="24"/>
          <w:szCs w:val="24"/>
          <w:shd w:val="clear" w:color="auto" w:fill="FFFFFF"/>
        </w:rPr>
        <w:t xml:space="preserve"> </w:t>
      </w:r>
      <w:r w:rsidR="00813DDE">
        <w:rPr>
          <w:rFonts w:ascii="Times New Roman" w:hAnsi="Times New Roman" w:cs="Times New Roman"/>
          <w:bCs/>
          <w:iCs/>
          <w:color w:val="323130"/>
          <w:sz w:val="24"/>
          <w:szCs w:val="24"/>
          <w:shd w:val="clear" w:color="auto" w:fill="FFFFFF"/>
        </w:rPr>
        <w:t>By deceptive, we mean</w:t>
      </w:r>
      <w:r w:rsidR="0042269B">
        <w:rPr>
          <w:rFonts w:ascii="Times New Roman" w:hAnsi="Times New Roman" w:cs="Times New Roman"/>
          <w:bCs/>
          <w:iCs/>
          <w:color w:val="323130"/>
          <w:sz w:val="24"/>
          <w:szCs w:val="24"/>
          <w:shd w:val="clear" w:color="auto" w:fill="FFFFFF"/>
        </w:rPr>
        <w:t xml:space="preserve"> </w:t>
      </w:r>
      <w:r w:rsidR="00140CF6">
        <w:rPr>
          <w:rFonts w:ascii="Times New Roman" w:hAnsi="Times New Roman" w:cs="Times New Roman"/>
          <w:bCs/>
          <w:iCs/>
          <w:color w:val="323130"/>
          <w:sz w:val="24"/>
          <w:szCs w:val="24"/>
          <w:shd w:val="clear" w:color="auto" w:fill="FFFFFF"/>
        </w:rPr>
        <w:t xml:space="preserve">pairs in which relatedness cues used to inform the judgment may be less readily available at retrieval. This is obvious in the case of backward associates (e.g., card – credit), as… </w:t>
      </w:r>
      <w:r>
        <w:rPr>
          <w:rFonts w:ascii="Times New Roman" w:hAnsi="Times New Roman" w:cs="Times New Roman"/>
          <w:b/>
          <w:bCs/>
          <w:i/>
          <w:iCs/>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4F7BFA31" w14:textId="0C57629F" w:rsidR="00D075D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Might it make sense to reorder the expe</w:t>
      </w:r>
      <w:bookmarkStart w:id="7" w:name="_GoBack"/>
      <w:bookmarkEnd w:id="7"/>
      <w:r w:rsidRPr="00C627FD">
        <w:rPr>
          <w:rFonts w:ascii="Times New Roman" w:hAnsi="Times New Roman" w:cs="Times New Roman"/>
          <w:color w:val="323130"/>
          <w:sz w:val="24"/>
          <w:szCs w:val="24"/>
          <w:shd w:val="clear" w:color="auto" w:fill="FFFFFF"/>
        </w:rPr>
        <w:t xml:space="preserve">riments as 1, 3, then 2 since the predictions and </w:t>
      </w:r>
      <w:r w:rsidRPr="00C627FD">
        <w:rPr>
          <w:rFonts w:ascii="Times New Roman" w:hAnsi="Times New Roman" w:cs="Times New Roman"/>
          <w:color w:val="323130"/>
          <w:sz w:val="24"/>
          <w:szCs w:val="24"/>
          <w:shd w:val="clear" w:color="auto" w:fill="FFFFFF"/>
        </w:rPr>
        <w:lastRenderedPageBreak/>
        <w:t>proposed mechanisms are identical for forward (Ex. 1) and symmetrical (Ex. 3) pairs?</w:t>
      </w:r>
      <w:r w:rsidRPr="00C627FD">
        <w:rPr>
          <w:rFonts w:ascii="Times New Roman" w:hAnsi="Times New Roman" w:cs="Times New Roman"/>
          <w:color w:val="323130"/>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77777777"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 xml:space="preserve">pre-data screening. Analysis of each group showed no differences in recall rates </w:t>
      </w:r>
      <w:r w:rsidR="00DC7F46" w:rsidRPr="00DC7F46">
        <w:rPr>
          <w:rFonts w:ascii="Times New Roman" w:hAnsi="Times New Roman" w:cs="Times New Roman"/>
          <w:color w:val="323130"/>
          <w:sz w:val="24"/>
          <w:szCs w:val="24"/>
          <w:highlight w:val="yellow"/>
        </w:rPr>
        <w:t>[STATS]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w:t>
      </w:r>
      <w:proofErr w:type="gramStart"/>
      <w:r w:rsidR="000713B2" w:rsidRPr="00C627FD">
        <w:rPr>
          <w:rFonts w:ascii="Times New Roman" w:hAnsi="Times New Roman" w:cs="Times New Roman"/>
          <w:color w:val="323130"/>
          <w:sz w:val="24"/>
          <w:szCs w:val="24"/>
          <w:shd w:val="clear" w:color="auto" w:fill="FFFFFF"/>
        </w:rPr>
        <w:t>its</w:t>
      </w:r>
      <w:proofErr w:type="gramEnd"/>
      <w:r w:rsidR="000713B2" w:rsidRPr="00C627FD">
        <w:rPr>
          <w:rFonts w:ascii="Times New Roman" w:hAnsi="Times New Roman" w:cs="Times New Roman"/>
          <w:color w:val="323130"/>
          <w:sz w:val="24"/>
          <w:szCs w:val="24"/>
          <w:shd w:val="clear" w:color="auto" w:fill="FFFFFF"/>
        </w:rPr>
        <w:t xml:space="preserve">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8"/>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8"/>
      <w:r w:rsidRPr="00C627FD">
        <w:rPr>
          <w:rFonts w:ascii="Times New Roman" w:hAnsi="Times New Roman" w:cs="Times New Roman"/>
          <w:sz w:val="24"/>
          <w:szCs w:val="24"/>
        </w:rPr>
        <w:commentReference w:id="8"/>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9"/>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9"/>
      <w:r w:rsidR="005B521F">
        <w:rPr>
          <w:rStyle w:val="CommentReference"/>
        </w:rPr>
        <w:commentReference w:id="9"/>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lastRenderedPageBreak/>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0"/>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0"/>
      <w:r w:rsidR="0065055D">
        <w:rPr>
          <w:rStyle w:val="CommentReference"/>
        </w:rPr>
        <w:commentReference w:id="10"/>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1"/>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1"/>
      <w:r w:rsidRPr="00C627FD">
        <w:rPr>
          <w:rFonts w:ascii="Times New Roman" w:hAnsi="Times New Roman" w:cs="Times New Roman"/>
          <w:sz w:val="24"/>
          <w:szCs w:val="24"/>
        </w:rPr>
        <w:commentReference w:id="11"/>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2"/>
      <w:r w:rsidR="000713B2" w:rsidRPr="00C627FD">
        <w:rPr>
          <w:rFonts w:ascii="Times New Roman" w:hAnsi="Times New Roman" w:cs="Times New Roman"/>
          <w:b/>
          <w:bCs/>
          <w:color w:val="323130"/>
          <w:sz w:val="24"/>
          <w:szCs w:val="24"/>
          <w:shd w:val="clear" w:color="auto" w:fill="FFFFFF"/>
        </w:rPr>
        <w:t>Comment 4</w:t>
      </w:r>
      <w:commentRangeEnd w:id="12"/>
      <w:r w:rsidR="005B521F">
        <w:rPr>
          <w:rStyle w:val="CommentReference"/>
        </w:rPr>
        <w:commentReference w:id="12"/>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9T09:39:00Z" w:initials="MN">
    <w:p w14:paraId="1391D8A4" w14:textId="6A070704" w:rsidR="008462F3" w:rsidRDefault="008462F3">
      <w:pPr>
        <w:pStyle w:val="CommentText"/>
      </w:pPr>
      <w:r>
        <w:rPr>
          <w:rStyle w:val="CommentReference"/>
        </w:rPr>
        <w:annotationRef/>
      </w:r>
      <w:r>
        <w:t>Study was self-paced, we’ve clarified this in the Experiment 1 Procedure</w:t>
      </w:r>
    </w:p>
  </w:comment>
  <w:comment w:id="8"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9"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0" w:author="Nick Maxwell" w:date="2022-08-27T17:58:00Z" w:initials="NM">
    <w:p w14:paraId="69E2A222" w14:textId="77777777" w:rsidR="0065055D" w:rsidRDefault="0065055D" w:rsidP="0026492F">
      <w:pPr>
        <w:pStyle w:val="CommentText"/>
      </w:pPr>
      <w:r>
        <w:rPr>
          <w:rStyle w:val="CommentReference"/>
        </w:rPr>
        <w:annotationRef/>
      </w:r>
      <w:r>
        <w:t>Update this!</w:t>
      </w:r>
    </w:p>
  </w:comment>
  <w:comment w:id="11"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2"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E0630" w15:done="0"/>
  <w15:commentEx w15:paraId="7A33E6B1" w15:done="0"/>
  <w15:commentEx w15:paraId="664DD4B7" w15:done="0"/>
  <w15:commentEx w15:paraId="52E666A4" w15:done="0"/>
  <w15:commentEx w15:paraId="6BFC8C93" w15:done="0"/>
  <w15:commentEx w15:paraId="52A9CBED" w15:done="0"/>
  <w15:commentEx w15:paraId="1391D8A4"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4DB80" w16cex:dateUtc="2022-08-27T23:0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1391D8A4" w16cid:durableId="26B707E8"/>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9EB4" w14:textId="77777777" w:rsidR="00CD3244" w:rsidRDefault="00CD3244" w:rsidP="002665A1">
      <w:pPr>
        <w:spacing w:after="0" w:line="240" w:lineRule="auto"/>
      </w:pPr>
      <w:r>
        <w:separator/>
      </w:r>
    </w:p>
  </w:endnote>
  <w:endnote w:type="continuationSeparator" w:id="0">
    <w:p w14:paraId="1FA28ED9" w14:textId="77777777" w:rsidR="00CD3244" w:rsidRDefault="00CD3244"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617BE" w14:textId="77777777" w:rsidR="00CD3244" w:rsidRDefault="00CD3244" w:rsidP="002665A1">
      <w:pPr>
        <w:spacing w:after="0" w:line="240" w:lineRule="auto"/>
      </w:pPr>
      <w:r>
        <w:separator/>
      </w:r>
    </w:p>
  </w:footnote>
  <w:footnote w:type="continuationSeparator" w:id="0">
    <w:p w14:paraId="3EE3B84A" w14:textId="77777777" w:rsidR="00CD3244" w:rsidRDefault="00CD3244"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140D"/>
    <w:rsid w:val="000016F0"/>
    <w:rsid w:val="00003493"/>
    <w:rsid w:val="00004DD2"/>
    <w:rsid w:val="00015CFD"/>
    <w:rsid w:val="00020046"/>
    <w:rsid w:val="000239A4"/>
    <w:rsid w:val="00024805"/>
    <w:rsid w:val="000269A9"/>
    <w:rsid w:val="000305C6"/>
    <w:rsid w:val="00031843"/>
    <w:rsid w:val="000329CF"/>
    <w:rsid w:val="00033D09"/>
    <w:rsid w:val="000358B9"/>
    <w:rsid w:val="00035946"/>
    <w:rsid w:val="00036C0B"/>
    <w:rsid w:val="00036FD3"/>
    <w:rsid w:val="00045A26"/>
    <w:rsid w:val="000503C2"/>
    <w:rsid w:val="00050499"/>
    <w:rsid w:val="00051D10"/>
    <w:rsid w:val="0005308B"/>
    <w:rsid w:val="00054854"/>
    <w:rsid w:val="00055384"/>
    <w:rsid w:val="0005754D"/>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237F"/>
    <w:rsid w:val="000B3227"/>
    <w:rsid w:val="000B3806"/>
    <w:rsid w:val="000B4EFF"/>
    <w:rsid w:val="000B6D5B"/>
    <w:rsid w:val="000C042E"/>
    <w:rsid w:val="000C2C52"/>
    <w:rsid w:val="000C2EA6"/>
    <w:rsid w:val="000C429C"/>
    <w:rsid w:val="000C59C8"/>
    <w:rsid w:val="000C6BA2"/>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2604"/>
    <w:rsid w:val="0010608E"/>
    <w:rsid w:val="00112832"/>
    <w:rsid w:val="00113407"/>
    <w:rsid w:val="00113A64"/>
    <w:rsid w:val="001158D8"/>
    <w:rsid w:val="00115F87"/>
    <w:rsid w:val="00117F52"/>
    <w:rsid w:val="00120161"/>
    <w:rsid w:val="00122A9F"/>
    <w:rsid w:val="001308EE"/>
    <w:rsid w:val="001323BC"/>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4BCF"/>
    <w:rsid w:val="002A59AD"/>
    <w:rsid w:val="002A792E"/>
    <w:rsid w:val="002B3EE8"/>
    <w:rsid w:val="002C0EBD"/>
    <w:rsid w:val="002C1551"/>
    <w:rsid w:val="002C3345"/>
    <w:rsid w:val="002C393D"/>
    <w:rsid w:val="002C4272"/>
    <w:rsid w:val="002C7183"/>
    <w:rsid w:val="002D09B2"/>
    <w:rsid w:val="002D0C0D"/>
    <w:rsid w:val="002D3CF3"/>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6699"/>
    <w:rsid w:val="0039136D"/>
    <w:rsid w:val="00391FD6"/>
    <w:rsid w:val="00394F75"/>
    <w:rsid w:val="003972F4"/>
    <w:rsid w:val="003A06ED"/>
    <w:rsid w:val="003A55E4"/>
    <w:rsid w:val="003A59A2"/>
    <w:rsid w:val="003B2E2C"/>
    <w:rsid w:val="003B71FA"/>
    <w:rsid w:val="003C03FF"/>
    <w:rsid w:val="003C05B2"/>
    <w:rsid w:val="003C1E27"/>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366EA"/>
    <w:rsid w:val="004405A3"/>
    <w:rsid w:val="00441C31"/>
    <w:rsid w:val="00442FF3"/>
    <w:rsid w:val="00444E8C"/>
    <w:rsid w:val="00444F1A"/>
    <w:rsid w:val="004468F6"/>
    <w:rsid w:val="00451AF8"/>
    <w:rsid w:val="0045426E"/>
    <w:rsid w:val="00462213"/>
    <w:rsid w:val="00462CA9"/>
    <w:rsid w:val="0046373F"/>
    <w:rsid w:val="00465282"/>
    <w:rsid w:val="00467CED"/>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7CC"/>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D22DF"/>
    <w:rsid w:val="005D4074"/>
    <w:rsid w:val="005D45A3"/>
    <w:rsid w:val="005D512C"/>
    <w:rsid w:val="005D61A1"/>
    <w:rsid w:val="005D690A"/>
    <w:rsid w:val="005D6AF8"/>
    <w:rsid w:val="005D6BBA"/>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A92"/>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10F2"/>
    <w:rsid w:val="00797EC3"/>
    <w:rsid w:val="007A1B57"/>
    <w:rsid w:val="007A1F27"/>
    <w:rsid w:val="007A2229"/>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3D8E"/>
    <w:rsid w:val="008A467E"/>
    <w:rsid w:val="008A4744"/>
    <w:rsid w:val="008A5BA3"/>
    <w:rsid w:val="008A657D"/>
    <w:rsid w:val="008A70AD"/>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4A60"/>
    <w:rsid w:val="008F5517"/>
    <w:rsid w:val="008F5D46"/>
    <w:rsid w:val="008F759C"/>
    <w:rsid w:val="009034F4"/>
    <w:rsid w:val="00903799"/>
    <w:rsid w:val="00905176"/>
    <w:rsid w:val="009055C2"/>
    <w:rsid w:val="00910798"/>
    <w:rsid w:val="009117BF"/>
    <w:rsid w:val="00912426"/>
    <w:rsid w:val="009153D2"/>
    <w:rsid w:val="00916C17"/>
    <w:rsid w:val="00917053"/>
    <w:rsid w:val="00917D7C"/>
    <w:rsid w:val="00917F45"/>
    <w:rsid w:val="00920C15"/>
    <w:rsid w:val="0092301B"/>
    <w:rsid w:val="00923BE5"/>
    <w:rsid w:val="009275E1"/>
    <w:rsid w:val="00930F53"/>
    <w:rsid w:val="00932AC7"/>
    <w:rsid w:val="00933900"/>
    <w:rsid w:val="009342B8"/>
    <w:rsid w:val="00935D23"/>
    <w:rsid w:val="00936557"/>
    <w:rsid w:val="00936E1D"/>
    <w:rsid w:val="00941A99"/>
    <w:rsid w:val="00942610"/>
    <w:rsid w:val="009452BE"/>
    <w:rsid w:val="00951080"/>
    <w:rsid w:val="009529CE"/>
    <w:rsid w:val="009531D1"/>
    <w:rsid w:val="0095762B"/>
    <w:rsid w:val="009614CD"/>
    <w:rsid w:val="00962D0A"/>
    <w:rsid w:val="009652EB"/>
    <w:rsid w:val="00965EB9"/>
    <w:rsid w:val="00972295"/>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6369"/>
    <w:rsid w:val="009A6E74"/>
    <w:rsid w:val="009B1821"/>
    <w:rsid w:val="009B2386"/>
    <w:rsid w:val="009B32A4"/>
    <w:rsid w:val="009B5F04"/>
    <w:rsid w:val="009C0EC9"/>
    <w:rsid w:val="009C3F15"/>
    <w:rsid w:val="009C465D"/>
    <w:rsid w:val="009D0A9F"/>
    <w:rsid w:val="009D16C5"/>
    <w:rsid w:val="009D2536"/>
    <w:rsid w:val="009E2C4C"/>
    <w:rsid w:val="009E32C6"/>
    <w:rsid w:val="009E54A1"/>
    <w:rsid w:val="009E56F3"/>
    <w:rsid w:val="009E7CA8"/>
    <w:rsid w:val="009F4451"/>
    <w:rsid w:val="009F5872"/>
    <w:rsid w:val="00A00F38"/>
    <w:rsid w:val="00A0215E"/>
    <w:rsid w:val="00A036C9"/>
    <w:rsid w:val="00A03DA8"/>
    <w:rsid w:val="00A03FC8"/>
    <w:rsid w:val="00A04272"/>
    <w:rsid w:val="00A102B5"/>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5E68"/>
    <w:rsid w:val="00A67C11"/>
    <w:rsid w:val="00A70596"/>
    <w:rsid w:val="00A7384D"/>
    <w:rsid w:val="00A75645"/>
    <w:rsid w:val="00A77CF4"/>
    <w:rsid w:val="00A8226D"/>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271A"/>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A34"/>
    <w:rsid w:val="00AF1B75"/>
    <w:rsid w:val="00AF2789"/>
    <w:rsid w:val="00AF5656"/>
    <w:rsid w:val="00AF6CAC"/>
    <w:rsid w:val="00B0317D"/>
    <w:rsid w:val="00B05C97"/>
    <w:rsid w:val="00B06FFB"/>
    <w:rsid w:val="00B1249C"/>
    <w:rsid w:val="00B128C9"/>
    <w:rsid w:val="00B129D0"/>
    <w:rsid w:val="00B14093"/>
    <w:rsid w:val="00B2046B"/>
    <w:rsid w:val="00B22375"/>
    <w:rsid w:val="00B27A19"/>
    <w:rsid w:val="00B33156"/>
    <w:rsid w:val="00B33BA7"/>
    <w:rsid w:val="00B33C19"/>
    <w:rsid w:val="00B33F86"/>
    <w:rsid w:val="00B34859"/>
    <w:rsid w:val="00B37B7D"/>
    <w:rsid w:val="00B40767"/>
    <w:rsid w:val="00B43427"/>
    <w:rsid w:val="00B46FD2"/>
    <w:rsid w:val="00B47C19"/>
    <w:rsid w:val="00B47D08"/>
    <w:rsid w:val="00B502C8"/>
    <w:rsid w:val="00B51B21"/>
    <w:rsid w:val="00B55CDF"/>
    <w:rsid w:val="00B56562"/>
    <w:rsid w:val="00B571F5"/>
    <w:rsid w:val="00B60037"/>
    <w:rsid w:val="00B63598"/>
    <w:rsid w:val="00B65353"/>
    <w:rsid w:val="00B65470"/>
    <w:rsid w:val="00B67CB0"/>
    <w:rsid w:val="00B71913"/>
    <w:rsid w:val="00B746C9"/>
    <w:rsid w:val="00B762D8"/>
    <w:rsid w:val="00B80E39"/>
    <w:rsid w:val="00B86534"/>
    <w:rsid w:val="00B866B9"/>
    <w:rsid w:val="00B9237C"/>
    <w:rsid w:val="00BA1F21"/>
    <w:rsid w:val="00BA224B"/>
    <w:rsid w:val="00BA6A0A"/>
    <w:rsid w:val="00BA6C5A"/>
    <w:rsid w:val="00BA74AA"/>
    <w:rsid w:val="00BB3C48"/>
    <w:rsid w:val="00BB4B2B"/>
    <w:rsid w:val="00BB53AF"/>
    <w:rsid w:val="00BB5AA5"/>
    <w:rsid w:val="00BB6324"/>
    <w:rsid w:val="00BC01B9"/>
    <w:rsid w:val="00BC21F7"/>
    <w:rsid w:val="00BC30FF"/>
    <w:rsid w:val="00BC76BD"/>
    <w:rsid w:val="00BD119A"/>
    <w:rsid w:val="00BD61D9"/>
    <w:rsid w:val="00BE137F"/>
    <w:rsid w:val="00BE17AF"/>
    <w:rsid w:val="00BE2EEC"/>
    <w:rsid w:val="00BE65CC"/>
    <w:rsid w:val="00BF01A0"/>
    <w:rsid w:val="00C01C40"/>
    <w:rsid w:val="00C038D9"/>
    <w:rsid w:val="00C03AB2"/>
    <w:rsid w:val="00C07A6C"/>
    <w:rsid w:val="00C11F7D"/>
    <w:rsid w:val="00C14BE0"/>
    <w:rsid w:val="00C152EF"/>
    <w:rsid w:val="00C23CD3"/>
    <w:rsid w:val="00C31457"/>
    <w:rsid w:val="00C32B5C"/>
    <w:rsid w:val="00C35241"/>
    <w:rsid w:val="00C37A47"/>
    <w:rsid w:val="00C37DFD"/>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AFC"/>
    <w:rsid w:val="00CB4B16"/>
    <w:rsid w:val="00CB4D68"/>
    <w:rsid w:val="00CD0C52"/>
    <w:rsid w:val="00CD144F"/>
    <w:rsid w:val="00CD3244"/>
    <w:rsid w:val="00CD38AF"/>
    <w:rsid w:val="00CD3EAE"/>
    <w:rsid w:val="00CD5E84"/>
    <w:rsid w:val="00CD6B70"/>
    <w:rsid w:val="00CE52C5"/>
    <w:rsid w:val="00CF4957"/>
    <w:rsid w:val="00CF516C"/>
    <w:rsid w:val="00CF583A"/>
    <w:rsid w:val="00CF5DE5"/>
    <w:rsid w:val="00CF700D"/>
    <w:rsid w:val="00CF7CE2"/>
    <w:rsid w:val="00D0017C"/>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4908"/>
    <w:rsid w:val="00D66790"/>
    <w:rsid w:val="00D67EA2"/>
    <w:rsid w:val="00D71D2C"/>
    <w:rsid w:val="00D72C09"/>
    <w:rsid w:val="00D73A56"/>
    <w:rsid w:val="00D745B6"/>
    <w:rsid w:val="00D8035D"/>
    <w:rsid w:val="00D81306"/>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139F"/>
    <w:rsid w:val="00DC2452"/>
    <w:rsid w:val="00DC5F4B"/>
    <w:rsid w:val="00DC66E9"/>
    <w:rsid w:val="00DC7F46"/>
    <w:rsid w:val="00DD17D4"/>
    <w:rsid w:val="00DD2892"/>
    <w:rsid w:val="00DD2A0C"/>
    <w:rsid w:val="00DD3477"/>
    <w:rsid w:val="00DD3860"/>
    <w:rsid w:val="00DD5D78"/>
    <w:rsid w:val="00DE06E1"/>
    <w:rsid w:val="00DE18D6"/>
    <w:rsid w:val="00DE2A59"/>
    <w:rsid w:val="00DE71C3"/>
    <w:rsid w:val="00DE76F9"/>
    <w:rsid w:val="00DF645A"/>
    <w:rsid w:val="00E00283"/>
    <w:rsid w:val="00E02652"/>
    <w:rsid w:val="00E11FBA"/>
    <w:rsid w:val="00E12545"/>
    <w:rsid w:val="00E15D08"/>
    <w:rsid w:val="00E20C20"/>
    <w:rsid w:val="00E21095"/>
    <w:rsid w:val="00E21337"/>
    <w:rsid w:val="00E22857"/>
    <w:rsid w:val="00E22EF0"/>
    <w:rsid w:val="00E230A0"/>
    <w:rsid w:val="00E230D9"/>
    <w:rsid w:val="00E24B84"/>
    <w:rsid w:val="00E25360"/>
    <w:rsid w:val="00E30431"/>
    <w:rsid w:val="00E30FEC"/>
    <w:rsid w:val="00E32ACE"/>
    <w:rsid w:val="00E34712"/>
    <w:rsid w:val="00E43C04"/>
    <w:rsid w:val="00E440EE"/>
    <w:rsid w:val="00E467D4"/>
    <w:rsid w:val="00E522AA"/>
    <w:rsid w:val="00E522BB"/>
    <w:rsid w:val="00E56F39"/>
    <w:rsid w:val="00E60F82"/>
    <w:rsid w:val="00E61882"/>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7C8"/>
    <w:rsid w:val="00F43DD9"/>
    <w:rsid w:val="00F44896"/>
    <w:rsid w:val="00F5055D"/>
    <w:rsid w:val="00F5206C"/>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6B08"/>
    <w:rsid w:val="00F86CAB"/>
    <w:rsid w:val="00F905E8"/>
    <w:rsid w:val="00F90D7F"/>
    <w:rsid w:val="00F911FC"/>
    <w:rsid w:val="00F91FC8"/>
    <w:rsid w:val="00F96FC8"/>
    <w:rsid w:val="00FA3E61"/>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E1BA5"/>
    <w:rsid w:val="00FE3DF9"/>
    <w:rsid w:val="00FE3F67"/>
    <w:rsid w:val="00FE4F75"/>
    <w:rsid w:val="00FE5218"/>
    <w:rsid w:val="00FE53BA"/>
    <w:rsid w:val="00FE66E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149</cp:revision>
  <cp:lastPrinted>2022-02-05T17:36:00Z</cp:lastPrinted>
  <dcterms:created xsi:type="dcterms:W3CDTF">2022-02-06T23:01:00Z</dcterms:created>
  <dcterms:modified xsi:type="dcterms:W3CDTF">2022-08-29T15:08:00Z</dcterms:modified>
</cp:coreProperties>
</file>