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AB24EE"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6A9E0174"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etc.), they</w:t>
      </w:r>
      <w:r w:rsidR="00705C51">
        <w:rPr>
          <w:rFonts w:ascii="Times New Roman" w:hAnsi="Times New Roman" w:cs="Times New Roman"/>
          <w:sz w:val="24"/>
          <w:szCs w:val="24"/>
        </w:rPr>
        <w:t xml:space="preserve">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21A10BE7"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AC04C2">
        <w:rPr>
          <w:rFonts w:ascii="Times New Roman" w:hAnsi="Times New Roman" w:cs="Times New Roman"/>
          <w:sz w:val="24"/>
          <w:szCs w:val="24"/>
        </w:rPr>
        <w:t>JOL researchers have shown</w:t>
      </w:r>
      <w:r w:rsidR="00EF4402">
        <w:rPr>
          <w:rFonts w:ascii="Times New Roman" w:hAnsi="Times New Roman" w:cs="Times New Roman"/>
          <w:sz w:val="24"/>
          <w:szCs w:val="24"/>
        </w:rPr>
        <w:t xml:space="preserve"> a recent interest in</w:t>
      </w:r>
      <w:r w:rsidR="00873207">
        <w:rPr>
          <w:rFonts w:ascii="Times New Roman" w:hAnsi="Times New Roman" w:cs="Times New Roman"/>
          <w:sz w:val="24"/>
          <w:szCs w:val="24"/>
        </w:rPr>
        <w:t xml:space="preserve">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 xml:space="preserve">Arbuckle and </w:t>
      </w:r>
      <w:r w:rsidR="00A958B1" w:rsidRPr="00F47A03">
        <w:rPr>
          <w:rFonts w:ascii="Times New Roman" w:hAnsi="Times New Roman" w:cs="Times New Roman"/>
          <w:sz w:val="24"/>
          <w:szCs w:val="24"/>
        </w:rPr>
        <w:lastRenderedPageBreak/>
        <w:t>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4AADE6C"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However, although</w:t>
      </w:r>
      <w:r w:rsidR="00365B14">
        <w:rPr>
          <w:rFonts w:ascii="Times New Roman" w:hAnsi="Times New Roman" w:cs="Times New Roman"/>
          <w:sz w:val="24"/>
          <w:szCs w:val="24"/>
        </w:rPr>
        <w:t xml:space="preserve"> several studies have shown that JOLs produce positive reactivity on related pairs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 xml:space="preserve">and negative </w:t>
      </w:r>
      <w:r w:rsidR="00B656FE">
        <w:rPr>
          <w:rFonts w:ascii="Times New Roman" w:hAnsi="Times New Roman" w:cs="Times New Roman"/>
          <w:sz w:val="24"/>
          <w:szCs w:val="24"/>
        </w:rPr>
        <w:lastRenderedPageBreak/>
        <w:t>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lastRenderedPageBreak/>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6BC31A9E"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Thus, if pure lists display the same reactivity patterns previously reported for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lastRenderedPageBreak/>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 xml:space="preserve">matched on mean </w:t>
      </w:r>
      <w:r w:rsidRPr="00DA7450">
        <w:rPr>
          <w:rFonts w:ascii="Times New Roman" w:hAnsi="Times New Roman" w:cs="Times New Roman"/>
          <w:sz w:val="24"/>
          <w:szCs w:val="24"/>
        </w:rPr>
        <w:lastRenderedPageBreak/>
        <w:t>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w:t>
      </w:r>
      <w:r>
        <w:rPr>
          <w:rFonts w:ascii="Times New Roman" w:hAnsi="Times New Roman" w:cs="Times New Roman"/>
          <w:sz w:val="24"/>
          <w:szCs w:val="24"/>
        </w:rPr>
        <w:lastRenderedPageBreak/>
        <w:t xml:space="preserve">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two-minute filler task </w:t>
      </w:r>
      <w:r w:rsidR="006B2830">
        <w:rPr>
          <w:rFonts w:ascii="Times New Roman" w:hAnsi="Times New Roman" w:cs="Times New Roman"/>
          <w:sz w:val="24"/>
          <w:szCs w:val="24"/>
        </w:rPr>
        <w:lastRenderedPageBreak/>
        <w:t>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w:t>
      </w:r>
      <w:r w:rsidRPr="00FB0F1C">
        <w:rPr>
          <w:rFonts w:ascii="Times New Roman" w:eastAsia="Times New Roman" w:hAnsi="Times New Roman" w:cs="Times New Roman"/>
          <w:color w:val="000000"/>
          <w:sz w:val="24"/>
          <w:szCs w:val="24"/>
        </w:rPr>
        <w:lastRenderedPageBreak/>
        <w:t xml:space="preserve">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w:t>
      </w:r>
      <w:r>
        <w:rPr>
          <w:rFonts w:ascii="Times New Roman" w:hAnsi="Times New Roman" w:cs="Times New Roman"/>
          <w:sz w:val="24"/>
          <w:szCs w:val="24"/>
        </w:rPr>
        <w:lastRenderedPageBreak/>
        <w:t>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4C34A1F9"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w:t>
      </w:r>
      <w:r>
        <w:rPr>
          <w:rFonts w:ascii="Times New Roman" w:hAnsi="Times New Roman" w:cs="Times New Roman"/>
          <w:sz w:val="24"/>
          <w:szCs w:val="24"/>
        </w:rPr>
        <w:lastRenderedPageBreak/>
        <w:t xml:space="preserve">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w:t>
      </w:r>
      <w:r>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w:t>
      </w:r>
      <w:r>
        <w:rPr>
          <w:rFonts w:ascii="Times New Roman" w:hAnsi="Times New Roman" w:cs="Times New Roman"/>
          <w:sz w:val="24"/>
          <w:szCs w:val="24"/>
        </w:rPr>
        <w:lastRenderedPageBreak/>
        <w:t xml:space="preserve">(25.45;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lastRenderedPageBreak/>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w:t>
      </w:r>
      <w:r>
        <w:rPr>
          <w:rFonts w:ascii="Times New Roman" w:hAnsi="Times New Roman" w:cs="Times New Roman"/>
          <w:sz w:val="24"/>
          <w:szCs w:val="24"/>
        </w:rPr>
        <w:lastRenderedPageBreak/>
        <w:t>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1C3B34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3850864"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D52545">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 xml:space="preserve">frequency judgments, providing additional evidence that reactivity effects are driven by the encoding task strengthening relatedness cues rather than a comparative process as posited by the changed-goal hypothesis. Next, Experiments 2 and 3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 xml:space="preserve">the </w:t>
      </w:r>
      <w:r w:rsidR="00ED5C10">
        <w:rPr>
          <w:rFonts w:ascii="Times New Roman" w:hAnsi="Times New Roman" w:cs="Times New Roman"/>
          <w:sz w:val="24"/>
          <w:szCs w:val="24"/>
        </w:rPr>
        <w:lastRenderedPageBreak/>
        <w:t>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whether </w:t>
      </w:r>
      <w:r w:rsidR="00A44C2A">
        <w:rPr>
          <w:rFonts w:ascii="Times New Roman" w:hAnsi="Times New Roman" w:cs="Times New Roman"/>
          <w:sz w:val="24"/>
          <w:szCs w:val="24"/>
        </w:rPr>
        <w:t>pairs are presented using mixed or pure list contexts.</w:t>
      </w:r>
    </w:p>
    <w:p w14:paraId="16F6763A" w14:textId="2A43C83F"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w:t>
      </w:r>
      <w:r w:rsidR="005E50AA">
        <w:rPr>
          <w:rFonts w:ascii="Times New Roman" w:hAnsi="Times New Roman" w:cs="Times New Roman"/>
          <w:sz w:val="24"/>
          <w:szCs w:val="24"/>
        </w:rPr>
        <w:lastRenderedPageBreak/>
        <w:t>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10DCF2C3" w:rsidR="007228B1" w:rsidRDefault="00DF34AC" w:rsidP="00BC2E03">
      <w:pPr>
        <w:spacing w:after="0" w:line="480" w:lineRule="auto"/>
        <w:ind w:firstLine="720"/>
        <w:rPr>
          <w:rFonts w:ascii="Times New Roman" w:hAnsi="Times New Roman" w:cs="Times New Roman"/>
          <w:sz w:val="24"/>
          <w:szCs w:val="24"/>
        </w:rPr>
      </w:pPr>
      <w:commentRangeStart w:id="12"/>
      <w:r>
        <w:rPr>
          <w:rFonts w:ascii="Times New Roman" w:hAnsi="Times New Roman" w:cs="Times New Roman"/>
          <w:sz w:val="24"/>
          <w:szCs w:val="24"/>
        </w:rPr>
        <w:t xml:space="preserve">While </w:t>
      </w:r>
      <w:commentRangeEnd w:id="12"/>
      <w:r w:rsidR="007E1777">
        <w:rPr>
          <w:rStyle w:val="CommentReference"/>
        </w:rPr>
        <w:commentReference w:id="12"/>
      </w:r>
      <w:r>
        <w:rPr>
          <w:rFonts w:ascii="Times New Roman" w:hAnsi="Times New Roman" w:cs="Times New Roman"/>
          <w:sz w:val="24"/>
          <w:szCs w:val="24"/>
        </w:rPr>
        <w:t>the present study was desi</w:t>
      </w:r>
      <w:r w:rsidR="006F39AB">
        <w:rPr>
          <w:rFonts w:ascii="Times New Roman" w:hAnsi="Times New Roman" w:cs="Times New Roman"/>
          <w:sz w:val="24"/>
          <w:szCs w:val="24"/>
        </w:rPr>
        <w:t>gned to test the changed-goal and cue strengthening accounts of JOL reactivity</w:t>
      </w:r>
      <w:r w:rsidR="00597368">
        <w:rPr>
          <w:rFonts w:ascii="Times New Roman" w:hAnsi="Times New Roman" w:cs="Times New Roman"/>
          <w:sz w:val="24"/>
          <w:szCs w:val="24"/>
        </w:rPr>
        <w:t xml:space="preserve">, we note that </w:t>
      </w:r>
      <w:r w:rsidR="004254D2">
        <w:rPr>
          <w:rFonts w:ascii="Times New Roman" w:hAnsi="Times New Roman" w:cs="Times New Roman"/>
          <w:sz w:val="24"/>
          <w:szCs w:val="24"/>
        </w:rPr>
        <w:t xml:space="preserve">this study also provides insight regarding the role of strategy use </w:t>
      </w:r>
      <w:r w:rsidR="006F39AB">
        <w:rPr>
          <w:rFonts w:ascii="Times New Roman" w:hAnsi="Times New Roman" w:cs="Times New Roman"/>
          <w:sz w:val="24"/>
          <w:szCs w:val="24"/>
        </w:rPr>
        <w:t>on</w:t>
      </w:r>
      <w:r w:rsidR="004254D2">
        <w:rPr>
          <w:rFonts w:ascii="Times New Roman" w:hAnsi="Times New Roman" w:cs="Times New Roman"/>
          <w:sz w:val="24"/>
          <w:szCs w:val="24"/>
        </w:rPr>
        <w:t xml:space="preserve"> reactivity</w:t>
      </w:r>
      <w:r w:rsidR="006F39AB">
        <w:rPr>
          <w:rFonts w:ascii="Times New Roman" w:hAnsi="Times New Roman" w:cs="Times New Roman"/>
          <w:sz w:val="24"/>
          <w:szCs w:val="24"/>
        </w:rPr>
        <w:t xml:space="preserve"> effects</w:t>
      </w:r>
      <w:r w:rsidR="004254D2">
        <w:rPr>
          <w:rFonts w:ascii="Times New Roman" w:hAnsi="Times New Roman" w:cs="Times New Roman"/>
          <w:sz w:val="24"/>
          <w:szCs w:val="24"/>
        </w:rPr>
        <w:t>.</w:t>
      </w:r>
      <w:r w:rsidR="00597368">
        <w:rPr>
          <w:rFonts w:ascii="Times New Roman" w:hAnsi="Times New Roman" w:cs="Times New Roman"/>
          <w:sz w:val="24"/>
          <w:szCs w:val="24"/>
        </w:rPr>
        <w:t xml:space="preserve"> </w:t>
      </w:r>
      <w:r w:rsidR="0010207D">
        <w:rPr>
          <w:rFonts w:ascii="Times New Roman" w:hAnsi="Times New Roman" w:cs="Times New Roman"/>
          <w:sz w:val="24"/>
          <w:szCs w:val="24"/>
        </w:rPr>
        <w:t xml:space="preserve">First, the finding that both JOLs and frequency judgments </w:t>
      </w:r>
      <w:r w:rsidR="0070618D">
        <w:rPr>
          <w:rFonts w:ascii="Times New Roman" w:hAnsi="Times New Roman" w:cs="Times New Roman"/>
          <w:sz w:val="24"/>
          <w:szCs w:val="24"/>
        </w:rPr>
        <w:t xml:space="preserve">consistently </w:t>
      </w:r>
      <w:r w:rsidR="0010207D">
        <w:rPr>
          <w:rFonts w:ascii="Times New Roman" w:hAnsi="Times New Roman" w:cs="Times New Roman"/>
          <w:sz w:val="24"/>
          <w:szCs w:val="24"/>
        </w:rPr>
        <w:t>produce positive reactivity</w:t>
      </w:r>
      <w:r w:rsidR="006A3D85">
        <w:rPr>
          <w:rFonts w:ascii="Times New Roman" w:hAnsi="Times New Roman" w:cs="Times New Roman"/>
          <w:sz w:val="24"/>
          <w:szCs w:val="24"/>
        </w:rPr>
        <w:t xml:space="preserve"> </w:t>
      </w:r>
      <w:r w:rsidR="0070618D">
        <w:rPr>
          <w:rFonts w:ascii="Times New Roman" w:hAnsi="Times New Roman" w:cs="Times New Roman"/>
          <w:sz w:val="24"/>
          <w:szCs w:val="24"/>
        </w:rPr>
        <w:t xml:space="preserve">on related but not unrelated pairs </w:t>
      </w:r>
      <w:r w:rsidR="00A057A5">
        <w:rPr>
          <w:rFonts w:ascii="Times New Roman" w:hAnsi="Times New Roman" w:cs="Times New Roman"/>
          <w:sz w:val="24"/>
          <w:szCs w:val="24"/>
        </w:rPr>
        <w:t xml:space="preserve">suggests that these tasks </w:t>
      </w:r>
      <w:r w:rsidR="007228B1">
        <w:rPr>
          <w:rFonts w:ascii="Times New Roman" w:hAnsi="Times New Roman" w:cs="Times New Roman"/>
          <w:sz w:val="24"/>
          <w:szCs w:val="24"/>
        </w:rPr>
        <w:t>[STRATEGIC IN MIXED BUT MAYBE NOT IN PURE]</w:t>
      </w:r>
      <w:r w:rsidR="006A3D85">
        <w:rPr>
          <w:rFonts w:ascii="Times New Roman" w:hAnsi="Times New Roman" w:cs="Times New Roman"/>
          <w:sz w:val="24"/>
          <w:szCs w:val="24"/>
        </w:rPr>
        <w:t xml:space="preserve"> </w:t>
      </w:r>
      <w:r w:rsidR="00C873F8">
        <w:rPr>
          <w:rFonts w:ascii="Times New Roman" w:hAnsi="Times New Roman" w:cs="Times New Roman"/>
          <w:sz w:val="24"/>
          <w:szCs w:val="24"/>
        </w:rPr>
        <w:t xml:space="preserve">However, [RIVERS PAPER]. </w:t>
      </w:r>
      <w:r w:rsidR="006A3D85">
        <w:rPr>
          <w:rFonts w:ascii="Times New Roman" w:hAnsi="Times New Roman" w:cs="Times New Roman"/>
          <w:sz w:val="24"/>
          <w:szCs w:val="24"/>
        </w:rPr>
        <w:t>We note, however,</w:t>
      </w:r>
      <w:r w:rsidR="00C873F8">
        <w:rPr>
          <w:rFonts w:ascii="Times New Roman" w:hAnsi="Times New Roman" w:cs="Times New Roman"/>
          <w:sz w:val="24"/>
          <w:szCs w:val="24"/>
        </w:rPr>
        <w:t xml:space="preserve"> that </w:t>
      </w:r>
      <w:r w:rsidR="006A3D85">
        <w:rPr>
          <w:rFonts w:ascii="Times New Roman" w:hAnsi="Times New Roman" w:cs="Times New Roman"/>
          <w:sz w:val="24"/>
          <w:szCs w:val="24"/>
        </w:rPr>
        <w:t>[FIND A CRITICISM ABOUT IT] [SUMMARY STATEMENT]</w:t>
      </w:r>
      <w:r w:rsidR="00C873F8">
        <w:rPr>
          <w:rFonts w:ascii="Times New Roman" w:hAnsi="Times New Roman" w:cs="Times New Roman"/>
          <w:sz w:val="24"/>
          <w:szCs w:val="24"/>
        </w:rPr>
        <w:t xml:space="preserve">. Thus, it remains unclear </w:t>
      </w:r>
      <w:r w:rsidR="00C873F8" w:rsidRPr="004B1A59">
        <w:rPr>
          <w:rFonts w:ascii="Times New Roman" w:hAnsi="Times New Roman" w:cs="Times New Roman"/>
          <w:sz w:val="24"/>
          <w:szCs w:val="24"/>
          <w:highlight w:val="yellow"/>
        </w:rPr>
        <w:t>[EXPAND]</w:t>
      </w:r>
    </w:p>
    <w:p w14:paraId="7CBA6E8F" w14:textId="40737F83"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EA50E7">
        <w:rPr>
          <w:rFonts w:ascii="Times New Roman" w:hAnsi="Times New Roman" w:cs="Times New Roman"/>
          <w:color w:val="000000" w:themeColor="text1"/>
          <w:sz w:val="24"/>
          <w:szCs w:val="24"/>
        </w:rPr>
        <w:t xml:space="preserve">while the present study replicated </w:t>
      </w:r>
      <w:r w:rsidR="00E9030E">
        <w:rPr>
          <w:rFonts w:ascii="Times New Roman" w:hAnsi="Times New Roman" w:cs="Times New Roman"/>
          <w:color w:val="000000" w:themeColor="text1"/>
          <w:sz w:val="24"/>
          <w:szCs w:val="24"/>
        </w:rPr>
        <w:t xml:space="preserve">previous </w:t>
      </w:r>
      <w:r w:rsidR="00CE3E5E">
        <w:rPr>
          <w:rFonts w:ascii="Times New Roman" w:hAnsi="Times New Roman" w:cs="Times New Roman"/>
          <w:color w:val="000000" w:themeColor="text1"/>
          <w:sz w:val="24"/>
          <w:szCs w:val="24"/>
        </w:rPr>
        <w:t xml:space="preserve">positive reactivity </w:t>
      </w:r>
      <w:r w:rsidR="00E9030E">
        <w:rPr>
          <w:rFonts w:ascii="Times New Roman" w:hAnsi="Times New Roman" w:cs="Times New Roman"/>
          <w:color w:val="000000" w:themeColor="text1"/>
          <w:sz w:val="24"/>
          <w:szCs w:val="24"/>
        </w:rPr>
        <w:t>findings</w:t>
      </w:r>
      <w:r w:rsidR="00CE3E5E">
        <w:rPr>
          <w:rFonts w:ascii="Times New Roman" w:hAnsi="Times New Roman" w:cs="Times New Roman"/>
          <w:color w:val="000000" w:themeColor="text1"/>
          <w:sz w:val="24"/>
          <w:szCs w:val="24"/>
        </w:rPr>
        <w:t xml:space="preserve">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reflect </w:t>
      </w:r>
      <w:r w:rsidR="004B1A59">
        <w:rPr>
          <w:rFonts w:ascii="Times New Roman" w:hAnsi="Times New Roman" w:cs="Times New Roman"/>
          <w:color w:val="000000" w:themeColor="text1"/>
          <w:sz w:val="24"/>
          <w:szCs w:val="24"/>
        </w:rPr>
        <w:t>longer encoding durations.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13768B3"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w:t>
      </w:r>
      <w:r w:rsidR="001915AE" w:rsidRPr="001915AE">
        <w:rPr>
          <w:rFonts w:ascii="Times New Roman" w:hAnsi="Times New Roman" w:cs="Times New Roman"/>
          <w:sz w:val="24"/>
          <w:szCs w:val="24"/>
        </w:rPr>
        <w:lastRenderedPageBreak/>
        <w:t xml:space="preserve">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38"/>
      <w:bookmarkEnd w:id="1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4D775459"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4233113E"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C9475F" w:rsidRPr="00C9475F">
        <w:rPr>
          <w:rFonts w:ascii="Times New Roman" w:eastAsia="Arial" w:hAnsi="Times New Roman" w:cs="Times New Roman"/>
          <w:sz w:val="24"/>
          <w:szCs w:val="24"/>
          <w:highlight w:val="yellow"/>
        </w:rPr>
        <w:t>XX</w:t>
      </w:r>
      <w:commentRangeStart w:id="17"/>
      <w:r>
        <w:rPr>
          <w:rFonts w:ascii="Times New Roman" w:eastAsia="Arial" w:hAnsi="Times New Roman" w:cs="Times New Roman"/>
          <w:sz w:val="24"/>
          <w:szCs w:val="24"/>
        </w:rPr>
        <w:t>.</w:t>
      </w:r>
      <w:commentRangeEnd w:id="17"/>
      <w:r>
        <w:rPr>
          <w:rStyle w:val="CommentReference"/>
        </w:rPr>
        <w:commentReference w:id="17"/>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8"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8"/>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9"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9"/>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0"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0"/>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1"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1"/>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2"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2"/>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3"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4"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4"/>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5"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5"/>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3"/>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12" w:author="Nicholas Maxwell" w:date="2022-04-20T10:53:00Z" w:initials="NM">
    <w:p w14:paraId="621BAC8D" w14:textId="381AF417" w:rsidR="007E1777" w:rsidRDefault="007E1777">
      <w:pPr>
        <w:pStyle w:val="CommentText"/>
      </w:pPr>
      <w:r>
        <w:rPr>
          <w:rStyle w:val="CommentReference"/>
        </w:rPr>
        <w:annotationRef/>
      </w:r>
      <w:r>
        <w:t xml:space="preserve">Need to talk the recent Rivers paper here. Also talk my </w:t>
      </w:r>
      <w:proofErr w:type="gramStart"/>
      <w:r>
        <w:t>in press</w:t>
      </w:r>
      <w:proofErr w:type="gramEnd"/>
      <w:r>
        <w:t xml:space="preserve"> paper</w:t>
      </w:r>
    </w:p>
  </w:comment>
  <w:comment w:id="17"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Ex w15:paraId="621BAC8D" w15:done="0"/>
  <w15:commentEx w15:paraId="1D25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Extensible w16cex:durableId="260A64AF" w16cex:dateUtc="2022-04-20T15:53: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Id w16cid:paraId="621BAC8D" w16cid:durableId="260A64AF"/>
  <w16cid:commentId w16cid:paraId="1D258E4E"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BA5E" w14:textId="77777777" w:rsidR="00AB24EE" w:rsidRDefault="00AB24EE" w:rsidP="00091B1E">
      <w:pPr>
        <w:spacing w:after="0" w:line="240" w:lineRule="auto"/>
      </w:pPr>
      <w:r>
        <w:separator/>
      </w:r>
    </w:p>
  </w:endnote>
  <w:endnote w:type="continuationSeparator" w:id="0">
    <w:p w14:paraId="21DAE551" w14:textId="77777777" w:rsidR="00AB24EE" w:rsidRDefault="00AB24EE"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FED3" w14:textId="77777777" w:rsidR="00AB24EE" w:rsidRDefault="00AB24EE" w:rsidP="00091B1E">
      <w:pPr>
        <w:spacing w:after="0" w:line="240" w:lineRule="auto"/>
      </w:pPr>
      <w:r>
        <w:separator/>
      </w:r>
    </w:p>
  </w:footnote>
  <w:footnote w:type="continuationSeparator" w:id="0">
    <w:p w14:paraId="599AA4F5" w14:textId="77777777" w:rsidR="00AB24EE" w:rsidRDefault="00AB24EE"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379B5"/>
    <w:rsid w:val="00044807"/>
    <w:rsid w:val="00045D62"/>
    <w:rsid w:val="00045FED"/>
    <w:rsid w:val="00047C2B"/>
    <w:rsid w:val="000526C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29EE"/>
    <w:rsid w:val="00125E41"/>
    <w:rsid w:val="00126B37"/>
    <w:rsid w:val="00127153"/>
    <w:rsid w:val="00145825"/>
    <w:rsid w:val="00166259"/>
    <w:rsid w:val="001675B6"/>
    <w:rsid w:val="001763CD"/>
    <w:rsid w:val="00176F96"/>
    <w:rsid w:val="0018149A"/>
    <w:rsid w:val="00182AAB"/>
    <w:rsid w:val="001850F9"/>
    <w:rsid w:val="00185774"/>
    <w:rsid w:val="001874B4"/>
    <w:rsid w:val="001915AE"/>
    <w:rsid w:val="00191DFA"/>
    <w:rsid w:val="001930D4"/>
    <w:rsid w:val="001C113C"/>
    <w:rsid w:val="001C1557"/>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2F50B6"/>
    <w:rsid w:val="00304F04"/>
    <w:rsid w:val="0030757B"/>
    <w:rsid w:val="00313990"/>
    <w:rsid w:val="00322DA0"/>
    <w:rsid w:val="00325508"/>
    <w:rsid w:val="003379AA"/>
    <w:rsid w:val="00340D1C"/>
    <w:rsid w:val="00342DCF"/>
    <w:rsid w:val="003450DE"/>
    <w:rsid w:val="00346788"/>
    <w:rsid w:val="003550A3"/>
    <w:rsid w:val="003618BC"/>
    <w:rsid w:val="0036350A"/>
    <w:rsid w:val="00365B14"/>
    <w:rsid w:val="0036614B"/>
    <w:rsid w:val="00370B79"/>
    <w:rsid w:val="00373248"/>
    <w:rsid w:val="003822AF"/>
    <w:rsid w:val="003A03DB"/>
    <w:rsid w:val="003A0647"/>
    <w:rsid w:val="003A280F"/>
    <w:rsid w:val="003A7846"/>
    <w:rsid w:val="003B0AF3"/>
    <w:rsid w:val="003B1B87"/>
    <w:rsid w:val="003C2F0E"/>
    <w:rsid w:val="003C30AA"/>
    <w:rsid w:val="003C41C7"/>
    <w:rsid w:val="003C6E8A"/>
    <w:rsid w:val="003C7C42"/>
    <w:rsid w:val="003D05FA"/>
    <w:rsid w:val="003D1EDC"/>
    <w:rsid w:val="003D29F2"/>
    <w:rsid w:val="003D5DF6"/>
    <w:rsid w:val="003E13A4"/>
    <w:rsid w:val="003E23A7"/>
    <w:rsid w:val="00403261"/>
    <w:rsid w:val="00404D3A"/>
    <w:rsid w:val="0041593F"/>
    <w:rsid w:val="004174F2"/>
    <w:rsid w:val="00420EEF"/>
    <w:rsid w:val="004254D2"/>
    <w:rsid w:val="0042665E"/>
    <w:rsid w:val="00427C8A"/>
    <w:rsid w:val="00427E85"/>
    <w:rsid w:val="00430740"/>
    <w:rsid w:val="004443BE"/>
    <w:rsid w:val="004552FB"/>
    <w:rsid w:val="00455A5D"/>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A59"/>
    <w:rsid w:val="004B1DAE"/>
    <w:rsid w:val="004B4A86"/>
    <w:rsid w:val="004C1631"/>
    <w:rsid w:val="004D14C2"/>
    <w:rsid w:val="004D3BDA"/>
    <w:rsid w:val="004E3A07"/>
    <w:rsid w:val="004F1E68"/>
    <w:rsid w:val="004F24BA"/>
    <w:rsid w:val="0051178A"/>
    <w:rsid w:val="00512AD7"/>
    <w:rsid w:val="00517E93"/>
    <w:rsid w:val="00520818"/>
    <w:rsid w:val="005228EF"/>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86D5C"/>
    <w:rsid w:val="0059000D"/>
    <w:rsid w:val="00596396"/>
    <w:rsid w:val="00597368"/>
    <w:rsid w:val="005B21EA"/>
    <w:rsid w:val="005C6E17"/>
    <w:rsid w:val="005D5D9E"/>
    <w:rsid w:val="005D7755"/>
    <w:rsid w:val="005E308E"/>
    <w:rsid w:val="005E34BF"/>
    <w:rsid w:val="005E419A"/>
    <w:rsid w:val="005E50AA"/>
    <w:rsid w:val="005F2078"/>
    <w:rsid w:val="005F45FE"/>
    <w:rsid w:val="006071DC"/>
    <w:rsid w:val="006133BE"/>
    <w:rsid w:val="006226D6"/>
    <w:rsid w:val="006236E6"/>
    <w:rsid w:val="0062441C"/>
    <w:rsid w:val="0063373E"/>
    <w:rsid w:val="006345D1"/>
    <w:rsid w:val="006400B9"/>
    <w:rsid w:val="006402C8"/>
    <w:rsid w:val="00641D45"/>
    <w:rsid w:val="00645AE5"/>
    <w:rsid w:val="00646BBC"/>
    <w:rsid w:val="006516F7"/>
    <w:rsid w:val="00655955"/>
    <w:rsid w:val="00663096"/>
    <w:rsid w:val="00673404"/>
    <w:rsid w:val="0067723B"/>
    <w:rsid w:val="006876D8"/>
    <w:rsid w:val="00693AED"/>
    <w:rsid w:val="006A27E8"/>
    <w:rsid w:val="006A3D85"/>
    <w:rsid w:val="006B0182"/>
    <w:rsid w:val="006B045D"/>
    <w:rsid w:val="006B0813"/>
    <w:rsid w:val="006B2830"/>
    <w:rsid w:val="006B7360"/>
    <w:rsid w:val="006C6ABA"/>
    <w:rsid w:val="006C6F1B"/>
    <w:rsid w:val="006D6CB0"/>
    <w:rsid w:val="006E0320"/>
    <w:rsid w:val="006E3619"/>
    <w:rsid w:val="006E6B7F"/>
    <w:rsid w:val="006F2C52"/>
    <w:rsid w:val="006F39AB"/>
    <w:rsid w:val="006F3CFA"/>
    <w:rsid w:val="006F5D8D"/>
    <w:rsid w:val="006F73B0"/>
    <w:rsid w:val="00705C51"/>
    <w:rsid w:val="0070618D"/>
    <w:rsid w:val="00707E70"/>
    <w:rsid w:val="00707F10"/>
    <w:rsid w:val="007107E0"/>
    <w:rsid w:val="00716563"/>
    <w:rsid w:val="007218DD"/>
    <w:rsid w:val="00721B34"/>
    <w:rsid w:val="007228B1"/>
    <w:rsid w:val="00722A2B"/>
    <w:rsid w:val="00722B61"/>
    <w:rsid w:val="00723AA4"/>
    <w:rsid w:val="00723BF0"/>
    <w:rsid w:val="007278D4"/>
    <w:rsid w:val="00736FA2"/>
    <w:rsid w:val="007373BB"/>
    <w:rsid w:val="00743ECB"/>
    <w:rsid w:val="0074683E"/>
    <w:rsid w:val="00747525"/>
    <w:rsid w:val="00753B84"/>
    <w:rsid w:val="00760F94"/>
    <w:rsid w:val="007652D2"/>
    <w:rsid w:val="00765DA2"/>
    <w:rsid w:val="0076799D"/>
    <w:rsid w:val="007708D1"/>
    <w:rsid w:val="0077157F"/>
    <w:rsid w:val="00772283"/>
    <w:rsid w:val="0077669E"/>
    <w:rsid w:val="00781D51"/>
    <w:rsid w:val="007844E3"/>
    <w:rsid w:val="007877A9"/>
    <w:rsid w:val="007979CA"/>
    <w:rsid w:val="007A471B"/>
    <w:rsid w:val="007B1D32"/>
    <w:rsid w:val="007B544A"/>
    <w:rsid w:val="007C11A8"/>
    <w:rsid w:val="007C4635"/>
    <w:rsid w:val="007C46CD"/>
    <w:rsid w:val="007C491E"/>
    <w:rsid w:val="007D0447"/>
    <w:rsid w:val="007D3021"/>
    <w:rsid w:val="007D72CD"/>
    <w:rsid w:val="007E15CA"/>
    <w:rsid w:val="007E1777"/>
    <w:rsid w:val="007E33D0"/>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A292A"/>
    <w:rsid w:val="008A680F"/>
    <w:rsid w:val="008B060C"/>
    <w:rsid w:val="008B465F"/>
    <w:rsid w:val="008B5A78"/>
    <w:rsid w:val="008C05AA"/>
    <w:rsid w:val="008C4546"/>
    <w:rsid w:val="008C62B0"/>
    <w:rsid w:val="008C796B"/>
    <w:rsid w:val="008C7B7F"/>
    <w:rsid w:val="008D1918"/>
    <w:rsid w:val="008E7DB7"/>
    <w:rsid w:val="008F08F2"/>
    <w:rsid w:val="008F25C5"/>
    <w:rsid w:val="008F6BDD"/>
    <w:rsid w:val="00901344"/>
    <w:rsid w:val="00904CB5"/>
    <w:rsid w:val="00907B46"/>
    <w:rsid w:val="00910816"/>
    <w:rsid w:val="0091789B"/>
    <w:rsid w:val="00922C80"/>
    <w:rsid w:val="00925654"/>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2755"/>
    <w:rsid w:val="00A5487A"/>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96B57"/>
    <w:rsid w:val="00AB218F"/>
    <w:rsid w:val="00AB24EE"/>
    <w:rsid w:val="00AB7FCC"/>
    <w:rsid w:val="00AC04C2"/>
    <w:rsid w:val="00AD58AC"/>
    <w:rsid w:val="00AD7C2B"/>
    <w:rsid w:val="00AE35D9"/>
    <w:rsid w:val="00AE4741"/>
    <w:rsid w:val="00AE5041"/>
    <w:rsid w:val="00AE62A3"/>
    <w:rsid w:val="00B04442"/>
    <w:rsid w:val="00B044FF"/>
    <w:rsid w:val="00B270BF"/>
    <w:rsid w:val="00B42651"/>
    <w:rsid w:val="00B50DAC"/>
    <w:rsid w:val="00B53FC9"/>
    <w:rsid w:val="00B57D5C"/>
    <w:rsid w:val="00B6218A"/>
    <w:rsid w:val="00B64A0A"/>
    <w:rsid w:val="00B656FE"/>
    <w:rsid w:val="00B732F1"/>
    <w:rsid w:val="00B73319"/>
    <w:rsid w:val="00B760DE"/>
    <w:rsid w:val="00B8548C"/>
    <w:rsid w:val="00B85EF7"/>
    <w:rsid w:val="00B8641F"/>
    <w:rsid w:val="00B91391"/>
    <w:rsid w:val="00BA50AF"/>
    <w:rsid w:val="00BA6769"/>
    <w:rsid w:val="00BA67F8"/>
    <w:rsid w:val="00BB5220"/>
    <w:rsid w:val="00BC1C32"/>
    <w:rsid w:val="00BC2E03"/>
    <w:rsid w:val="00BC6DEB"/>
    <w:rsid w:val="00BD0A73"/>
    <w:rsid w:val="00BD0D71"/>
    <w:rsid w:val="00BF3E94"/>
    <w:rsid w:val="00C04555"/>
    <w:rsid w:val="00C130F9"/>
    <w:rsid w:val="00C140BF"/>
    <w:rsid w:val="00C15D14"/>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49B6"/>
    <w:rsid w:val="00C70BFF"/>
    <w:rsid w:val="00C713FD"/>
    <w:rsid w:val="00C7229F"/>
    <w:rsid w:val="00C77432"/>
    <w:rsid w:val="00C77D72"/>
    <w:rsid w:val="00C8063E"/>
    <w:rsid w:val="00C8482D"/>
    <w:rsid w:val="00C873F8"/>
    <w:rsid w:val="00C929C2"/>
    <w:rsid w:val="00C9475F"/>
    <w:rsid w:val="00CA1480"/>
    <w:rsid w:val="00CA2DE0"/>
    <w:rsid w:val="00CA30E2"/>
    <w:rsid w:val="00CA3527"/>
    <w:rsid w:val="00CB0428"/>
    <w:rsid w:val="00CB7180"/>
    <w:rsid w:val="00CC42BF"/>
    <w:rsid w:val="00CC51F8"/>
    <w:rsid w:val="00CC5DED"/>
    <w:rsid w:val="00CC6987"/>
    <w:rsid w:val="00CD49F7"/>
    <w:rsid w:val="00CD4DD9"/>
    <w:rsid w:val="00CE1136"/>
    <w:rsid w:val="00CE2144"/>
    <w:rsid w:val="00CE2DA3"/>
    <w:rsid w:val="00CE3E5E"/>
    <w:rsid w:val="00CE777A"/>
    <w:rsid w:val="00CF2B97"/>
    <w:rsid w:val="00CF3320"/>
    <w:rsid w:val="00D02C1E"/>
    <w:rsid w:val="00D03402"/>
    <w:rsid w:val="00D06642"/>
    <w:rsid w:val="00D200A8"/>
    <w:rsid w:val="00D41D37"/>
    <w:rsid w:val="00D4662F"/>
    <w:rsid w:val="00D46B69"/>
    <w:rsid w:val="00D46FEA"/>
    <w:rsid w:val="00D50D16"/>
    <w:rsid w:val="00D52545"/>
    <w:rsid w:val="00D56C88"/>
    <w:rsid w:val="00D64DE1"/>
    <w:rsid w:val="00D65CFA"/>
    <w:rsid w:val="00D67F31"/>
    <w:rsid w:val="00D75AD4"/>
    <w:rsid w:val="00D83B45"/>
    <w:rsid w:val="00D83B98"/>
    <w:rsid w:val="00D87DC2"/>
    <w:rsid w:val="00D91292"/>
    <w:rsid w:val="00D937F8"/>
    <w:rsid w:val="00DA24B9"/>
    <w:rsid w:val="00DC18EE"/>
    <w:rsid w:val="00DD5A53"/>
    <w:rsid w:val="00DE20B8"/>
    <w:rsid w:val="00DE4A19"/>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75D8C"/>
    <w:rsid w:val="00E80FD6"/>
    <w:rsid w:val="00E85B34"/>
    <w:rsid w:val="00E87E75"/>
    <w:rsid w:val="00E9030E"/>
    <w:rsid w:val="00EA4F32"/>
    <w:rsid w:val="00EA50E7"/>
    <w:rsid w:val="00EB1B7C"/>
    <w:rsid w:val="00EC0B67"/>
    <w:rsid w:val="00EC0DD9"/>
    <w:rsid w:val="00EC2E6F"/>
    <w:rsid w:val="00EC371B"/>
    <w:rsid w:val="00EC4FB5"/>
    <w:rsid w:val="00ED47AC"/>
    <w:rsid w:val="00ED5C10"/>
    <w:rsid w:val="00EE5942"/>
    <w:rsid w:val="00EF235F"/>
    <w:rsid w:val="00EF369E"/>
    <w:rsid w:val="00EF4402"/>
    <w:rsid w:val="00EF4441"/>
    <w:rsid w:val="00EF4BA5"/>
    <w:rsid w:val="00EF5DD9"/>
    <w:rsid w:val="00EF7681"/>
    <w:rsid w:val="00F00B58"/>
    <w:rsid w:val="00F017E0"/>
    <w:rsid w:val="00F04F91"/>
    <w:rsid w:val="00F07F47"/>
    <w:rsid w:val="00F103F8"/>
    <w:rsid w:val="00F1581F"/>
    <w:rsid w:val="00F159E5"/>
    <w:rsid w:val="00F1728F"/>
    <w:rsid w:val="00F2497E"/>
    <w:rsid w:val="00F26737"/>
    <w:rsid w:val="00F26AA8"/>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F1C"/>
    <w:rsid w:val="00FB2400"/>
    <w:rsid w:val="00FB2606"/>
    <w:rsid w:val="00FC33B7"/>
    <w:rsid w:val="00FD03CF"/>
    <w:rsid w:val="00FD06FD"/>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21619</TotalTime>
  <Pages>46</Pages>
  <Words>9849</Words>
  <Characters>56143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538</cp:revision>
  <dcterms:created xsi:type="dcterms:W3CDTF">2021-04-28T14:10:00Z</dcterms:created>
  <dcterms:modified xsi:type="dcterms:W3CDTF">2022-04-20T20:09:00Z</dcterms:modified>
</cp:coreProperties>
</file>