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247836"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183701DB"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11C843A6"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Dunlosky &amp; </w:t>
      </w:r>
      <w:r w:rsidR="006C3893">
        <w:rPr>
          <w:rFonts w:ascii="Times New Roman" w:hAnsi="Times New Roman" w:cs="Times New Roman"/>
          <w:sz w:val="24"/>
          <w:szCs w:val="24"/>
        </w:rPr>
        <w:t>Nelson</w:t>
      </w:r>
      <w:r w:rsidR="0052556E">
        <w:rPr>
          <w:rFonts w:ascii="Times New Roman" w:hAnsi="Times New Roman" w:cs="Times New Roman"/>
          <w:sz w:val="24"/>
          <w:szCs w:val="24"/>
        </w:rPr>
        <w:t>, 1994; Nelson &amp; Dunlosky,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5C75BE">
        <w:rPr>
          <w:rFonts w:ascii="Times New Roman" w:hAnsi="Times New Roman" w:cs="Times New Roman"/>
          <w:sz w:val="24"/>
          <w:szCs w:val="24"/>
        </w:rPr>
        <w:t xml:space="preserve">of </w:t>
      </w:r>
      <w:r w:rsidR="006C3893">
        <w:rPr>
          <w:rFonts w:ascii="Times New Roman" w:hAnsi="Times New Roman" w:cs="Times New Roman"/>
          <w:sz w:val="24"/>
          <w:szCs w:val="24"/>
        </w:rPr>
        <w:t>reactivity</w:t>
      </w:r>
      <w:r w:rsidR="005C75BE">
        <w:rPr>
          <w:rFonts w:ascii="Times New Roman" w:hAnsi="Times New Roman" w:cs="Times New Roman"/>
          <w:sz w:val="24"/>
          <w:szCs w:val="24"/>
        </w:rPr>
        <w:t xml:space="preserve"> </w:t>
      </w:r>
      <w:r w:rsidR="00DE5032">
        <w:rPr>
          <w:rFonts w:ascii="Times New Roman" w:hAnsi="Times New Roman" w:cs="Times New Roman"/>
          <w:sz w:val="24"/>
          <w:szCs w:val="24"/>
        </w:rPr>
        <w:t>for</w:t>
      </w:r>
      <w:r w:rsidR="005C75BE">
        <w:rPr>
          <w:rFonts w:ascii="Times New Roman" w:hAnsi="Times New Roman" w:cs="Times New Roman"/>
          <w:sz w:val="24"/>
          <w:szCs w:val="24"/>
        </w:rPr>
        <w:t xml:space="preserve"> immediate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443E4598"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6247D346"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w:t>
      </w:r>
      <w:r w:rsidR="003B37DD">
        <w:rPr>
          <w:rFonts w:ascii="Times New Roman" w:hAnsi="Times New Roman" w:cs="Times New Roman"/>
          <w:sz w:val="24"/>
          <w:szCs w:val="24"/>
        </w:rPr>
        <w:t xml:space="preserve"> made at encoding</w:t>
      </w:r>
      <w:r w:rsidR="00365B14">
        <w:rPr>
          <w:rFonts w:ascii="Times New Roman" w:hAnsi="Times New Roman" w:cs="Times New Roman"/>
          <w:sz w:val="24"/>
          <w:szCs w:val="24"/>
        </w:rPr>
        <w:t xml:space="preserve"> produce positive reactivity on related pairs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93472B9"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D3EC6">
        <w:rPr>
          <w:rFonts w:ascii="Times New Roman" w:hAnsi="Times New Roman" w:cs="Times New Roman"/>
          <w:sz w:val="24"/>
          <w:szCs w:val="24"/>
        </w:rPr>
        <w:t>work has</w:t>
      </w:r>
      <w:r w:rsidR="005E34BF">
        <w:rPr>
          <w:rFonts w:ascii="Times New Roman" w:hAnsi="Times New Roman" w:cs="Times New Roman"/>
          <w:sz w:val="24"/>
          <w:szCs w:val="24"/>
        </w:rPr>
        <w:t xml:space="preserve"> </w:t>
      </w:r>
      <w:r w:rsidR="005D3EC6">
        <w:rPr>
          <w:rFonts w:ascii="Times New Roman" w:hAnsi="Times New Roman" w:cs="Times New Roman"/>
          <w:sz w:val="24"/>
          <w:szCs w:val="24"/>
        </w:rPr>
        <w:t>largely supported</w:t>
      </w:r>
      <w:r w:rsidR="005C4802">
        <w:rPr>
          <w:rFonts w:ascii="Times New Roman" w:hAnsi="Times New Roman" w:cs="Times New Roman"/>
          <w:sz w:val="24"/>
          <w:szCs w:val="24"/>
        </w:rPr>
        <w:t xml:space="preserve"> </w:t>
      </w:r>
      <w:r w:rsidR="003D670E">
        <w:rPr>
          <w:rFonts w:ascii="Times New Roman" w:hAnsi="Times New Roman" w:cs="Times New Roman"/>
          <w:sz w:val="24"/>
          <w:szCs w:val="24"/>
        </w:rPr>
        <w:t>the</w:t>
      </w:r>
      <w:r w:rsidR="005C4802">
        <w:rPr>
          <w:rFonts w:ascii="Times New Roman" w:hAnsi="Times New Roman" w:cs="Times New Roman"/>
          <w:sz w:val="24"/>
          <w:szCs w:val="24"/>
        </w:rPr>
        <w:t xml:space="preserve"> cue-strengthening account rather than the changed-goal hypothesis.</w:t>
      </w:r>
      <w:r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findings reported by Janes et al. (2018) and Soderstrom et al. (2015) </w:t>
      </w:r>
      <w:r w:rsidR="00CF4789" w:rsidRPr="00CF4789">
        <w:rPr>
          <w:rFonts w:ascii="Times New Roman" w:hAnsi="Times New Roman" w:cs="Times New Roman"/>
          <w:sz w:val="24"/>
          <w:szCs w:val="24"/>
        </w:rPr>
        <w:t xml:space="preserve">while also </w:t>
      </w:r>
      <w:r w:rsidR="00CF4789" w:rsidRPr="00CF4789">
        <w:rPr>
          <w:rFonts w:ascii="Times New Roman" w:hAnsi="Times New Roman" w:cs="Times New Roman"/>
          <w:sz w:val="24"/>
          <w:szCs w:val="24"/>
        </w:rPr>
        <w:lastRenderedPageBreak/>
        <w:t xml:space="preserve">extending </w:t>
      </w:r>
      <w:r w:rsidR="00CF4789">
        <w:rPr>
          <w:rFonts w:ascii="Times New Roman" w:hAnsi="Times New Roman" w:cs="Times New Roman"/>
          <w:sz w:val="24"/>
          <w:szCs w:val="24"/>
        </w:rPr>
        <w:t>these patterns</w:t>
      </w:r>
      <w:r w:rsidR="00CF4789" w:rsidRPr="00CF4789">
        <w:rPr>
          <w:rFonts w:ascii="Times New Roman" w:hAnsi="Times New Roman" w:cs="Times New Roman"/>
          <w:sz w:val="24"/>
          <w:szCs w:val="24"/>
        </w:rPr>
        <w:t xml:space="preserve"> to a within-subjects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w:t>
      </w:r>
      <w:r w:rsidR="00B6136B">
        <w:rPr>
          <w:rFonts w:ascii="Times New Roman" w:hAnsi="Times New Roman" w:cs="Times New Roman"/>
          <w:sz w:val="24"/>
          <w:szCs w:val="24"/>
        </w:rPr>
        <w:t xml:space="preserve">Maxwell and Huff (in press) showed that positive reactivity on related pairs was not limited to JOLs and extended to other judgment tasks that similarly emphasize relatedness cues </w:t>
      </w:r>
      <w:r w:rsidR="00B6136B">
        <w:rPr>
          <w:rFonts w:ascii="Times New Roman" w:hAnsi="Times New Roman" w:cs="Times New Roman"/>
          <w:sz w:val="24"/>
          <w:szCs w:val="24"/>
        </w:rPr>
        <w:t xml:space="preserve">used </w:t>
      </w:r>
      <w:r w:rsidR="00B6136B">
        <w:rPr>
          <w:rFonts w:ascii="Times New Roman" w:hAnsi="Times New Roman" w:cs="Times New Roman"/>
          <w:sz w:val="24"/>
          <w:szCs w:val="24"/>
        </w:rPr>
        <w:t>at encoding,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Thus, it is evident that</w:t>
      </w:r>
      <w:r w:rsidR="00862AD0">
        <w:rPr>
          <w:rFonts w:ascii="Times New Roman" w:hAnsi="Times New Roman" w:cs="Times New Roman"/>
          <w:sz w:val="24"/>
          <w:szCs w:val="24"/>
        </w:rPr>
        <w:t xml:space="preserve"> 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CF4789">
        <w:rPr>
          <w:rFonts w:ascii="Times New Roman" w:hAnsi="Times New Roman" w:cs="Times New Roman"/>
          <w:sz w:val="24"/>
          <w:szCs w:val="24"/>
        </w:rPr>
        <w:t>resulting from</w:t>
      </w:r>
      <w:r w:rsidR="00862AD0">
        <w:rPr>
          <w:rFonts w:ascii="Times New Roman" w:hAnsi="Times New Roman" w:cs="Times New Roman"/>
          <w:sz w:val="24"/>
          <w:szCs w:val="24"/>
        </w:rPr>
        <w:t xml:space="preserve"> participant</w:t>
      </w:r>
      <w:r w:rsidR="00CF4789">
        <w:rPr>
          <w:rFonts w:ascii="Times New Roman" w:hAnsi="Times New Roman" w:cs="Times New Roman"/>
          <w:sz w:val="24"/>
          <w:szCs w:val="24"/>
        </w:rPr>
        <w:t>s</w:t>
      </w:r>
      <w:r w:rsidR="006F2E0A">
        <w:rPr>
          <w:rFonts w:ascii="Times New Roman" w:hAnsi="Times New Roman" w:cs="Times New Roman"/>
          <w:sz w:val="24"/>
          <w:szCs w:val="24"/>
        </w:rPr>
        <w:t xml:space="preserve"> changing</w:t>
      </w:r>
      <w:r w:rsidR="00862AD0">
        <w:rPr>
          <w:rFonts w:ascii="Times New Roman" w:hAnsi="Times New Roman" w:cs="Times New Roman"/>
          <w:sz w:val="24"/>
          <w:szCs w:val="24"/>
        </w:rPr>
        <w:t xml:space="preserve"> 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8D5D0F0"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094A37">
        <w:rPr>
          <w:rFonts w:ascii="Times New Roman" w:hAnsi="Times New Roman" w:cs="Times New Roman"/>
          <w:sz w:val="24"/>
          <w:szCs w:val="24"/>
        </w:rPr>
        <w:t>primarily used</w:t>
      </w:r>
      <w:r>
        <w:rPr>
          <w:rFonts w:ascii="Times New Roman" w:hAnsi="Times New Roman" w:cs="Times New Roman"/>
          <w:sz w:val="24"/>
          <w:szCs w:val="24"/>
        </w:rPr>
        <w:t xml:space="preserve">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w:t>
      </w:r>
      <w:r>
        <w:rPr>
          <w:rFonts w:ascii="Times New Roman" w:hAnsi="Times New Roman" w:cs="Times New Roman"/>
          <w:sz w:val="24"/>
          <w:szCs w:val="24"/>
        </w:rPr>
        <w:lastRenderedPageBreak/>
        <w:t xml:space="preserve">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 xml:space="preserve">participants </w:t>
      </w:r>
      <w:r w:rsidR="0018149A">
        <w:rPr>
          <w:rFonts w:ascii="Times New Roman" w:hAnsi="Times New Roman" w:cs="Times New Roman"/>
          <w:sz w:val="24"/>
          <w:szCs w:val="24"/>
        </w:rPr>
        <w:lastRenderedPageBreak/>
        <w:t>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a medium effect with </w:t>
      </w:r>
      <w:r>
        <w:rPr>
          <w:rFonts w:ascii="Times New Roman" w:hAnsi="Times New Roman" w:cs="Times New Roman"/>
          <w:sz w:val="24"/>
          <w:szCs w:val="24"/>
        </w:rPr>
        <w:lastRenderedPageBreak/>
        <w:t>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w:t>
      </w:r>
      <w:r w:rsidR="00A60633">
        <w:rPr>
          <w:rFonts w:ascii="Times New Roman" w:hAnsi="Times New Roman" w:cs="Times New Roman"/>
          <w:sz w:val="24"/>
          <w:szCs w:val="24"/>
        </w:rPr>
        <w:lastRenderedPageBreak/>
        <w:t>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r>
        <w:rPr>
          <w:rFonts w:ascii="Times New Roman" w:hAnsi="Times New Roman" w:cs="Times New Roman"/>
          <w:sz w:val="24"/>
          <w:szCs w:val="24"/>
        </w:rPr>
        <w:lastRenderedPageBreak/>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w:t>
      </w:r>
      <w:r>
        <w:rPr>
          <w:rFonts w:ascii="Times New Roman" w:hAnsi="Times New Roman" w:cs="Times New Roman"/>
          <w:sz w:val="24"/>
          <w:szCs w:val="24"/>
        </w:rPr>
        <w:lastRenderedPageBreak/>
        <w:t xml:space="preserve">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metamemorial or predictive process. </w:t>
      </w:r>
    </w:p>
    <w:p w14:paraId="4DC1B8A7" w14:textId="4C34A1F9"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w:t>
      </w:r>
      <w:r>
        <w:rPr>
          <w:rFonts w:ascii="Times New Roman" w:hAnsi="Times New Roman" w:cs="Times New Roman"/>
          <w:sz w:val="24"/>
          <w:szCs w:val="24"/>
        </w:rPr>
        <w:lastRenderedPageBreak/>
        <w:t xml:space="preserve">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w:t>
      </w:r>
      <w:r>
        <w:rPr>
          <w:rFonts w:ascii="Times New Roman" w:hAnsi="Times New Roman" w:cs="Times New Roman"/>
          <w:sz w:val="24"/>
          <w:szCs w:val="24"/>
        </w:rPr>
        <w:lastRenderedPageBreak/>
        <w:t xml:space="preserve">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w:t>
      </w:r>
      <w:r>
        <w:rPr>
          <w:rFonts w:ascii="Times New Roman" w:hAnsi="Times New Roman" w:cs="Times New Roman"/>
          <w:sz w:val="24"/>
          <w:szCs w:val="24"/>
        </w:rPr>
        <w:lastRenderedPageBreak/>
        <w:t xml:space="preserve">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lastRenderedPageBreak/>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w:t>
      </w:r>
      <w:r>
        <w:rPr>
          <w:rFonts w:ascii="Times New Roman" w:hAnsi="Times New Roman" w:cs="Times New Roman"/>
          <w:sz w:val="24"/>
          <w:szCs w:val="24"/>
        </w:rPr>
        <w:lastRenderedPageBreak/>
        <w:t xml:space="preserve">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w:t>
      </w:r>
      <w:r>
        <w:rPr>
          <w:rFonts w:ascii="Times New Roman" w:eastAsia="Calibri" w:hAnsi="Times New Roman" w:cs="Times New Roman"/>
          <w:bCs/>
          <w:sz w:val="24"/>
          <w:szCs w:val="24"/>
        </w:rPr>
        <w:lastRenderedPageBreak/>
        <w:t xml:space="preserve">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w:t>
      </w:r>
      <w:r w:rsidR="00BD0A73">
        <w:rPr>
          <w:rFonts w:ascii="Times New Roman" w:hAnsi="Times New Roman" w:cs="Times New Roman"/>
          <w:sz w:val="24"/>
          <w:szCs w:val="24"/>
        </w:rPr>
        <w:lastRenderedPageBreak/>
        <w:t>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w:t>
      </w:r>
      <w:r w:rsidR="00BD0A73" w:rsidRPr="00DA7450">
        <w:rPr>
          <w:rFonts w:ascii="Times New Roman" w:hAnsi="Times New Roman" w:cs="Times New Roman"/>
          <w:sz w:val="24"/>
          <w:szCs w:val="24"/>
        </w:rPr>
        <w:lastRenderedPageBreak/>
        <w:t xml:space="preserve">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 xml:space="preserve">-tests confirmed that all </w:t>
      </w:r>
      <w:r>
        <w:rPr>
          <w:rFonts w:ascii="Times New Roman" w:hAnsi="Times New Roman" w:cs="Times New Roman"/>
          <w:sz w:val="24"/>
          <w:szCs w:val="24"/>
        </w:rPr>
        <w:lastRenderedPageBreak/>
        <w:t>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w:t>
      </w:r>
      <w:r>
        <w:rPr>
          <w:rFonts w:ascii="Times New Roman" w:hAnsi="Times New Roman" w:cs="Times New Roman"/>
          <w:sz w:val="24"/>
          <w:szCs w:val="24"/>
        </w:rPr>
        <w:lastRenderedPageBreak/>
        <w:t>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3850864"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D52545">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 xml:space="preserve">frequency judgments, providing additional evidence that reactivity effects are driven by the encoding task strengthening relatedness cues rather than a comparative process as posited by the changed-goal hypothesis. Next, Experiments 2 and 3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whether </w:t>
      </w:r>
      <w:r w:rsidR="00A44C2A">
        <w:rPr>
          <w:rFonts w:ascii="Times New Roman" w:hAnsi="Times New Roman" w:cs="Times New Roman"/>
          <w:sz w:val="24"/>
          <w:szCs w:val="24"/>
        </w:rPr>
        <w:t>pairs are presented using mixed or pure list contexts.</w:t>
      </w:r>
    </w:p>
    <w:p w14:paraId="16F6763A" w14:textId="2A43C83F"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w:t>
      </w:r>
      <w:r w:rsidRPr="0043228A">
        <w:rPr>
          <w:rFonts w:ascii="Times New Roman" w:hAnsi="Times New Roman" w:cs="Times New Roman"/>
          <w:sz w:val="24"/>
          <w:szCs w:val="24"/>
        </w:rPr>
        <w:lastRenderedPageBreak/>
        <w:t>(2015)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6A3A5CD3" w:rsidR="007228B1" w:rsidRDefault="00330007"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w:t>
      </w:r>
      <w:r w:rsidR="00CA1423">
        <w:rPr>
          <w:rFonts w:ascii="Times New Roman" w:hAnsi="Times New Roman" w:cs="Times New Roman"/>
          <w:sz w:val="24"/>
          <w:szCs w:val="24"/>
        </w:rPr>
        <w:lastRenderedPageBreak/>
        <w:t xml:space="preserve">related pairs receive a memory benefit. 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appears inconsistent with a strategy</w:t>
      </w:r>
      <w:r w:rsidR="003A6CD2">
        <w:rPr>
          <w:rFonts w:ascii="Times New Roman" w:hAnsi="Times New Roman" w:cs="Times New Roman"/>
          <w:sz w:val="24"/>
          <w:szCs w:val="24"/>
        </w:rPr>
        <w:t xml:space="preserve"> use account</w:t>
      </w:r>
      <w:r w:rsidR="00EF08C8">
        <w:rPr>
          <w:rFonts w:ascii="Times New Roman" w:hAnsi="Times New Roman" w:cs="Times New Roman"/>
          <w:sz w:val="24"/>
          <w:szCs w:val="24"/>
        </w:rPr>
        <w:t xml:space="preserve">, though we note that </w:t>
      </w:r>
      <w:r w:rsidR="000140E9">
        <w:rPr>
          <w:rFonts w:ascii="Times New Roman" w:hAnsi="Times New Roman" w:cs="Times New Roman"/>
          <w:sz w:val="24"/>
          <w:szCs w:val="24"/>
        </w:rPr>
        <w:t xml:space="preserve">these encoding manipulations may only operate strategically </w:t>
      </w:r>
      <w:r w:rsidR="00EF08C8">
        <w:rPr>
          <w:rFonts w:ascii="Times New Roman" w:hAnsi="Times New Roman" w:cs="Times New Roman"/>
          <w:sz w:val="24"/>
          <w:szCs w:val="24"/>
        </w:rPr>
        <w:t>when used in a</w:t>
      </w:r>
      <w:r w:rsidR="000140E9">
        <w:rPr>
          <w:rFonts w:ascii="Times New Roman" w:hAnsi="Times New Roman" w:cs="Times New Roman"/>
          <w:sz w:val="24"/>
          <w:szCs w:val="24"/>
        </w:rPr>
        <w:t xml:space="preserve"> mixed</w:t>
      </w:r>
      <w:r w:rsidR="00EF08C8">
        <w:rPr>
          <w:rFonts w:ascii="Times New Roman" w:hAnsi="Times New Roman" w:cs="Times New Roman"/>
          <w:sz w:val="24"/>
          <w:szCs w:val="24"/>
        </w:rPr>
        <w:t>-</w:t>
      </w:r>
      <w:r w:rsidR="000140E9">
        <w:rPr>
          <w:rFonts w:ascii="Times New Roman" w:hAnsi="Times New Roman" w:cs="Times New Roman"/>
          <w:sz w:val="24"/>
          <w:szCs w:val="24"/>
        </w:rPr>
        <w:t xml:space="preserve">list setting. </w:t>
      </w:r>
      <w:r w:rsidR="009B265B">
        <w:rPr>
          <w:rFonts w:ascii="Times New Roman" w:hAnsi="Times New Roman" w:cs="Times New Roman"/>
          <w:sz w:val="24"/>
          <w:szCs w:val="24"/>
        </w:rPr>
        <w:t xml:space="preserve">Finally, we note that </w:t>
      </w:r>
      <w:r w:rsidR="00DE49E2">
        <w:rPr>
          <w:rFonts w:ascii="Times New Roman" w:hAnsi="Times New Roman" w:cs="Times New Roman"/>
          <w:sz w:val="24"/>
          <w:szCs w:val="24"/>
        </w:rPr>
        <w:t xml:space="preserve">Rivers et al. (2021) </w:t>
      </w:r>
      <w:r w:rsidR="009B265B">
        <w:rPr>
          <w:rFonts w:ascii="Times New Roman" w:hAnsi="Times New Roman" w:cs="Times New Roman"/>
          <w:sz w:val="24"/>
          <w:szCs w:val="24"/>
        </w:rPr>
        <w:t>assessed participant strategy use by having participants report their encoding strategies for each pair following retrieval</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 xml:space="preserve">Reported strategies did not differ between related and unrelated pairs, though it is important to note that because strategy use was assessed at retrieval, this measure did not capture online strategy use at encoding. </w:t>
      </w:r>
      <w:r w:rsidR="00C873F8">
        <w:rPr>
          <w:rFonts w:ascii="Times New Roman" w:hAnsi="Times New Roman" w:cs="Times New Roman"/>
          <w:sz w:val="24"/>
          <w:szCs w:val="24"/>
        </w:rPr>
        <w:t xml:space="preserve">Thus, </w:t>
      </w:r>
      <w:r w:rsidR="000140E9">
        <w:rPr>
          <w:rFonts w:ascii="Times New Roman" w:hAnsi="Times New Roman" w:cs="Times New Roman"/>
          <w:sz w:val="24"/>
          <w:szCs w:val="24"/>
        </w:rPr>
        <w:t>more work is needed to fully understand the role the extent to which JOL reactivity is driven by participant strategy use.</w:t>
      </w:r>
    </w:p>
    <w:p w14:paraId="7CBA6E8F" w14:textId="19F2209F"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6068F6">
        <w:rPr>
          <w:rFonts w:ascii="Times New Roman" w:hAnsi="Times New Roman" w:cs="Times New Roman"/>
          <w:color w:val="000000" w:themeColor="text1"/>
          <w:sz w:val="24"/>
          <w:szCs w:val="24"/>
        </w:rPr>
        <w:t>though</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reflect </w:t>
      </w:r>
      <w:r w:rsidR="004B1A59">
        <w:rPr>
          <w:rFonts w:ascii="Times New Roman" w:hAnsi="Times New Roman" w:cs="Times New Roman"/>
          <w:color w:val="000000" w:themeColor="text1"/>
          <w:sz w:val="24"/>
          <w:szCs w:val="24"/>
        </w:rPr>
        <w:t>longer encoding durations.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DF00759"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have become increasingly interested in the reactive effects of immediate JOLs. The present study </w:t>
      </w:r>
      <w:r w:rsidR="00034CAB">
        <w:rPr>
          <w:rFonts w:ascii="Times New Roman" w:hAnsi="Times New Roman" w:cs="Times New Roman"/>
          <w:sz w:val="24"/>
          <w:szCs w:val="24"/>
        </w:rPr>
        <w:t xml:space="preserve">tested the changed-goal and cue-strengthening accounts of reactive by comparing reactivity effects between mixed-lists (e.g., related and unrelated pairs) and pure-lists (e.g., only unrelated pairs). Across three experiments, we show that JOLs produce positive </w:t>
      </w:r>
      <w:r w:rsidR="00034CAB">
        <w:rPr>
          <w:rFonts w:ascii="Times New Roman" w:hAnsi="Times New Roman" w:cs="Times New Roman"/>
          <w:sz w:val="24"/>
          <w:szCs w:val="24"/>
        </w:rPr>
        <w:lastRenderedPageBreak/>
        <w:t>reactivity on related pairs but no reactivity 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317B71BE"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Pr="00C9475F">
        <w:rPr>
          <w:rFonts w:ascii="Times New Roman" w:eastAsia="Arial" w:hAnsi="Times New Roman" w:cs="Times New Roman"/>
          <w:sz w:val="24"/>
          <w:szCs w:val="24"/>
          <w:highlight w:val="yellow"/>
        </w:rPr>
        <w:t>XX</w:t>
      </w:r>
      <w:commentRangeStart w:id="16"/>
      <w:r>
        <w:rPr>
          <w:rFonts w:ascii="Times New Roman" w:eastAsia="Arial" w:hAnsi="Times New Roman" w:cs="Times New Roman"/>
          <w:sz w:val="24"/>
          <w:szCs w:val="24"/>
        </w:rPr>
        <w:t>.</w:t>
      </w:r>
      <w:commentRangeEnd w:id="16"/>
      <w:r>
        <w:rPr>
          <w:rStyle w:val="CommentReference"/>
        </w:rPr>
        <w:commentReference w:id="16"/>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Meeter, M., &amp; Nelson, T. O. (2003). Multiple study trials and judgments of learning. </w:t>
      </w:r>
      <w:r>
        <w:rPr>
          <w:rFonts w:ascii="Times New Roman" w:eastAsia="Arial" w:hAnsi="Times New Roman" w:cs="Times New Roman"/>
          <w:i/>
          <w:iCs/>
          <w:sz w:val="24"/>
          <w:szCs w:val="24"/>
        </w:rPr>
        <w:t>Acta Psychologica,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Rivers, M. L., Janes, J. L., &amp; Dunlosky,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6" w:author="Nicholas Maxwell" w:date="2022-04-18T10:52:00Z" w:initials="NM">
    <w:p w14:paraId="0AE5EB2A" w14:textId="77777777" w:rsidR="003540FD" w:rsidRDefault="003540FD" w:rsidP="003540FD">
      <w:pPr>
        <w:pStyle w:val="CommentText"/>
      </w:pPr>
      <w:r>
        <w:rPr>
          <w:rStyle w:val="CommentReference"/>
        </w:rPr>
        <w:annotationRef/>
      </w:r>
      <w:r>
        <w:t>Will fill this in once I get the proofs back and know the page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0AE5E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0AE5EB2A"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8D32" w14:textId="77777777" w:rsidR="00247836" w:rsidRDefault="00247836" w:rsidP="00091B1E">
      <w:pPr>
        <w:spacing w:after="0" w:line="240" w:lineRule="auto"/>
      </w:pPr>
      <w:r>
        <w:separator/>
      </w:r>
    </w:p>
  </w:endnote>
  <w:endnote w:type="continuationSeparator" w:id="0">
    <w:p w14:paraId="786E9195" w14:textId="77777777" w:rsidR="00247836" w:rsidRDefault="0024783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4921" w14:textId="77777777" w:rsidR="00247836" w:rsidRDefault="00247836" w:rsidP="00091B1E">
      <w:pPr>
        <w:spacing w:after="0" w:line="240" w:lineRule="auto"/>
      </w:pPr>
      <w:r>
        <w:separator/>
      </w:r>
    </w:p>
  </w:footnote>
  <w:footnote w:type="continuationSeparator" w:id="0">
    <w:p w14:paraId="25D6E0A1" w14:textId="77777777" w:rsidR="00247836" w:rsidRDefault="00247836"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9B5"/>
    <w:rsid w:val="00044807"/>
    <w:rsid w:val="00045D62"/>
    <w:rsid w:val="00045FED"/>
    <w:rsid w:val="00047C2B"/>
    <w:rsid w:val="000526CB"/>
    <w:rsid w:val="00056480"/>
    <w:rsid w:val="00063AE7"/>
    <w:rsid w:val="00064201"/>
    <w:rsid w:val="0007068B"/>
    <w:rsid w:val="000722B5"/>
    <w:rsid w:val="00072DEC"/>
    <w:rsid w:val="00074921"/>
    <w:rsid w:val="00075635"/>
    <w:rsid w:val="000777E2"/>
    <w:rsid w:val="00080D94"/>
    <w:rsid w:val="00091B1E"/>
    <w:rsid w:val="00094A37"/>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37D0B"/>
    <w:rsid w:val="00145825"/>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822AF"/>
    <w:rsid w:val="003A03DB"/>
    <w:rsid w:val="003A0647"/>
    <w:rsid w:val="003A280F"/>
    <w:rsid w:val="003A6CD2"/>
    <w:rsid w:val="003A7846"/>
    <w:rsid w:val="003B0AF3"/>
    <w:rsid w:val="003B1B87"/>
    <w:rsid w:val="003B37DD"/>
    <w:rsid w:val="003C2F0E"/>
    <w:rsid w:val="003C30AA"/>
    <w:rsid w:val="003C41C7"/>
    <w:rsid w:val="003C6E8A"/>
    <w:rsid w:val="003C7C42"/>
    <w:rsid w:val="003D05FA"/>
    <w:rsid w:val="003D1EDC"/>
    <w:rsid w:val="003D29F2"/>
    <w:rsid w:val="003D5DF6"/>
    <w:rsid w:val="003D670E"/>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443BE"/>
    <w:rsid w:val="004513D9"/>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C1631"/>
    <w:rsid w:val="004C2AB7"/>
    <w:rsid w:val="004D14C2"/>
    <w:rsid w:val="004D3BDA"/>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A0B64"/>
    <w:rsid w:val="005B21EA"/>
    <w:rsid w:val="005C4802"/>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5955"/>
    <w:rsid w:val="00663096"/>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6ABA"/>
    <w:rsid w:val="006C6F1B"/>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6563"/>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77A9"/>
    <w:rsid w:val="007979CA"/>
    <w:rsid w:val="007A471B"/>
    <w:rsid w:val="007B1D32"/>
    <w:rsid w:val="007B218E"/>
    <w:rsid w:val="007B46C2"/>
    <w:rsid w:val="007B544A"/>
    <w:rsid w:val="007C11A8"/>
    <w:rsid w:val="007C4635"/>
    <w:rsid w:val="007C46CD"/>
    <w:rsid w:val="007C491E"/>
    <w:rsid w:val="007D0447"/>
    <w:rsid w:val="007D3021"/>
    <w:rsid w:val="007D72CD"/>
    <w:rsid w:val="007E15CA"/>
    <w:rsid w:val="007E1777"/>
    <w:rsid w:val="007E33D0"/>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6A71"/>
    <w:rsid w:val="008E7DB7"/>
    <w:rsid w:val="008F08F2"/>
    <w:rsid w:val="008F25C5"/>
    <w:rsid w:val="008F3419"/>
    <w:rsid w:val="008F6BDD"/>
    <w:rsid w:val="00901344"/>
    <w:rsid w:val="00904CB5"/>
    <w:rsid w:val="00907B46"/>
    <w:rsid w:val="00910816"/>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D0A73"/>
    <w:rsid w:val="00BD0D71"/>
    <w:rsid w:val="00BF3E94"/>
    <w:rsid w:val="00BF79FE"/>
    <w:rsid w:val="00C04555"/>
    <w:rsid w:val="00C130F9"/>
    <w:rsid w:val="00C140BF"/>
    <w:rsid w:val="00C15D14"/>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3066"/>
    <w:rsid w:val="00D4662F"/>
    <w:rsid w:val="00D46B69"/>
    <w:rsid w:val="00D46FEA"/>
    <w:rsid w:val="00D50D16"/>
    <w:rsid w:val="00D52545"/>
    <w:rsid w:val="00D56C88"/>
    <w:rsid w:val="00D64DE1"/>
    <w:rsid w:val="00D65CFA"/>
    <w:rsid w:val="00D67F31"/>
    <w:rsid w:val="00D75AD4"/>
    <w:rsid w:val="00D83B45"/>
    <w:rsid w:val="00D83B98"/>
    <w:rsid w:val="00D87DC2"/>
    <w:rsid w:val="00D91292"/>
    <w:rsid w:val="00D937F8"/>
    <w:rsid w:val="00DA24B9"/>
    <w:rsid w:val="00DB0263"/>
    <w:rsid w:val="00DC18EE"/>
    <w:rsid w:val="00DD5A53"/>
    <w:rsid w:val="00DE20B8"/>
    <w:rsid w:val="00DE49E2"/>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4FE9"/>
    <w:rsid w:val="00E75D8C"/>
    <w:rsid w:val="00E80FD6"/>
    <w:rsid w:val="00E85B34"/>
    <w:rsid w:val="00E87E75"/>
    <w:rsid w:val="00E9030E"/>
    <w:rsid w:val="00EA4F32"/>
    <w:rsid w:val="00EA50E7"/>
    <w:rsid w:val="00EB1B7C"/>
    <w:rsid w:val="00EC0B67"/>
    <w:rsid w:val="00EC0DD9"/>
    <w:rsid w:val="00EC2E6F"/>
    <w:rsid w:val="00EC371B"/>
    <w:rsid w:val="00EC4FB5"/>
    <w:rsid w:val="00ED47AC"/>
    <w:rsid w:val="00ED5C10"/>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581F"/>
    <w:rsid w:val="00F159E5"/>
    <w:rsid w:val="00F16D37"/>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21965</TotalTime>
  <Pages>48</Pages>
  <Words>10412</Words>
  <Characters>59352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602</cp:revision>
  <dcterms:created xsi:type="dcterms:W3CDTF">2021-04-28T14:10:00Z</dcterms:created>
  <dcterms:modified xsi:type="dcterms:W3CDTF">2022-04-21T20:34:00Z</dcterms:modified>
</cp:coreProperties>
</file>