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w:t>
      </w:r>
      <w:r>
        <w:rPr>
          <w:rFonts w:ascii="Times New Roman" w:hAnsi="Times New Roman" w:cs="Times New Roman"/>
          <w:sz w:val="24"/>
          <w:szCs w:val="24"/>
        </w:rPr>
        <w:t xml:space="preserve">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Wittenbrink</w:t>
      </w:r>
      <w:proofErr w:type="spellEnd"/>
      <w:r>
        <w:rPr>
          <w:rFonts w:ascii="Times New Roman" w:hAnsi="Times New Roman" w:cs="Times New Roman"/>
          <w:sz w:val="24"/>
          <w:szCs w:val="24"/>
        </w:rPr>
        <w:t xml:space="preserve">, 2015). Norming of stimuli demonstrated substantial differences in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between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faces Database naturally varying in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with 10 possessing the highest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in the set and 10 </w:t>
      </w:r>
      <w:r>
        <w:rPr>
          <w:rFonts w:ascii="Times New Roman" w:hAnsi="Times New Roman" w:cs="Times New Roman"/>
          <w:sz w:val="24"/>
          <w:szCs w:val="24"/>
        </w:rPr>
        <w:lastRenderedPageBreak/>
        <w:t>possessing the lowest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xml:space="preserve">,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230EDF95" w14:textId="77777777" w:rsidR="004B2220" w:rsidRPr="00BF73E0" w:rsidRDefault="004B2220" w:rsidP="004B2220">
      <w:pPr>
        <w:widowControl w:val="0"/>
        <w:spacing w:after="0" w:line="480" w:lineRule="auto"/>
        <w:rPr>
          <w:rFonts w:ascii="Times New Roman" w:hAnsi="Times New Roman" w:cs="Times New Roman"/>
          <w:b/>
          <w:bCs/>
          <w:sz w:val="24"/>
          <w:szCs w:val="24"/>
        </w:rPr>
      </w:pPr>
      <w:commentRangeStart w:id="1"/>
      <w:r w:rsidRPr="00BF73E0">
        <w:rPr>
          <w:rFonts w:ascii="Times New Roman" w:hAnsi="Times New Roman" w:cs="Times New Roman"/>
          <w:b/>
          <w:bCs/>
          <w:sz w:val="24"/>
          <w:szCs w:val="24"/>
        </w:rPr>
        <w:t>Results</w:t>
      </w:r>
      <w:commentRangeEnd w:id="1"/>
      <w:r>
        <w:rPr>
          <w:rStyle w:val="CommentReference"/>
        </w:rPr>
        <w:commentReference w:id="1"/>
      </w:r>
    </w:p>
    <w:p w14:paraId="04D6DCAE" w14:textId="267ACD8F" w:rsidR="00626777" w:rsidRDefault="004B2220" w:rsidP="004B2220">
      <w:pPr>
        <w:spacing w:after="0" w:line="480" w:lineRule="auto"/>
        <w:rPr>
          <w:rFonts w:ascii="Times New Roman" w:hAnsi="Times New Roman" w:cs="Times New Roman"/>
          <w:sz w:val="24"/>
          <w:szCs w:val="24"/>
        </w:rPr>
      </w:pPr>
      <w:r w:rsidRPr="004B2220">
        <w:rPr>
          <w:rFonts w:ascii="Times New Roman" w:hAnsi="Times New Roman" w:cs="Times New Roman"/>
          <w:sz w:val="24"/>
          <w:szCs w:val="24"/>
          <w:highlight w:val="yellow"/>
        </w:rPr>
        <w:t>[words here]</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 public university in Southeastern U.S. for course credit in a single wave of data collection (153 women, 41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4B2220">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4677FC96" w14:textId="55C0C274" w:rsidR="004B2220" w:rsidRDefault="004B2220" w:rsidP="004B2220">
      <w:pPr>
        <w:widowControl w:val="0"/>
        <w:spacing w:after="0" w:line="480" w:lineRule="auto"/>
        <w:rPr>
          <w:rFonts w:ascii="Times New Roman" w:hAnsi="Times New Roman" w:cs="Times New Roman"/>
          <w:sz w:val="24"/>
          <w:szCs w:val="24"/>
        </w:rPr>
      </w:pPr>
      <w:r w:rsidRPr="004B2220">
        <w:rPr>
          <w:rFonts w:ascii="Times New Roman" w:hAnsi="Times New Roman" w:cs="Times New Roman"/>
          <w:sz w:val="24"/>
          <w:szCs w:val="24"/>
          <w:highlight w:val="yellow"/>
        </w:rPr>
        <w:t>[words here]</w:t>
      </w:r>
    </w:p>
    <w:p w14:paraId="5763E4BA" w14:textId="77777777"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Northeastern U.S. for course credit in a single wave of data collection. We excluded one participant from final analyses for reporting being neither male nor female, given our interest in identifying potential </w:t>
      </w:r>
      <w:r>
        <w:rPr>
          <w:rFonts w:ascii="Times New Roman" w:hAnsi="Times New Roman" w:cs="Times New Roman"/>
          <w:sz w:val="24"/>
          <w:szCs w:val="24"/>
        </w:rPr>
        <w:lastRenderedPageBreak/>
        <w:t xml:space="preserve">sex differences (155 women, 51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Parental Care and Nurturance Scale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 scale developed to assess individual differences in parenting motives along dimensions of protection and nurturance (Hofer, </w:t>
      </w:r>
      <w:proofErr w:type="spellStart"/>
      <w:r>
        <w:rPr>
          <w:rFonts w:ascii="Times New Roman" w:hAnsi="Times New Roman" w:cs="Times New Roman"/>
          <w:sz w:val="24"/>
          <w:szCs w:val="24"/>
        </w:rPr>
        <w:t>Buckels</w:t>
      </w:r>
      <w:proofErr w:type="spellEnd"/>
      <w:r>
        <w:rPr>
          <w:rFonts w:ascii="Times New Roman" w:hAnsi="Times New Roman" w:cs="Times New Roman"/>
          <w:sz w:val="24"/>
          <w:szCs w:val="24"/>
        </w:rPr>
        <w:t>,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23781645" w:rsidR="00024471" w:rsidRDefault="00024471" w:rsidP="00040AF1">
      <w:pPr>
        <w:widowControl w:val="0"/>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Perceived Dominance.</w:t>
      </w:r>
      <w:r>
        <w:rPr>
          <w:rFonts w:ascii="Times New Roman" w:hAnsi="Times New Roman" w:cs="Times New Roman"/>
          <w:b/>
          <w:bCs/>
          <w:sz w:val="24"/>
          <w:szCs w:val="24"/>
        </w:rPr>
        <w:t xml:space="preserve"> </w:t>
      </w:r>
      <w:r w:rsidRPr="00024471">
        <w:rPr>
          <w:rFonts w:ascii="Times New Roman" w:hAnsi="Times New Roman" w:cs="Times New Roman"/>
          <w:sz w:val="24"/>
          <w:szCs w:val="24"/>
          <w:highlight w:val="yellow"/>
        </w:rPr>
        <w:t>[words here]</w:t>
      </w:r>
    </w:p>
    <w:p w14:paraId="50FB15F4" w14:textId="75D7FA25" w:rsidR="00024471"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024471">
        <w:rPr>
          <w:rFonts w:ascii="Times New Roman" w:hAnsi="Times New Roman" w:cs="Times New Roman"/>
          <w:sz w:val="24"/>
          <w:szCs w:val="24"/>
          <w:highlight w:val="yellow"/>
        </w:rPr>
        <w:t>[words here]</w:t>
      </w:r>
    </w:p>
    <w:p w14:paraId="79A44FA1" w14:textId="5218FF64"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Pr="00040AF1">
        <w:rPr>
          <w:rFonts w:ascii="Times New Roman" w:hAnsi="Times New Roman" w:cs="Times New Roman"/>
          <w:sz w:val="24"/>
          <w:szCs w:val="24"/>
          <w:highlight w:val="yellow"/>
        </w:rPr>
        <w:t>[words here]</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lastRenderedPageBreak/>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proofErr w:type="spellStart"/>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targets in their perceived parenting ability in protection and nurturance domains. However, participants evaluated either White (</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 xml:space="preserve">=74)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like their White counterparts in the previous studies, with previous work demonstrating formidability in Black targets to have similar signal values to White targets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Lloyd,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0E50D5AA" w:rsidR="00040AF1" w:rsidRDefault="00040AF1" w:rsidP="00040AF1">
      <w:pPr>
        <w:widowControl w:val="0"/>
        <w:spacing w:after="0" w:line="480" w:lineRule="auto"/>
        <w:rPr>
          <w:rFonts w:ascii="Times New Roman" w:hAnsi="Times New Roman" w:cs="Times New Roman"/>
          <w:sz w:val="24"/>
          <w:szCs w:val="24"/>
        </w:rPr>
      </w:pPr>
      <w:r w:rsidRPr="00040AF1">
        <w:rPr>
          <w:rFonts w:ascii="Times New Roman" w:hAnsi="Times New Roman" w:cs="Times New Roman"/>
          <w:sz w:val="24"/>
          <w:szCs w:val="24"/>
          <w:highlight w:val="yellow"/>
        </w:rPr>
        <w:t>[words here]</w:t>
      </w:r>
    </w:p>
    <w:p w14:paraId="4E218611" w14:textId="72F3948D"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White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0596D552" w14:textId="4AE1101E" w:rsidR="00152F79" w:rsidRDefault="00152F79"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Black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lastRenderedPageBreak/>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w:t>
      </w:r>
      <w:proofErr w:type="gramStart"/>
      <w:r>
        <w:rPr>
          <w:rFonts w:ascii="Times New Roman" w:hAnsi="Times New Roman" w:cs="Times New Roman"/>
          <w:sz w:val="24"/>
          <w:szCs w:val="24"/>
        </w:rPr>
        <w:t>2.73;</w:t>
      </w:r>
      <w:proofErr w:type="gramEnd"/>
      <w:r>
        <w:rPr>
          <w:rFonts w:ascii="Times New Roman" w:hAnsi="Times New Roman" w:cs="Times New Roman"/>
          <w:sz w:val="24"/>
          <w:szCs w:val="24"/>
        </w:rPr>
        <w:t xml:space="preserve">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male and female faces for a total of 20 trials of five targets in each category. This mirrors procedures from previous work assessing target sex effects of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(i.e.,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et al., 2018a). Like the male faces employed throughout previous studies, the female faces similarly represented the highest and lowest </w:t>
      </w:r>
      <w:proofErr w:type="spellStart"/>
      <w:r>
        <w:rPr>
          <w:rFonts w:ascii="Times New Roman" w:hAnsi="Times New Roman" w:cs="Times New Roman"/>
          <w:sz w:val="24"/>
          <w:szCs w:val="24"/>
        </w:rPr>
        <w:t>fWHRs</w:t>
      </w:r>
      <w:proofErr w:type="spellEnd"/>
      <w:r>
        <w:rPr>
          <w:rFonts w:ascii="Times New Roman" w:hAnsi="Times New Roman" w:cs="Times New Roman"/>
          <w:sz w:val="24"/>
          <w:szCs w:val="24"/>
        </w:rPr>
        <w:t xml:space="preserve">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r w:rsidRPr="00152F79">
        <w:rPr>
          <w:rFonts w:ascii="Times New Roman" w:hAnsi="Times New Roman" w:cs="Times New Roman"/>
          <w:b/>
          <w:bCs/>
          <w:sz w:val="24"/>
          <w:szCs w:val="24"/>
        </w:rPr>
        <w:t>Results</w:t>
      </w:r>
    </w:p>
    <w:p w14:paraId="7B5DFE26" w14:textId="64CF76DB" w:rsidR="00152F79" w:rsidRDefault="00152F79" w:rsidP="00040AF1">
      <w:pPr>
        <w:widowControl w:val="0"/>
        <w:spacing w:after="0" w:line="480" w:lineRule="auto"/>
        <w:rPr>
          <w:rFonts w:ascii="Times New Roman" w:hAnsi="Times New Roman" w:cs="Times New Roman"/>
          <w:sz w:val="24"/>
          <w:szCs w:val="24"/>
        </w:rPr>
      </w:pPr>
      <w:r w:rsidRPr="00152F79">
        <w:rPr>
          <w:rFonts w:ascii="Times New Roman" w:hAnsi="Times New Roman" w:cs="Times New Roman"/>
          <w:sz w:val="24"/>
          <w:szCs w:val="24"/>
          <w:highlight w:val="yellow"/>
        </w:rPr>
        <w:t>[words here]</w:t>
      </w:r>
    </w:p>
    <w:p w14:paraId="468138B7" w14:textId="77777777" w:rsidR="00537DB2" w:rsidRPr="00A62EA6" w:rsidRDefault="00537DB2" w:rsidP="00537DB2">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to indicate their dispositional motivation to provide care for offspring (Hofer et al., 2018). This scale consists of the protection (4 items, α=0.78;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=0.84) White male targets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77777777" w:rsidR="00024471" w:rsidRPr="004B2220" w:rsidRDefault="00024471" w:rsidP="00024471">
      <w:pPr>
        <w:widowControl w:val="0"/>
        <w:spacing w:after="0" w:line="480" w:lineRule="auto"/>
        <w:rPr>
          <w:rFonts w:ascii="Times New Roman" w:hAnsi="Times New Roman" w:cs="Times New Roman"/>
          <w:sz w:val="24"/>
          <w:szCs w:val="24"/>
        </w:rPr>
      </w:pPr>
    </w:p>
    <w:p w14:paraId="502CB28D" w14:textId="77777777" w:rsidR="004B2220" w:rsidRPr="004B2220" w:rsidRDefault="004B2220" w:rsidP="004B2220">
      <w:pPr>
        <w:spacing w:after="0" w:line="480" w:lineRule="auto"/>
        <w:rPr>
          <w:rFonts w:ascii="Times New Roman" w:hAnsi="Times New Roman" w:cs="Times New Roman"/>
          <w:sz w:val="24"/>
          <w:szCs w:val="24"/>
        </w:rPr>
      </w:pPr>
    </w:p>
    <w:sectPr w:rsidR="004B2220"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 xml:space="preserve">This is copied straight from what you sent me. Study intros and methods are all copied over with minor edits. I’ll be rewriting all of the result </w:t>
      </w:r>
      <w:proofErr w:type="gramStart"/>
      <w:r>
        <w:t>sections</w:t>
      </w:r>
      <w:proofErr w:type="gramEnd"/>
      <w:r>
        <w:t xml:space="preserve">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k Maxwell" w:date="2022-03-20T15:52:00Z" w:initials="NM">
    <w:p w14:paraId="5EE28A0C" w14:textId="52B9F800" w:rsidR="004B2220" w:rsidRDefault="004B2220">
      <w:pPr>
        <w:pStyle w:val="CommentText"/>
      </w:pPr>
      <w:r>
        <w:rPr>
          <w:rStyle w:val="CommentReference"/>
        </w:rPr>
        <w:annotationRef/>
      </w:r>
      <w:r>
        <w:t>New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5EE28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1CC37" w16cex:dateUtc="2022-03-20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5EE28A0C" w16cid:durableId="25E1CC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24471"/>
    <w:rsid w:val="00040AF1"/>
    <w:rsid w:val="00152F79"/>
    <w:rsid w:val="004B2220"/>
    <w:rsid w:val="00537DB2"/>
    <w:rsid w:val="00626777"/>
    <w:rsid w:val="00982982"/>
    <w:rsid w:val="00F9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cp:revision>
  <dcterms:created xsi:type="dcterms:W3CDTF">2022-03-20T18:51:00Z</dcterms:created>
  <dcterms:modified xsi:type="dcterms:W3CDTF">2022-03-20T21:12:00Z</dcterms:modified>
</cp:coreProperties>
</file>