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1A308AC8" w14:textId="36197648" w:rsidR="00A52751" w:rsidRDefault="001047EF" w:rsidP="001047EF">
      <w:pPr>
        <w:spacing w:line="480" w:lineRule="auto"/>
        <w:jc w:val="center"/>
      </w:pPr>
      <w:r w:rsidRPr="00F2265B">
        <w:t xml:space="preserve">Perceptually </w:t>
      </w:r>
      <w:r w:rsidR="0089105C">
        <w:t>Fluent</w:t>
      </w:r>
      <w:r w:rsidR="0089105C" w:rsidRPr="00F2265B">
        <w:t xml:space="preserve"> </w:t>
      </w:r>
      <w:r w:rsidRPr="00F2265B">
        <w:t xml:space="preserve">Features of Study Words Do Not Inflate Judgments of Learning: </w:t>
      </w:r>
    </w:p>
    <w:p w14:paraId="5BBFCF0E" w14:textId="33A348E7" w:rsidR="001047EF" w:rsidRDefault="001047EF" w:rsidP="001047EF">
      <w:pPr>
        <w:spacing w:line="480" w:lineRule="auto"/>
        <w:jc w:val="center"/>
      </w:pPr>
      <w:r w:rsidRPr="00F2265B">
        <w:t>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7F5E319C" w:rsidR="001047EF" w:rsidRDefault="00DB2BB0" w:rsidP="00DB2BB0">
      <w:pPr>
        <w:spacing w:line="480" w:lineRule="auto"/>
      </w:pPr>
      <w:r>
        <w:t xml:space="preserve">Word count: </w:t>
      </w:r>
      <w:r w:rsidR="00C61D4A">
        <w:t>85</w:t>
      </w:r>
      <w:r w:rsidR="00A52751">
        <w:t>37</w:t>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71E8C5C4" w:rsidR="0089105C" w:rsidRDefault="008A0F40" w:rsidP="00D60570">
      <w:pPr>
        <w:pStyle w:val="NormalWeb"/>
        <w:spacing w:before="0" w:beforeAutospacing="0" w:after="0" w:afterAutospacing="0" w:line="480" w:lineRule="auto"/>
      </w:pPr>
      <w:r>
        <w:t>J</w:t>
      </w:r>
      <w:r w:rsidR="00EA3BA5">
        <w:t>udgment</w:t>
      </w:r>
      <w:r>
        <w:t>s</w:t>
      </w:r>
      <w:r w:rsidR="00EA3BA5">
        <w:t xml:space="preserve"> of learning</w:t>
      </w:r>
      <w:r w:rsidR="00DB2BB0">
        <w:t xml:space="preserve"> (JOL)</w:t>
      </w:r>
      <w:r w:rsidR="00EA3BA5">
        <w:t xml:space="preserve"> </w:t>
      </w:r>
      <w:r>
        <w:t>are</w:t>
      </w:r>
      <w:r w:rsidR="00EA3BA5">
        <w:t xml:space="preserve"> often used to assess </w:t>
      </w:r>
      <w:r w:rsidR="0089105C">
        <w:t xml:space="preserve">memory </w:t>
      </w:r>
      <w:r w:rsidR="00EA3BA5">
        <w:t xml:space="preserve">monitoring at encoding. </w:t>
      </w:r>
      <w:r>
        <w:t>P</w:t>
      </w:r>
      <w:r w:rsidR="00EA3BA5">
        <w:t xml:space="preserve">articipants study a cue-target word pair (e.g., mouse-cheese) and are asked to rate the probability of </w:t>
      </w:r>
      <w:r w:rsidR="009460B7">
        <w:t xml:space="preserve">correctly </w:t>
      </w:r>
      <w:r w:rsidR="00EA3BA5">
        <w:t xml:space="preserve">recalling the target </w:t>
      </w:r>
      <w:r w:rsidR="0089105C">
        <w:t>in the presence of the cue at test (e.g., mouse - ?)</w:t>
      </w:r>
      <w:r w:rsidR="00EA3BA5">
        <w:t xml:space="preserve">. Prior research has shown that JOL accuracy is sensitive to perceptual cues. These cues can produce </w:t>
      </w:r>
      <w:r w:rsidR="0089105C">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rsidR="0089105C">
        <w:t>,</w:t>
      </w:r>
      <w:r w:rsidR="00EA3BA5">
        <w:t xml:space="preserve"> which occurs when </w:t>
      </w:r>
      <w:r w:rsidR="00030982">
        <w:t>participants</w:t>
      </w:r>
      <w:r w:rsidR="00EA3BA5">
        <w:t xml:space="preserve"> inflate JOLs for pairs presented in large </w:t>
      </w:r>
      <w:r w:rsidR="0089105C">
        <w:t>versus</w:t>
      </w:r>
      <w:r w:rsidR="00EA3BA5">
        <w:t xml:space="preserve"> small font</w:t>
      </w:r>
      <w:r w:rsidR="0089105C">
        <w:t>s</w:t>
      </w:r>
      <w:r w:rsidR="00EA3BA5">
        <w:t xml:space="preserve">. The present study </w:t>
      </w:r>
      <w:r w:rsidR="0089105C">
        <w:t>further tests</w:t>
      </w:r>
      <w:r w:rsidR="00EA3BA5">
        <w:t xml:space="preserve"> the font-size effect and </w:t>
      </w:r>
      <w:r w:rsidR="0089105C">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rsidR="0089105C">
        <w:t xml:space="preserve">highlighted pairs that were related or unrelated in the same study list. </w:t>
      </w:r>
      <w:r w:rsidR="00EA3BA5">
        <w:t>Experiment 2</w:t>
      </w:r>
      <w:r w:rsidR="008D022E">
        <w:t xml:space="preserve">A and 2B </w:t>
      </w:r>
      <w:r w:rsidR="00187CE2">
        <w:t xml:space="preserve">then </w:t>
      </w:r>
      <w:r w:rsidR="0089105C">
        <w:t>examined</w:t>
      </w:r>
      <w:r w:rsidR="00EA3BA5">
        <w:t xml:space="preserve"> font size and highlighting effects on JOLs using only unrelated pairs. Finally, Experiment 3 tested whether Sans Forgetica—a perceptually </w:t>
      </w:r>
      <w:r w:rsidR="0089105C">
        <w:t xml:space="preserve">disfluent </w:t>
      </w:r>
      <w:r w:rsidR="00EA3BA5">
        <w:t>font designed to improve memory—would result in inflated JOLs</w:t>
      </w:r>
      <w:r w:rsidR="00DB2BB0">
        <w:t xml:space="preserve"> and/or recall</w:t>
      </w:r>
      <w:r w:rsidR="00EA3BA5">
        <w:t xml:space="preserve">. Across experiments, </w:t>
      </w:r>
      <w:r w:rsidR="0089105C">
        <w:t>pairs designed to be perceptually fluent</w:t>
      </w:r>
      <w:r w:rsidR="00EA3BA5">
        <w:t xml:space="preserve"> did not result in an overestimation of later recall relative to non-</w:t>
      </w:r>
      <w:r w:rsidR="00C626DB">
        <w:t xml:space="preserve">fluent </w:t>
      </w:r>
      <w:r w:rsidR="00DB2BB0">
        <w:t>pairs</w:t>
      </w:r>
      <w:r w:rsidR="00EA3BA5">
        <w:t xml:space="preserve">, and Sans Forgetica font in Experiment 3 yielded a memory cost (though no effect on JOLs). Collectively, perceptually </w:t>
      </w:r>
      <w:proofErr w:type="gramStart"/>
      <w:r w:rsidR="0089105C">
        <w:t>fluent</w:t>
      </w:r>
      <w:proofErr w:type="gramEnd"/>
      <w:r w:rsidR="0089105C">
        <w:t xml:space="preserve"> </w:t>
      </w:r>
      <w:r w:rsidR="00B70E13">
        <w:t xml:space="preserve">and disfluent </w:t>
      </w:r>
      <w:r w:rsidR="00EA3BA5">
        <w:t xml:space="preserve">study </w:t>
      </w:r>
      <w:r w:rsidR="0089105C">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883AF76" w:rsidR="00D60570" w:rsidRDefault="00D60570" w:rsidP="00D60570">
      <w:pPr>
        <w:pStyle w:val="NormalWeb"/>
        <w:spacing w:before="0" w:beforeAutospacing="0" w:after="0" w:afterAutospacing="0" w:line="480" w:lineRule="auto"/>
      </w:pPr>
      <w:r>
        <w:t xml:space="preserve">Word Count: </w:t>
      </w:r>
      <w:r w:rsidR="00DB2BB0">
        <w:t>2</w:t>
      </w:r>
      <w:r w:rsidR="008A0F40">
        <w:t>3</w:t>
      </w:r>
      <w:r w:rsidR="00EF0A4F">
        <w:t>4</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35E52AAF" w14:textId="09DB7B41" w:rsidR="00A52751"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 xml:space="preserve">Features of Study Words Do Not Inflate Judgments of Learning: </w:t>
      </w:r>
    </w:p>
    <w:p w14:paraId="2F5BAA8E" w14:textId="0D274094" w:rsidR="00F2265B" w:rsidRPr="00F2265B" w:rsidRDefault="00F2265B" w:rsidP="00B73BC6">
      <w:pPr>
        <w:spacing w:line="480" w:lineRule="auto"/>
        <w:jc w:val="center"/>
      </w:pPr>
      <w:r w:rsidRPr="00F2265B">
        <w:t>Evidence from Font Size, Highlights, and Sans Forgetica Font Type</w:t>
      </w:r>
    </w:p>
    <w:p w14:paraId="32C1E0A3" w14:textId="22AA3E64"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use several types of judgments to assess metacognitive processes</w:t>
      </w:r>
      <w:r w:rsidR="00A629DF" w:rsidRPr="00AA5ECB">
        <w:t xml:space="preserve">, </w:t>
      </w:r>
      <w:r w:rsidRPr="00C941A7">
        <w:rPr>
          <w:color w:val="3494BA" w:themeColor="accent1"/>
        </w:rPr>
        <w:t>judgment</w:t>
      </w:r>
      <w:r w:rsidR="00C941A7" w:rsidRPr="00C941A7">
        <w:rPr>
          <w:color w:val="3494BA" w:themeColor="accent1"/>
        </w:rPr>
        <w:t>s</w:t>
      </w:r>
      <w:r w:rsidRPr="00C941A7">
        <w:rPr>
          <w:color w:val="3494BA" w:themeColor="accent1"/>
        </w:rPr>
        <w:t xml:space="preserve"> of learning</w:t>
      </w:r>
      <w:r w:rsidR="00B70E13" w:rsidRPr="00C941A7">
        <w:rPr>
          <w:color w:val="3494BA" w:themeColor="accent1"/>
        </w:rPr>
        <w:t xml:space="preserve"> (JOL)</w:t>
      </w:r>
      <w:r w:rsidRPr="00C941A7">
        <w:rPr>
          <w:color w:val="3494BA" w:themeColor="accent1"/>
        </w:rPr>
        <w:t xml:space="preserve"> </w:t>
      </w:r>
      <w:r w:rsidR="00C941A7" w:rsidRPr="00C941A7">
        <w:rPr>
          <w:color w:val="3494BA" w:themeColor="accent1"/>
        </w:rPr>
        <w:t>are a</w:t>
      </w:r>
      <w:r w:rsidR="00A629DF" w:rsidRPr="00C941A7">
        <w:rPr>
          <w:color w:val="3494BA" w:themeColor="accent1"/>
        </w:rPr>
        <w:t xml:space="preserve"> commonly </w:t>
      </w:r>
      <w:r w:rsidR="00B26CAC" w:rsidRPr="00C941A7">
        <w:rPr>
          <w:color w:val="3494BA" w:themeColor="accent1"/>
        </w:rPr>
        <w:t>used</w:t>
      </w:r>
      <w:r w:rsidR="00C941A7" w:rsidRPr="00C941A7">
        <w:rPr>
          <w:color w:val="3494BA" w:themeColor="accent1"/>
        </w:rPr>
        <w:t xml:space="preserve"> measure</w:t>
      </w:r>
      <w:r w:rsidR="00A629DF" w:rsidRPr="00C941A7">
        <w:rPr>
          <w:color w:val="3494BA" w:themeColor="accent1"/>
        </w:rPr>
        <w:t xml:space="preserve">. </w:t>
      </w:r>
      <w:r w:rsidR="000C1C13">
        <w:rPr>
          <w:color w:val="3494BA" w:themeColor="accent1"/>
        </w:rPr>
        <w:t>W</w:t>
      </w:r>
      <w:commentRangeStart w:id="0"/>
      <w:r w:rsidR="00006CD4" w:rsidRPr="00006CD4">
        <w:rPr>
          <w:color w:val="3494BA" w:themeColor="accent1"/>
        </w:rPr>
        <w:t>hen making</w:t>
      </w:r>
      <w:r w:rsidR="00A629DF" w:rsidRPr="00006CD4">
        <w:rPr>
          <w:color w:val="3494BA" w:themeColor="accent1"/>
        </w:rPr>
        <w:t xml:space="preserve"> JOL</w:t>
      </w:r>
      <w:r w:rsidR="00006CD4" w:rsidRPr="00006CD4">
        <w:rPr>
          <w:color w:val="3494BA" w:themeColor="accent1"/>
        </w:rPr>
        <w:t>s</w:t>
      </w:r>
      <w:commentRangeEnd w:id="0"/>
      <w:r w:rsidR="00006CD4">
        <w:rPr>
          <w:rStyle w:val="CommentReference"/>
        </w:rPr>
        <w:commentReference w:id="0"/>
      </w:r>
      <w:r w:rsidR="00A629DF" w:rsidRPr="000C1C13">
        <w:rPr>
          <w:color w:val="3494BA" w:themeColor="accent1"/>
        </w:rPr>
        <w:t xml:space="preserve">, </w:t>
      </w:r>
      <w:r w:rsidR="00B94739" w:rsidRPr="000C1C13">
        <w:rPr>
          <w:color w:val="3494BA" w:themeColor="accent1"/>
        </w:rPr>
        <w:t xml:space="preserve">participants </w:t>
      </w:r>
      <w:r w:rsidR="000C1C13" w:rsidRPr="000C1C13">
        <w:rPr>
          <w:color w:val="3494BA" w:themeColor="accent1"/>
        </w:rPr>
        <w:t xml:space="preserve">typically </w:t>
      </w:r>
      <w:r w:rsidR="0089105C" w:rsidRPr="000C1C13">
        <w:rPr>
          <w:color w:val="3494BA" w:themeColor="accent1"/>
        </w:rPr>
        <w:t>study sets of</w:t>
      </w:r>
      <w:r w:rsidR="00B94739" w:rsidRPr="000C1C13">
        <w:rPr>
          <w:color w:val="3494BA" w:themeColor="accent1"/>
        </w:rPr>
        <w:t xml:space="preserve"> cue-target</w:t>
      </w:r>
      <w:r w:rsidR="00187CE2" w:rsidRPr="000C1C13">
        <w:rPr>
          <w:color w:val="3494BA" w:themeColor="accent1"/>
        </w:rPr>
        <w:t xml:space="preserve"> word</w:t>
      </w:r>
      <w:r w:rsidR="0027285C" w:rsidRPr="000C1C13">
        <w:rPr>
          <w:color w:val="3494BA" w:themeColor="accent1"/>
        </w:rPr>
        <w:t xml:space="preserve"> pair</w:t>
      </w:r>
      <w:r w:rsidR="0089105C" w:rsidRPr="000C1C13">
        <w:rPr>
          <w:color w:val="3494BA" w:themeColor="accent1"/>
        </w:rPr>
        <w:t>s</w:t>
      </w:r>
      <w:r w:rsidRPr="000C1C13">
        <w:rPr>
          <w:color w:val="3494BA" w:themeColor="accent1"/>
        </w:rPr>
        <w:t xml:space="preserve"> </w:t>
      </w:r>
      <w:r w:rsidR="00B94739" w:rsidRPr="000C1C13">
        <w:rPr>
          <w:color w:val="3494BA" w:themeColor="accent1"/>
        </w:rPr>
        <w:t xml:space="preserve">(e.g., mouse-cheese) </w:t>
      </w:r>
      <w:r w:rsidR="0027285C" w:rsidRPr="000C1C13">
        <w:rPr>
          <w:color w:val="3494BA" w:themeColor="accent1"/>
        </w:rPr>
        <w:t xml:space="preserve">and </w:t>
      </w:r>
      <w:r w:rsidRPr="000C1C13">
        <w:rPr>
          <w:color w:val="3494BA" w:themeColor="accent1"/>
        </w:rPr>
        <w:t xml:space="preserve">are asked to estimate the likelihood of correctly retrieving </w:t>
      </w:r>
      <w:r w:rsidR="00B94739" w:rsidRPr="000C1C13">
        <w:rPr>
          <w:color w:val="3494BA" w:themeColor="accent1"/>
        </w:rPr>
        <w:t xml:space="preserve">the </w:t>
      </w:r>
      <w:r w:rsidRPr="000C1C13">
        <w:rPr>
          <w:color w:val="3494BA" w:themeColor="accent1"/>
        </w:rPr>
        <w:t xml:space="preserve">target word </w:t>
      </w:r>
      <w:r w:rsidR="0089105C" w:rsidRPr="000C1C13">
        <w:rPr>
          <w:color w:val="3494BA" w:themeColor="accent1"/>
        </w:rPr>
        <w:t>in the presence of a</w:t>
      </w:r>
      <w:r w:rsidRPr="000C1C13">
        <w:rPr>
          <w:color w:val="3494BA" w:themeColor="accent1"/>
        </w:rPr>
        <w:t xml:space="preserve"> cue </w:t>
      </w:r>
      <w:r w:rsidR="00B94739" w:rsidRPr="000C1C13">
        <w:rPr>
          <w:color w:val="3494BA" w:themeColor="accent1"/>
        </w:rPr>
        <w:t>(e.g., mouse</w:t>
      </w:r>
      <w:r w:rsidR="0089105C" w:rsidRPr="000C1C13">
        <w:rPr>
          <w:color w:val="3494BA" w:themeColor="accent1"/>
        </w:rPr>
        <w:t xml:space="preserve"> - ?</w:t>
      </w:r>
      <w:r w:rsidR="00B94739" w:rsidRPr="000C1C13">
        <w:rPr>
          <w:color w:val="3494BA" w:themeColor="accent1"/>
        </w:rPr>
        <w:t>)</w:t>
      </w:r>
      <w:r w:rsidR="0027285C" w:rsidRPr="000C1C13">
        <w:rPr>
          <w:color w:val="3494BA" w:themeColor="accent1"/>
        </w:rPr>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2C466A5E"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w:t>
      </w:r>
      <w:r w:rsidR="00DB2BB0">
        <w:t>,</w:t>
      </w:r>
      <w:r w:rsidR="0029360E" w:rsidRPr="00AA5ECB">
        <w:t xml:space="preserve">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BD23E8">
        <w:t>2021</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 xml:space="preserve">Bjork, Maxwell and Huff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r w:rsidR="00DB2BB0">
        <w:t>particularly</w:t>
      </w:r>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23801FA8"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r w:rsidR="00DB2BB0">
        <w:t>s</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r w:rsidR="00DB2BB0">
        <w:t>versus</w:t>
      </w:r>
      <w:r w:rsidR="00CE47FB" w:rsidRPr="00AA5ECB">
        <w:t xml:space="preserve">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w:t>
      </w:r>
    </w:p>
    <w:p w14:paraId="1CBDCABC" w14:textId="5328580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385BE8">
        <w:t>.</w:t>
      </w:r>
      <w:r w:rsidR="00B70E13">
        <w:t xml:space="preserve"> </w:t>
      </w:r>
      <w:r w:rsidR="00385BE8">
        <w:t>H</w:t>
      </w:r>
      <w:r w:rsidR="00B70E13">
        <w:t>owever, this increase in JOLs did not translate to recall</w:t>
      </w:r>
      <w:r w:rsidR="00C80A7C">
        <w:t>,</w:t>
      </w:r>
      <w:r w:rsidR="00B70E13">
        <w:t xml:space="preserve"> </w:t>
      </w:r>
      <w:r w:rsidR="00C80A7C">
        <w:t>as</w:t>
      </w:r>
      <w:r w:rsidR="00B70E13">
        <w:t xml:space="preserve"> both font types were </w:t>
      </w:r>
      <w:r w:rsidR="00385BE8">
        <w:t xml:space="preserve">recalled at </w:t>
      </w:r>
      <w:r w:rsidR="00B70E13">
        <w:t>equivalent</w:t>
      </w:r>
      <w:r w:rsidR="00385BE8">
        <w:t xml:space="preserve"> rates</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r w:rsidR="00DB2BB0" w:rsidRPr="00AA5ECB">
        <w:t>large</w:t>
      </w:r>
      <w:r w:rsidR="00DB2BB0">
        <w:t>-</w:t>
      </w:r>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p>
    <w:p w14:paraId="182F2EF9" w14:textId="6A1F1CC2"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 xml:space="preserve">guess the JOLs </w:t>
      </w:r>
      <w:r w:rsidR="002F569A">
        <w:lastRenderedPageBreak/>
        <w:t>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r w:rsidR="00DB2BB0">
        <w:t>-</w:t>
      </w:r>
      <w:r w:rsidR="00287912">
        <w:t xml:space="preserve"> than </w:t>
      </w:r>
      <w:r w:rsidR="00DB2BB0">
        <w:t>small-</w:t>
      </w:r>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469F242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 xml:space="preserve">The goal of </w:t>
      </w:r>
      <w:r w:rsidR="00DB2BB0">
        <w:t>the CID</w:t>
      </w:r>
      <w:r w:rsidR="00645C63">
        <w:t xml:space="preserve"> was</w:t>
      </w:r>
      <w:r w:rsidR="00C14223">
        <w:t xml:space="preserve"> </w:t>
      </w:r>
      <w:r w:rsidR="00645C63">
        <w:lastRenderedPageBreak/>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27D10583"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r w:rsidR="00DB2BB0">
        <w:t xml:space="preserve">may </w:t>
      </w:r>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p>
    <w:p w14:paraId="18CD2D30" w14:textId="40F1905F" w:rsidR="00BB5EEA" w:rsidRPr="000C0DEA" w:rsidRDefault="00BB5EEA" w:rsidP="00423BF0">
      <w:pPr>
        <w:pStyle w:val="NormalWeb"/>
        <w:spacing w:before="0" w:beforeAutospacing="0" w:after="0" w:afterAutospacing="0" w:line="480" w:lineRule="auto"/>
        <w:ind w:firstLine="720"/>
        <w:rPr>
          <w:color w:val="3494BA" w:themeColor="accent1"/>
        </w:rPr>
      </w:pPr>
      <w:commentRangeStart w:id="1"/>
      <w:r w:rsidRPr="00FD526F">
        <w:rPr>
          <w:color w:val="3494BA" w:themeColor="accent1"/>
        </w:rPr>
        <w:t xml:space="preserve">While the fluency </w:t>
      </w:r>
      <w:commentRangeEnd w:id="1"/>
      <w:r w:rsidR="00FD526F" w:rsidRPr="00FD526F">
        <w:rPr>
          <w:rStyle w:val="CommentReference"/>
          <w:color w:val="3494BA" w:themeColor="accent1"/>
        </w:rPr>
        <w:commentReference w:id="1"/>
      </w:r>
      <w:r w:rsidRPr="00FD526F">
        <w:rPr>
          <w:color w:val="3494BA" w:themeColor="accent1"/>
        </w:rPr>
        <w:t xml:space="preserve">and beliefs accounts are often framed as competing explanations of the font-size effect and </w:t>
      </w:r>
      <w:r w:rsidR="00FD526F" w:rsidRPr="00FD526F">
        <w:rPr>
          <w:color w:val="3494BA" w:themeColor="accent1"/>
        </w:rPr>
        <w:t xml:space="preserve">the effects of </w:t>
      </w:r>
      <w:r w:rsidRPr="00FD526F">
        <w:rPr>
          <w:color w:val="3494BA" w:themeColor="accent1"/>
        </w:rPr>
        <w:t>other perceptual manipulations on judgments and memory, we note that the</w:t>
      </w:r>
      <w:r w:rsidR="00FD526F" w:rsidRPr="00FD526F">
        <w:rPr>
          <w:color w:val="3494BA" w:themeColor="accent1"/>
        </w:rPr>
        <w:t>se</w:t>
      </w:r>
      <w:r w:rsidRPr="00FD526F">
        <w:rPr>
          <w:color w:val="3494BA" w:themeColor="accent1"/>
        </w:rPr>
        <w:t xml:space="preserve"> two accounts are not mutually exclusive. </w:t>
      </w:r>
      <w:proofErr w:type="spellStart"/>
      <w:r w:rsidR="00FD526F" w:rsidRPr="00FD526F">
        <w:rPr>
          <w:color w:val="3494BA" w:themeColor="accent1"/>
        </w:rPr>
        <w:t>Jemstedt</w:t>
      </w:r>
      <w:proofErr w:type="spellEnd"/>
      <w:r w:rsidR="00FD526F" w:rsidRPr="00FD526F">
        <w:rPr>
          <w:color w:val="3494BA" w:themeColor="accent1"/>
        </w:rPr>
        <w:t xml:space="preserve">, Schwartz, &amp; </w:t>
      </w:r>
      <w:proofErr w:type="spellStart"/>
      <w:r w:rsidR="00FD526F" w:rsidRPr="00FD526F">
        <w:rPr>
          <w:color w:val="3494BA" w:themeColor="accent1"/>
        </w:rPr>
        <w:t>Jönsson</w:t>
      </w:r>
      <w:proofErr w:type="spellEnd"/>
      <w:r w:rsidR="00FD526F" w:rsidRPr="00FD526F">
        <w:rPr>
          <w:color w:val="3494BA" w:themeColor="accent1"/>
        </w:rPr>
        <w:t xml:space="preserve"> (2018), for example, found that while perceptual fluency affected the magnitude of ease-of-learning judgments, the effect was largely moderated by beliefs. </w:t>
      </w:r>
      <w:r w:rsidR="003A3105">
        <w:rPr>
          <w:color w:val="3494BA" w:themeColor="accent1"/>
        </w:rPr>
        <w:t xml:space="preserve">Specifically, participants studied words presented using either a constant or alternating case (e.g., </w:t>
      </w:r>
      <w:r w:rsidR="00E06CD7">
        <w:rPr>
          <w:color w:val="3494BA" w:themeColor="accent1"/>
        </w:rPr>
        <w:t xml:space="preserve">BASKET vs. </w:t>
      </w:r>
      <w:proofErr w:type="spellStart"/>
      <w:r w:rsidR="00E06CD7">
        <w:rPr>
          <w:color w:val="3494BA" w:themeColor="accent1"/>
        </w:rPr>
        <w:t>bAsKeT</w:t>
      </w:r>
      <w:proofErr w:type="spellEnd"/>
      <w:r w:rsidR="003A3105">
        <w:rPr>
          <w:color w:val="3494BA" w:themeColor="accent1"/>
        </w:rPr>
        <w:t xml:space="preserve">). </w:t>
      </w:r>
      <w:r w:rsidR="000C0DEA">
        <w:rPr>
          <w:color w:val="3494BA" w:themeColor="accent1"/>
        </w:rPr>
        <w:t xml:space="preserve">While ease-of-learning judgments were higher when pairs were presented using the more fluent constant case, </w:t>
      </w:r>
      <w:r w:rsidR="003A3105">
        <w:rPr>
          <w:color w:val="3494BA" w:themeColor="accent1"/>
        </w:rPr>
        <w:t xml:space="preserve">judgments were greatest for participants who self-reported that pairs presented in the constant condition were easier to learn than the alternating condition compared to participants who </w:t>
      </w:r>
      <w:r w:rsidR="003A3105">
        <w:rPr>
          <w:color w:val="3494BA" w:themeColor="accent1"/>
        </w:rPr>
        <w:lastRenderedPageBreak/>
        <w:t>believed there was no difference.</w:t>
      </w:r>
      <w:r w:rsidR="00FD526F">
        <w:t xml:space="preserve"> </w:t>
      </w:r>
      <w:r w:rsidR="003A3105" w:rsidRPr="0095547B">
        <w:rPr>
          <w:color w:val="3494BA" w:themeColor="accent1"/>
        </w:rPr>
        <w:t>Regarding JOLs</w:t>
      </w:r>
      <w:r w:rsidR="0095547B" w:rsidRPr="0095547B">
        <w:rPr>
          <w:color w:val="3494BA" w:themeColor="accent1"/>
        </w:rPr>
        <w:t>,</w:t>
      </w:r>
      <w:r w:rsidR="000C0DEA" w:rsidRPr="0095547B">
        <w:rPr>
          <w:color w:val="3494BA" w:themeColor="accent1"/>
        </w:rPr>
        <w:t xml:space="preserve"> the analytic processing theory (Mueller &amp; </w:t>
      </w:r>
      <w:proofErr w:type="spellStart"/>
      <w:r w:rsidR="000C0DEA" w:rsidRPr="0095547B">
        <w:rPr>
          <w:color w:val="3494BA" w:themeColor="accent1"/>
        </w:rPr>
        <w:t>Dunlosky</w:t>
      </w:r>
      <w:proofErr w:type="spellEnd"/>
      <w:r w:rsidR="000C0DEA" w:rsidRPr="0095547B">
        <w:rPr>
          <w:color w:val="3494BA" w:themeColor="accent1"/>
        </w:rPr>
        <w:t>, 2017)</w:t>
      </w:r>
      <w:r w:rsidR="003A3105" w:rsidRPr="0095547B">
        <w:rPr>
          <w:color w:val="3494BA" w:themeColor="accent1"/>
        </w:rPr>
        <w:t xml:space="preserve"> </w:t>
      </w:r>
      <w:r w:rsidR="0095547B" w:rsidRPr="0095547B">
        <w:rPr>
          <w:color w:val="3494BA" w:themeColor="accent1"/>
        </w:rPr>
        <w:t>states that when making JOLs, participants initially begin by searching for cues</w:t>
      </w:r>
      <w:r w:rsidR="0095547B">
        <w:rPr>
          <w:color w:val="3494BA" w:themeColor="accent1"/>
        </w:rPr>
        <w:t xml:space="preserve"> on which to base their judgments</w:t>
      </w:r>
      <w:r w:rsidR="0095547B" w:rsidRPr="0095547B">
        <w:rPr>
          <w:color w:val="3494BA" w:themeColor="accent1"/>
        </w:rPr>
        <w:t xml:space="preserve"> (</w:t>
      </w:r>
      <w:r w:rsidR="0095547B">
        <w:rPr>
          <w:color w:val="3494BA" w:themeColor="accent1"/>
        </w:rPr>
        <w:t>e.g., relatedness, perceived difficulty, etc.</w:t>
      </w:r>
      <w:r w:rsidR="0095547B" w:rsidRPr="0095547B">
        <w:rPr>
          <w:color w:val="3494BA" w:themeColor="accent1"/>
        </w:rPr>
        <w:t>) before applying any beliefs about the cues to</w:t>
      </w:r>
      <w:r w:rsidR="0095547B">
        <w:rPr>
          <w:color w:val="3494BA" w:themeColor="accent1"/>
        </w:rPr>
        <w:t xml:space="preserve"> inform</w:t>
      </w:r>
      <w:r w:rsidR="0095547B" w:rsidRPr="0095547B">
        <w:rPr>
          <w:color w:val="3494BA" w:themeColor="accent1"/>
        </w:rPr>
        <w:t xml:space="preserve"> their </w:t>
      </w:r>
      <w:r w:rsidR="0095547B">
        <w:rPr>
          <w:color w:val="3494BA" w:themeColor="accent1"/>
        </w:rPr>
        <w:t xml:space="preserve">final </w:t>
      </w:r>
      <w:r w:rsidR="0095547B" w:rsidRPr="0095547B">
        <w:rPr>
          <w:color w:val="3494BA" w:themeColor="accent1"/>
        </w:rPr>
        <w:t xml:space="preserve">judgment. </w:t>
      </w:r>
      <w:r w:rsidR="0095547B">
        <w:rPr>
          <w:color w:val="3494BA" w:themeColor="accent1"/>
        </w:rPr>
        <w:t>Accordingly</w:t>
      </w:r>
      <w:r w:rsidR="0095547B" w:rsidRPr="0095547B">
        <w:rPr>
          <w:color w:val="3494BA" w:themeColor="accent1"/>
        </w:rPr>
        <w:t xml:space="preserve">, </w:t>
      </w:r>
      <w:r w:rsidR="0095547B">
        <w:rPr>
          <w:color w:val="3494BA" w:themeColor="accent1"/>
        </w:rPr>
        <w:t xml:space="preserve">if participants </w:t>
      </w:r>
      <w:r w:rsidR="00F20D2E">
        <w:rPr>
          <w:color w:val="3494BA" w:themeColor="accent1"/>
        </w:rPr>
        <w:t>hold</w:t>
      </w:r>
      <w:r w:rsidR="0095547B">
        <w:rPr>
          <w:color w:val="3494BA" w:themeColor="accent1"/>
        </w:rPr>
        <w:t xml:space="preserve"> strong beliefs about a certain cue (i.e., large font is easier to learn than small font), then this</w:t>
      </w:r>
      <w:r w:rsidR="0095547B" w:rsidRPr="0095547B">
        <w:rPr>
          <w:color w:val="3494BA" w:themeColor="accent1"/>
        </w:rPr>
        <w:t xml:space="preserve"> theory</w:t>
      </w:r>
      <w:r w:rsidR="0095547B">
        <w:rPr>
          <w:color w:val="3494BA" w:themeColor="accent1"/>
        </w:rPr>
        <w:t xml:space="preserve"> states</w:t>
      </w:r>
      <w:r w:rsidR="000C0DEA" w:rsidRPr="0095547B">
        <w:rPr>
          <w:color w:val="3494BA" w:themeColor="accent1"/>
        </w:rPr>
        <w:t xml:space="preserve"> that </w:t>
      </w:r>
      <w:r w:rsidR="0095547B">
        <w:rPr>
          <w:color w:val="3494BA" w:themeColor="accent1"/>
        </w:rPr>
        <w:t xml:space="preserve">those </w:t>
      </w:r>
      <w:r w:rsidR="0095547B" w:rsidRPr="0095547B">
        <w:rPr>
          <w:color w:val="3494BA" w:themeColor="accent1"/>
        </w:rPr>
        <w:t xml:space="preserve">beliefs will </w:t>
      </w:r>
      <w:r w:rsidR="00F20D2E">
        <w:rPr>
          <w:color w:val="3494BA" w:themeColor="accent1"/>
        </w:rPr>
        <w:t>moderate</w:t>
      </w:r>
      <w:r w:rsidR="0095547B" w:rsidRPr="0095547B">
        <w:rPr>
          <w:color w:val="3494BA" w:themeColor="accent1"/>
        </w:rPr>
        <w:t xml:space="preserve"> the effect</w:t>
      </w:r>
      <w:r w:rsidR="0095547B">
        <w:rPr>
          <w:color w:val="3494BA" w:themeColor="accent1"/>
        </w:rPr>
        <w:t>s</w:t>
      </w:r>
      <w:r w:rsidR="0095547B" w:rsidRPr="0095547B">
        <w:rPr>
          <w:color w:val="3494BA" w:themeColor="accent1"/>
        </w:rPr>
        <w:t xml:space="preserve"> of </w:t>
      </w:r>
      <w:r w:rsidR="0095547B">
        <w:rPr>
          <w:color w:val="3494BA" w:themeColor="accent1"/>
        </w:rPr>
        <w:t xml:space="preserve">this cue </w:t>
      </w:r>
      <w:r w:rsidR="0095547B" w:rsidRPr="0095547B">
        <w:rPr>
          <w:color w:val="3494BA" w:themeColor="accent1"/>
        </w:rPr>
        <w:t>on JOLs</w:t>
      </w:r>
      <w:r w:rsidR="00F20D2E">
        <w:rPr>
          <w:color w:val="3494BA" w:themeColor="accent1"/>
        </w:rPr>
        <w:t>, such that any fluency effects of large font will be greater for participants who hold this belief than those who do not.</w:t>
      </w:r>
      <w:r w:rsidR="0095547B" w:rsidRPr="0095547B">
        <w:rPr>
          <w:color w:val="3494BA" w:themeColor="accent1"/>
        </w:rPr>
        <w:t xml:space="preserve"> </w:t>
      </w:r>
      <w:r w:rsidR="000C0DEA" w:rsidRPr="000C0DEA">
        <w:rPr>
          <w:color w:val="3494BA" w:themeColor="accent1"/>
        </w:rPr>
        <w:t xml:space="preserve">Thus, </w:t>
      </w:r>
      <w:r w:rsidR="0095547B">
        <w:rPr>
          <w:color w:val="3494BA" w:themeColor="accent1"/>
        </w:rPr>
        <w:t xml:space="preserve">based on this account, </w:t>
      </w:r>
      <w:r w:rsidR="000C0DEA" w:rsidRPr="000C0DEA">
        <w:rPr>
          <w:color w:val="3494BA" w:themeColor="accent1"/>
        </w:rPr>
        <w:t>metacognitive judgments often reflect a combination of fluency and beliefs processes</w:t>
      </w:r>
      <w:r w:rsidR="00F20D2E">
        <w:rPr>
          <w:color w:val="3494BA" w:themeColor="accent1"/>
        </w:rPr>
        <w:t>.</w:t>
      </w:r>
    </w:p>
    <w:p w14:paraId="3906042A" w14:textId="563CB677"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w:t>
      </w:r>
      <w:r w:rsidR="00006CD4" w:rsidRPr="00006CD4">
        <w:rPr>
          <w:color w:val="3494BA" w:themeColor="accent1"/>
        </w:rPr>
        <w:t>measure</w:t>
      </w:r>
      <w:r w:rsidR="00194DD1">
        <w:t xml:space="preserve"> at encoding</w:t>
      </w:r>
      <w:r w:rsidR="0096521D">
        <w:t>.</w:t>
      </w:r>
      <w:r w:rsidR="00194DD1">
        <w:t xml:space="preserve"> Overall, </w:t>
      </w:r>
      <w:r w:rsidR="0096521D">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w:t>
      </w:r>
      <w:r w:rsidR="009D37B3">
        <w:lastRenderedPageBreak/>
        <w:t xml:space="preserve">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0696CC33"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r w:rsidR="00DB2BB0">
        <w:t>pure-</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2CE4AC21"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r w:rsidR="00DB2BB0">
        <w:rPr>
          <w:color w:val="000000"/>
        </w:rPr>
        <w:t>large-</w:t>
      </w:r>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DB2BB0">
        <w:rPr>
          <w:color w:val="000000"/>
        </w:rPr>
        <w:t>tested</w:t>
      </w:r>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7C5EB60F"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xml:space="preserve">), an online academic crowdsourcing platform, and completed the study at rate of $4.00 per half hour. </w:t>
      </w:r>
      <w:commentRangeStart w:id="2"/>
      <w:r w:rsidRPr="00CB0B70">
        <w:rPr>
          <w:color w:val="3494BA" w:themeColor="accent1"/>
        </w:rPr>
        <w:t xml:space="preserve">Participants </w:t>
      </w:r>
      <w:r w:rsidR="00CB0B70" w:rsidRPr="00CB0B70">
        <w:rPr>
          <w:color w:val="3494BA" w:themeColor="accent1"/>
        </w:rPr>
        <w:lastRenderedPageBreak/>
        <w:t xml:space="preserve">were required to be native English speakers and have </w:t>
      </w:r>
      <w:r w:rsidR="00CB48CD">
        <w:rPr>
          <w:color w:val="3494BA" w:themeColor="accent1"/>
        </w:rPr>
        <w:t xml:space="preserve">completed </w:t>
      </w:r>
      <w:r w:rsidR="00CB0B70" w:rsidRPr="00CB0B70">
        <w:rPr>
          <w:color w:val="3494BA" w:themeColor="accent1"/>
        </w:rPr>
        <w:t>at least a high school education or equivalent.</w:t>
      </w:r>
      <w:commentRangeEnd w:id="2"/>
      <w:r w:rsidR="00CB0B70">
        <w:rPr>
          <w:rStyle w:val="CommentReference"/>
        </w:rPr>
        <w:commentReference w:id="2"/>
      </w:r>
      <w:r w:rsidR="00CB0B70">
        <w:rPr>
          <w:color w:val="000000"/>
        </w:rPr>
        <w:t xml:space="preserve"> Participants </w:t>
      </w:r>
      <w:r w:rsidRPr="00AA5ECB">
        <w:rPr>
          <w:color w:val="000000"/>
        </w:rPr>
        <w:t>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w:t>
      </w:r>
      <w:r w:rsidRPr="005F7303">
        <w:t>)</w:t>
      </w:r>
      <w:r w:rsidRPr="00AA5ECB">
        <w:rPr>
          <w:color w:val="000000"/>
        </w:rPr>
        <w:t xml:space="preserve">. </w:t>
      </w:r>
      <w:r w:rsidR="002F22DE" w:rsidRPr="00DB40C1">
        <w:rPr>
          <w:color w:val="3494BA" w:themeColor="accent1"/>
        </w:rPr>
        <w:t>A</w:t>
      </w:r>
      <w:r w:rsidR="003B0BED" w:rsidRPr="00DB40C1">
        <w:rPr>
          <w:color w:val="3494BA" w:themeColor="accent1"/>
        </w:rPr>
        <w:t xml:space="preserve"> sensitivity analyses conducted with </w:t>
      </w:r>
      <w:r w:rsidR="003B0BED" w:rsidRPr="00DB40C1">
        <w:rPr>
          <w:i/>
          <w:iCs/>
          <w:color w:val="3494BA" w:themeColor="accent1"/>
        </w:rPr>
        <w:t>G*Power</w:t>
      </w:r>
      <w:r w:rsidR="003B0BED" w:rsidRPr="00DB40C1">
        <w:rPr>
          <w:color w:val="3494BA" w:themeColor="accent1"/>
        </w:rPr>
        <w:t xml:space="preserve"> </w:t>
      </w:r>
      <w:r w:rsidR="00045361" w:rsidRPr="00045361">
        <w:rPr>
          <w:i/>
          <w:iCs/>
          <w:color w:val="3494BA" w:themeColor="accent1"/>
        </w:rPr>
        <w:t>3</w:t>
      </w:r>
      <w:r w:rsidR="00045361">
        <w:rPr>
          <w:color w:val="3494BA" w:themeColor="accent1"/>
        </w:rPr>
        <w:t xml:space="preserve"> (</w:t>
      </w:r>
      <w:proofErr w:type="spellStart"/>
      <w:r w:rsidR="00045361" w:rsidRPr="00045361">
        <w:rPr>
          <w:color w:val="3494BA" w:themeColor="accent1"/>
        </w:rPr>
        <w:t>Faul</w:t>
      </w:r>
      <w:proofErr w:type="spellEnd"/>
      <w:r w:rsidR="00045361" w:rsidRPr="00045361">
        <w:rPr>
          <w:color w:val="3494BA" w:themeColor="accent1"/>
        </w:rPr>
        <w:t xml:space="preserve">, </w:t>
      </w:r>
      <w:proofErr w:type="spellStart"/>
      <w:r w:rsidR="00045361" w:rsidRPr="00045361">
        <w:rPr>
          <w:color w:val="3494BA" w:themeColor="accent1"/>
        </w:rPr>
        <w:t>Erdfelder</w:t>
      </w:r>
      <w:proofErr w:type="spellEnd"/>
      <w:r w:rsidR="00045361" w:rsidRPr="00045361">
        <w:rPr>
          <w:color w:val="3494BA" w:themeColor="accent1"/>
        </w:rPr>
        <w:t>, Lang, &amp; Buchner, 2007</w:t>
      </w:r>
      <w:commentRangeStart w:id="3"/>
      <w:r w:rsidR="00045361">
        <w:rPr>
          <w:color w:val="3494BA" w:themeColor="accent1"/>
        </w:rPr>
        <w:t xml:space="preserve">) </w:t>
      </w:r>
      <w:r w:rsidR="003B0BED" w:rsidRPr="00DB40C1">
        <w:rPr>
          <w:color w:val="3494BA" w:themeColor="accent1"/>
        </w:rPr>
        <w:t xml:space="preserve">confirmed that our sample provided sufficient power to detect </w:t>
      </w:r>
      <w:r w:rsidR="003B0BED" w:rsidRPr="00DB40C1">
        <w:rPr>
          <w:color w:val="3494BA" w:themeColor="accent1"/>
          <w:highlight w:val="yellow"/>
        </w:rPr>
        <w:t>XX</w:t>
      </w:r>
      <w:r w:rsidR="003B0BED" w:rsidRPr="00DB40C1">
        <w:rPr>
          <w:color w:val="3494BA" w:themeColor="accent1"/>
        </w:rPr>
        <w:t xml:space="preserve"> main effects and interactions.</w:t>
      </w:r>
      <w:commentRangeEnd w:id="3"/>
      <w:r w:rsidR="006A7273">
        <w:rPr>
          <w:rStyle w:val="CommentReference"/>
        </w:rPr>
        <w:commentReference w:id="3"/>
      </w:r>
      <w:r w:rsidR="003B0BED">
        <w:rPr>
          <w:color w:val="000000"/>
        </w:rPr>
        <w:t xml:space="preserve"> </w:t>
      </w:r>
      <w:commentRangeStart w:id="4"/>
      <w:r w:rsidR="00007304" w:rsidRPr="00007304">
        <w:rPr>
          <w:color w:val="3494BA" w:themeColor="accent1"/>
        </w:rPr>
        <w:t xml:space="preserve">Cued-recall performance as used as a compliance check (participants would be omitted for </w:t>
      </w:r>
      <w:r w:rsidR="00007304" w:rsidRPr="00007304">
        <w:rPr>
          <w:color w:val="3494BA" w:themeColor="accent1"/>
        </w:rPr>
        <w:t xml:space="preserve">correct recall rates &lt; 5%, which suggested that </w:t>
      </w:r>
      <w:r w:rsidR="00007304" w:rsidRPr="00007304">
        <w:rPr>
          <w:color w:val="3494BA" w:themeColor="accent1"/>
        </w:rPr>
        <w:t xml:space="preserve">instructions were not properly followed), and no participants were omitted. </w:t>
      </w:r>
      <w:commentRangeEnd w:id="4"/>
      <w:r w:rsidR="00007304">
        <w:rPr>
          <w:rStyle w:val="CommentReference"/>
        </w:rPr>
        <w:commentReference w:id="4"/>
      </w:r>
      <w:r w:rsidRPr="00AA5ECB">
        <w:rPr>
          <w:color w:val="000000"/>
        </w:rPr>
        <w:t xml:space="preserve">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w:t>
      </w:r>
      <w:r w:rsidR="00CB0B70">
        <w:rPr>
          <w:color w:val="000000"/>
        </w:rPr>
        <w:t xml:space="preserve">, and all </w:t>
      </w:r>
      <w:r w:rsidRPr="00AA5ECB">
        <w:rPr>
          <w:color w:val="000000"/>
        </w:rPr>
        <w:t>reported normal or corrected-to-normal vision.</w:t>
      </w:r>
      <w:bookmarkStart w:id="5" w:name="_Hlk66192466"/>
    </w:p>
    <w:bookmarkEnd w:id="5"/>
    <w:p w14:paraId="691000D5" w14:textId="42CEE073"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A5E34F7"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w:t>
      </w:r>
      <w:r w:rsidR="003B0BED">
        <w:rPr>
          <w:color w:val="000000"/>
        </w:rPr>
        <w:t>2021</w:t>
      </w:r>
      <w:r w:rsidRPr="00AA5ECB">
        <w:rPr>
          <w:color w:val="000000"/>
        </w:rPr>
        <w:t xml:space="preserve">)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5BAC3F36" w:rsidR="00AA5ECB" w:rsidRPr="00AA5ECB" w:rsidRDefault="00AA5ECB" w:rsidP="00AA5ECB">
      <w:pPr>
        <w:spacing w:line="480" w:lineRule="auto"/>
        <w:ind w:firstLine="720"/>
        <w:contextualSpacing/>
        <w:textAlignment w:val="baseline"/>
        <w:rPr>
          <w:color w:val="000000"/>
        </w:rPr>
      </w:pPr>
      <w:r w:rsidRPr="00AA5ECB">
        <w:rPr>
          <w:color w:val="000000"/>
        </w:rPr>
        <w:lastRenderedPageBreak/>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72571594"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w:t>
      </w:r>
      <w:r w:rsidRPr="00AA5ECB">
        <w:rPr>
          <w:color w:val="000000"/>
          <w:shd w:val="clear" w:color="auto" w:fill="FFFFFF"/>
        </w:rPr>
        <w:lastRenderedPageBreak/>
        <w:t>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xml:space="preserve">. </w:t>
      </w:r>
      <w:r w:rsidR="00914F1A" w:rsidRPr="00914F1A">
        <w:rPr>
          <w:color w:val="3494BA" w:themeColor="accent1"/>
        </w:rPr>
        <w:t xml:space="preserve">This test was untimed, and participants were instructed </w:t>
      </w:r>
      <w:r w:rsidRPr="00914F1A">
        <w:rPr>
          <w:color w:val="3494BA" w:themeColor="accent1"/>
        </w:rPr>
        <w:t>to press the enter key to advance to the next test item.</w:t>
      </w:r>
      <w:r w:rsidR="00914F1A" w:rsidRPr="00914F1A">
        <w:rPr>
          <w:color w:val="3494BA" w:themeColor="accent1"/>
        </w:rPr>
        <w:t xml:space="preserve"> </w:t>
      </w:r>
      <w:r w:rsidR="00914F1A" w:rsidRPr="00914F1A">
        <w:rPr>
          <w:color w:val="3494BA" w:themeColor="accent1"/>
        </w:rPr>
        <w:t xml:space="preserve">If participants were unable to retrieve the target, </w:t>
      </w:r>
      <w:r w:rsidR="00914F1A" w:rsidRPr="00914F1A">
        <w:rPr>
          <w:color w:val="3494BA" w:themeColor="accent1"/>
        </w:rPr>
        <w:t xml:space="preserve">they were instructed to advance to the next item. </w:t>
      </w:r>
      <w:r w:rsidRPr="00AA5ECB">
        <w:rPr>
          <w:color w:val="000000"/>
        </w:rPr>
        <w:t>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7A01D08F"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r w:rsidR="00DB2BB0">
        <w:rPr>
          <w:color w:val="000000"/>
        </w:rPr>
        <w:t>responses</w:t>
      </w:r>
      <w:r w:rsidR="00304097" w:rsidRPr="00304097">
        <w:rPr>
          <w:color w:val="000000"/>
        </w:rPr>
        <w:t>. All missing recall responses were coded as incorrect. A liberal scoring criterion was used such that misspellings or pluralizations were scored as correct.</w:t>
      </w:r>
    </w:p>
    <w:p w14:paraId="334619BC" w14:textId="476A6BB0" w:rsidR="00AA5ECB" w:rsidRPr="00AA5ECB" w:rsidRDefault="00AA5ECB" w:rsidP="00AA5ECB">
      <w:pPr>
        <w:spacing w:line="480" w:lineRule="auto"/>
        <w:contextualSpacing/>
        <w:textAlignment w:val="baseline"/>
        <w:rPr>
          <w:color w:val="000000"/>
        </w:rPr>
      </w:pPr>
      <w:r w:rsidRPr="00AA5ECB">
        <w:rPr>
          <w:color w:val="000000"/>
        </w:rPr>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w:t>
      </w:r>
      <w:r w:rsidRPr="00AA5ECB">
        <w:rPr>
          <w:color w:val="000000"/>
        </w:rPr>
        <w:lastRenderedPageBreak/>
        <w:t xml:space="preserve">(ANOVAs) and </w:t>
      </w:r>
      <w:r w:rsidRPr="00AA5ECB">
        <w:rPr>
          <w:i/>
          <w:iCs/>
          <w:color w:val="000000"/>
        </w:rPr>
        <w:t>t</w:t>
      </w:r>
      <w:r w:rsidRPr="00AA5ECB">
        <w:rPr>
          <w:color w:val="000000"/>
        </w:rPr>
        <w:t>-tests, respectively</w:t>
      </w:r>
      <w:r w:rsidR="00C742BD">
        <w:rPr>
          <w:color w:val="000000"/>
        </w:rPr>
        <w:t>.</w:t>
      </w:r>
      <w:r w:rsidR="003949E1" w:rsidRPr="003949E1">
        <w:rPr>
          <w:color w:val="3494BA" w:themeColor="accent1"/>
        </w:rPr>
        <w:t xml:space="preserve"> </w:t>
      </w:r>
      <w:r w:rsidR="006C7C11">
        <w:rPr>
          <w:color w:val="000000"/>
        </w:rPr>
        <w:t>To</w:t>
      </w:r>
      <w:r w:rsidRPr="00AA5ECB">
        <w:rPr>
          <w:color w:val="000000"/>
        </w:rPr>
        <w:t xml:space="preserve">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w:t>
      </w:r>
      <w:proofErr w:type="gramStart"/>
      <w:r w:rsidRPr="00AA5ECB">
        <w:rPr>
          <w:color w:val="000000"/>
        </w:rPr>
        <w:t>pair</w:t>
      </w:r>
      <w:proofErr w:type="gramEnd"/>
      <w:r w:rsidRPr="00AA5ECB">
        <w:rPr>
          <w:color w:val="000000"/>
        </w:rPr>
        <w:t xml:space="preserve"> types</w:t>
      </w:r>
      <w:r w:rsidRPr="00CB48CD">
        <w:rPr>
          <w:color w:val="3494BA" w:themeColor="accent1"/>
        </w:rPr>
        <w:t>.</w:t>
      </w:r>
      <w:r w:rsidR="00D33C3F">
        <w:rPr>
          <w:color w:val="3494BA" w:themeColor="accent1"/>
        </w:rPr>
        <w:t xml:space="preserve"> </w:t>
      </w:r>
      <w:r w:rsidR="00745ACB">
        <w:rPr>
          <w:color w:val="000000"/>
        </w:rPr>
        <w:t xml:space="preserve">For completeness, all comparisons are reported in Table </w:t>
      </w:r>
      <w:r w:rsidR="004F4584">
        <w:rPr>
          <w:color w:val="000000"/>
        </w:rPr>
        <w:t>A3</w:t>
      </w:r>
      <w:r w:rsidR="00342B34">
        <w:rPr>
          <w:color w:val="000000"/>
        </w:rPr>
        <w:t xml:space="preserve">, </w:t>
      </w:r>
      <w:r w:rsidR="00342B34" w:rsidRPr="00342B34">
        <w:rPr>
          <w:color w:val="3494BA" w:themeColor="accent1"/>
        </w:rPr>
        <w:t>and</w:t>
      </w:r>
      <w:r w:rsidR="00347C26">
        <w:rPr>
          <w:color w:val="3494BA" w:themeColor="accent1"/>
        </w:rPr>
        <w:t xml:space="preserve"> mean</w:t>
      </w:r>
      <w:r w:rsidR="00342B34" w:rsidRPr="00342B34">
        <w:rPr>
          <w:color w:val="3494BA" w:themeColor="accent1"/>
        </w:rPr>
        <w:t xml:space="preserve"> Goodman-Kruskal gammas for all comparisons are reported in Table A4.</w:t>
      </w:r>
    </w:p>
    <w:p w14:paraId="0F48DEA7" w14:textId="3133B2FA" w:rsidR="006C7C11" w:rsidRDefault="00AA5ECB" w:rsidP="00AA5ECB">
      <w:pPr>
        <w:spacing w:line="480" w:lineRule="auto"/>
        <w:contextualSpacing/>
        <w:textAlignment w:val="baseline"/>
        <w:rPr>
          <w:color w:val="3494BA" w:themeColor="accent1"/>
        </w:rPr>
      </w:pPr>
      <w:r w:rsidRPr="00AA5ECB">
        <w:rPr>
          <w:color w:val="000000"/>
        </w:rPr>
        <w:tab/>
        <w:t xml:space="preserve">In our analyses, we first compare JOL and recall percentages across </w:t>
      </w:r>
      <w:proofErr w:type="gramStart"/>
      <w:r w:rsidRPr="00AA5ECB">
        <w:rPr>
          <w:color w:val="000000"/>
        </w:rPr>
        <w:t>pair</w:t>
      </w:r>
      <w:proofErr w:type="gramEnd"/>
      <w:r w:rsidRPr="00AA5ECB">
        <w:rPr>
          <w:color w:val="000000"/>
        </w:rPr>
        <w:t xml:space="preserve"> types in the font-size group and then compare between the within large- and small-font pairs and control groups. </w:t>
      </w:r>
      <w:r w:rsidR="006C7C11" w:rsidRPr="00AA5ECB">
        <w:rPr>
          <w:color w:val="000000"/>
        </w:rPr>
        <w:t xml:space="preserve">. </w:t>
      </w:r>
      <w:commentRangeStart w:id="6"/>
      <w:r w:rsidR="006C7C11">
        <w:rPr>
          <w:color w:val="3494BA" w:themeColor="accent1"/>
        </w:rPr>
        <w:t xml:space="preserve">Each set of analyses additionally </w:t>
      </w:r>
      <w:r w:rsidR="006C7C11" w:rsidRPr="003949E1">
        <w:rPr>
          <w:color w:val="3494BA" w:themeColor="accent1"/>
        </w:rPr>
        <w:t>test</w:t>
      </w:r>
      <w:r w:rsidR="006C7C11">
        <w:rPr>
          <w:color w:val="3494BA" w:themeColor="accent1"/>
        </w:rPr>
        <w:t>s</w:t>
      </w:r>
      <w:r w:rsidR="006C7C11" w:rsidRPr="003949E1">
        <w:rPr>
          <w:color w:val="3494BA" w:themeColor="accent1"/>
        </w:rPr>
        <w:t xml:space="preserve"> for an illusion of competence pattern (i.e., JOLs overestimating recall</w:t>
      </w:r>
      <w:r w:rsidR="007F1683">
        <w:rPr>
          <w:color w:val="3494BA" w:themeColor="accent1"/>
        </w:rPr>
        <w:t xml:space="preserve">, often </w:t>
      </w:r>
      <w:r w:rsidR="006C7C11" w:rsidRPr="003949E1">
        <w:rPr>
          <w:color w:val="3494BA" w:themeColor="accent1"/>
        </w:rPr>
        <w:t xml:space="preserve">as a function of pair </w:t>
      </w:r>
      <w:r w:rsidR="006C7C11">
        <w:rPr>
          <w:color w:val="3494BA" w:themeColor="accent1"/>
        </w:rPr>
        <w:t>directio</w:t>
      </w:r>
      <w:r w:rsidR="006C7C11" w:rsidRPr="003949E1">
        <w:rPr>
          <w:color w:val="3494BA" w:themeColor="accent1"/>
        </w:rPr>
        <w:t>n</w:t>
      </w:r>
      <w:r w:rsidR="006C7C11">
        <w:rPr>
          <w:color w:val="3494BA" w:themeColor="accent1"/>
        </w:rPr>
        <w:t xml:space="preserve">; </w:t>
      </w:r>
      <w:proofErr w:type="spellStart"/>
      <w:r w:rsidR="006C7C11">
        <w:rPr>
          <w:color w:val="3494BA" w:themeColor="accent1"/>
        </w:rPr>
        <w:t>Koriat</w:t>
      </w:r>
      <w:proofErr w:type="spellEnd"/>
      <w:r w:rsidR="006C7C11">
        <w:rPr>
          <w:color w:val="3494BA" w:themeColor="accent1"/>
        </w:rPr>
        <w:t xml:space="preserve"> &amp; Bjork, 2005; Maxwell &amp; Huff, 2021</w:t>
      </w:r>
      <w:r w:rsidR="006C7C11" w:rsidRPr="003949E1">
        <w:rPr>
          <w:color w:val="3494BA" w:themeColor="accent1"/>
        </w:rPr>
        <w:t xml:space="preserve">), </w:t>
      </w:r>
      <w:r w:rsidR="006C7C11">
        <w:rPr>
          <w:color w:val="3494BA" w:themeColor="accent1"/>
        </w:rPr>
        <w:t xml:space="preserve">as </w:t>
      </w:r>
      <w:r w:rsidR="006C7C11" w:rsidRPr="003949E1">
        <w:rPr>
          <w:color w:val="3494BA" w:themeColor="accent1"/>
        </w:rPr>
        <w:t>previous research</w:t>
      </w:r>
      <w:r w:rsidR="006C7C11">
        <w:rPr>
          <w:color w:val="3494BA" w:themeColor="accent1"/>
        </w:rPr>
        <w:t xml:space="preserve"> </w:t>
      </w:r>
      <w:r w:rsidR="006C7C11" w:rsidRPr="003949E1">
        <w:rPr>
          <w:color w:val="3494BA" w:themeColor="accent1"/>
        </w:rPr>
        <w:t>has only assessed the font-size effect using forward associates and unrelated pairs</w:t>
      </w:r>
      <w:r w:rsidR="006C7C11">
        <w:rPr>
          <w:color w:val="3494BA" w:themeColor="accent1"/>
        </w:rPr>
        <w:t>.</w:t>
      </w:r>
      <w:commentRangeEnd w:id="6"/>
      <w:r w:rsidR="006C7C11">
        <w:rPr>
          <w:rStyle w:val="CommentReference"/>
        </w:rPr>
        <w:commentReference w:id="6"/>
      </w:r>
    </w:p>
    <w:p w14:paraId="2356082E" w14:textId="4B998195" w:rsidR="00AA5ECB" w:rsidRPr="00AA5ECB" w:rsidRDefault="006C7C11" w:rsidP="006C7C11">
      <w:pPr>
        <w:spacing w:line="480" w:lineRule="auto"/>
        <w:ind w:firstLine="720"/>
        <w:contextualSpacing/>
        <w:textAlignment w:val="baseline"/>
        <w:rPr>
          <w:color w:val="000000"/>
        </w:rPr>
      </w:pPr>
      <w:r>
        <w:rPr>
          <w:color w:val="000000"/>
        </w:rPr>
        <w:t>Starting with the</w:t>
      </w:r>
      <w:r w:rsidR="00AA5ECB" w:rsidRPr="00AA5ECB">
        <w:rPr>
          <w:color w:val="000000"/>
        </w:rPr>
        <w:t xml:space="preserve"> font-size group, a 2(Measure: JOL vs. Recall) × 2(Font Size: Large vs. Small) × 4(Pair Type: Forward vs. Backward vs. Symmetrical vs. Unrelated) within-subject ANOVA yielded an effect of measure, </w:t>
      </w:r>
      <w:r w:rsidR="00AA5ECB" w:rsidRPr="00AA5ECB">
        <w:rPr>
          <w:i/>
          <w:iCs/>
          <w:color w:val="000000"/>
        </w:rPr>
        <w:t>F</w:t>
      </w:r>
      <w:r w:rsidR="00AA5ECB" w:rsidRPr="00AA5ECB">
        <w:rPr>
          <w:color w:val="000000"/>
        </w:rPr>
        <w:t xml:space="preserve">(1, 40) = 10.11, </w:t>
      </w:r>
      <w:r w:rsidR="00AA5ECB" w:rsidRPr="00AA5ECB">
        <w:rPr>
          <w:i/>
          <w:iCs/>
          <w:color w:val="000000"/>
        </w:rPr>
        <w:t>MSE</w:t>
      </w:r>
      <w:r w:rsidR="00AA5ECB" w:rsidRPr="00AA5ECB">
        <w:rPr>
          <w:color w:val="000000"/>
        </w:rPr>
        <w:t xml:space="preserve"> = 1258.14, </w:t>
      </w:r>
      <w:r w:rsidR="00AA5ECB" w:rsidRPr="00AA5ECB">
        <w:rPr>
          <w:i/>
          <w:iCs/>
          <w:color w:val="000000"/>
        </w:rPr>
        <w:t>η</w:t>
      </w:r>
      <w:r w:rsidR="00AA5ECB" w:rsidRPr="00AA5ECB">
        <w:rPr>
          <w:color w:val="000000"/>
          <w:vertAlign w:val="subscript"/>
        </w:rPr>
        <w:t>p</w:t>
      </w:r>
      <w:r w:rsidR="00AA5ECB" w:rsidRPr="00AA5ECB">
        <w:rPr>
          <w:color w:val="000000"/>
          <w:vertAlign w:val="superscript"/>
        </w:rPr>
        <w:t xml:space="preserve">2 </w:t>
      </w:r>
      <w:r w:rsidR="00AA5ECB" w:rsidRPr="00AA5ECB">
        <w:rPr>
          <w:color w:val="000000"/>
        </w:rPr>
        <w:t xml:space="preserve">= .20, in which JOLs exceeded recall percentages (50.34 vs. 41.53). An effect of pair type was also found, </w:t>
      </w:r>
      <w:r w:rsidR="00AA5ECB" w:rsidRPr="00AA5ECB">
        <w:rPr>
          <w:i/>
          <w:iCs/>
          <w:color w:val="000000"/>
        </w:rPr>
        <w:t>F</w:t>
      </w:r>
      <w:r w:rsidR="00AA5ECB" w:rsidRPr="00AA5ECB">
        <w:rPr>
          <w:color w:val="000000"/>
        </w:rPr>
        <w:t xml:space="preserve">(3, 120) = 414.56, </w:t>
      </w:r>
      <w:r w:rsidR="00AA5ECB" w:rsidRPr="00AA5ECB">
        <w:rPr>
          <w:i/>
          <w:iCs/>
          <w:color w:val="000000"/>
        </w:rPr>
        <w:t>MSE</w:t>
      </w:r>
      <w:r w:rsidR="00AA5ECB" w:rsidRPr="00AA5ECB">
        <w:rPr>
          <w:color w:val="000000"/>
        </w:rPr>
        <w:t xml:space="preserve"> = 218.49, </w:t>
      </w:r>
      <w:r w:rsidR="00AA5ECB" w:rsidRPr="00AA5ECB">
        <w:rPr>
          <w:i/>
          <w:iCs/>
          <w:color w:val="000000"/>
        </w:rPr>
        <w:t>η</w:t>
      </w:r>
      <w:r w:rsidR="00AA5ECB" w:rsidRPr="00AA5ECB">
        <w:rPr>
          <w:color w:val="000000"/>
          <w:vertAlign w:val="subscript"/>
        </w:rPr>
        <w:t>p</w:t>
      </w:r>
      <w:r w:rsidR="00AA5ECB" w:rsidRPr="00AA5ECB">
        <w:rPr>
          <w:color w:val="000000"/>
          <w:vertAlign w:val="superscript"/>
        </w:rPr>
        <w:t xml:space="preserve">2 </w:t>
      </w:r>
      <w:r w:rsidR="00AA5ECB"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00AA5ECB" w:rsidRPr="00AA5ECB">
        <w:rPr>
          <w:i/>
          <w:iCs/>
          <w:color w:val="000000"/>
        </w:rPr>
        <w:t>t</w:t>
      </w:r>
      <w:r w:rsidR="00AA5ECB" w:rsidRPr="00AA5ECB">
        <w:rPr>
          <w:color w:val="000000"/>
        </w:rPr>
        <w:t>s</w:t>
      </w:r>
      <w:proofErr w:type="spellEnd"/>
      <w:r w:rsidR="00AA5ECB" w:rsidRPr="00AA5ECB">
        <w:rPr>
          <w:color w:val="000000"/>
        </w:rPr>
        <w:t xml:space="preserve"> &gt;3.27, </w:t>
      </w:r>
      <w:r w:rsidR="00AA5ECB" w:rsidRPr="00AA5ECB">
        <w:rPr>
          <w:i/>
          <w:iCs/>
          <w:color w:val="000000"/>
        </w:rPr>
        <w:t>d</w:t>
      </w:r>
      <w:r w:rsidR="00AA5ECB" w:rsidRPr="00AA5ECB">
        <w:rPr>
          <w:color w:val="000000"/>
        </w:rPr>
        <w:t xml:space="preserve">s &gt; 0.24. An effect of font size was also found, </w:t>
      </w:r>
      <w:r w:rsidR="00AA5ECB" w:rsidRPr="00AA5ECB">
        <w:rPr>
          <w:i/>
          <w:iCs/>
          <w:color w:val="000000"/>
        </w:rPr>
        <w:t>F</w:t>
      </w:r>
      <w:r w:rsidR="00AA5ECB" w:rsidRPr="00AA5ECB">
        <w:rPr>
          <w:color w:val="000000"/>
        </w:rPr>
        <w:t xml:space="preserve">(1, 40) = 12.20, </w:t>
      </w:r>
      <w:r w:rsidR="00AA5ECB" w:rsidRPr="00AA5ECB">
        <w:rPr>
          <w:i/>
          <w:iCs/>
          <w:color w:val="000000"/>
        </w:rPr>
        <w:t>MSE</w:t>
      </w:r>
      <w:r w:rsidR="00AA5ECB" w:rsidRPr="00AA5ECB">
        <w:rPr>
          <w:color w:val="000000"/>
        </w:rPr>
        <w:t xml:space="preserve"> = 66.26, </w:t>
      </w:r>
      <w:r w:rsidR="00AA5ECB" w:rsidRPr="00AA5ECB">
        <w:rPr>
          <w:i/>
          <w:iCs/>
          <w:color w:val="000000"/>
        </w:rPr>
        <w:t>η</w:t>
      </w:r>
      <w:r w:rsidR="00AA5ECB" w:rsidRPr="00AA5ECB">
        <w:rPr>
          <w:color w:val="000000"/>
          <w:vertAlign w:val="subscript"/>
        </w:rPr>
        <w:t>p</w:t>
      </w:r>
      <w:r w:rsidR="00AA5ECB" w:rsidRPr="00AA5ECB">
        <w:rPr>
          <w:color w:val="000000"/>
          <w:vertAlign w:val="superscript"/>
        </w:rPr>
        <w:t xml:space="preserve">2 </w:t>
      </w:r>
      <w:r w:rsidR="00AA5ECB" w:rsidRPr="00AA5ECB">
        <w:rPr>
          <w:color w:val="000000"/>
        </w:rPr>
        <w:t xml:space="preserve">= .23, indicating that JOL/recall </w:t>
      </w:r>
      <w:r w:rsidR="00AA5ECB" w:rsidRPr="00AA5ECB">
        <w:rPr>
          <w:color w:val="000000"/>
        </w:rPr>
        <w:lastRenderedPageBreak/>
        <w:t xml:space="preserve">percentages overall were greater for large font than small font pairs (47.05 vs. 44.83). Importantly, all interactions with font size, including the three-way interaction, were not reliable, </w:t>
      </w:r>
      <w:r w:rsidR="00AA5ECB" w:rsidRPr="00AA5ECB">
        <w:rPr>
          <w:i/>
          <w:iCs/>
          <w:color w:val="000000"/>
        </w:rPr>
        <w:t>F</w:t>
      </w:r>
      <w:r w:rsidR="00AA5ECB" w:rsidRPr="00AA5ECB">
        <w:rPr>
          <w:color w:val="000000"/>
        </w:rPr>
        <w:t xml:space="preserve">s &lt; 1.63, </w:t>
      </w:r>
      <w:proofErr w:type="spellStart"/>
      <w:r w:rsidR="00AA5ECB" w:rsidRPr="00AA5ECB">
        <w:rPr>
          <w:i/>
          <w:iCs/>
          <w:color w:val="000000"/>
        </w:rPr>
        <w:t>p</w:t>
      </w:r>
      <w:r w:rsidR="00AA5ECB" w:rsidRPr="00AA5ECB">
        <w:rPr>
          <w:color w:val="000000"/>
        </w:rPr>
        <w:t>s</w:t>
      </w:r>
      <w:proofErr w:type="spellEnd"/>
      <w:r w:rsidR="00AA5ECB" w:rsidRPr="00AA5ECB">
        <w:rPr>
          <w:color w:val="000000"/>
        </w:rPr>
        <w:t xml:space="preserve"> &gt; .18, </w:t>
      </w:r>
      <w:proofErr w:type="spellStart"/>
      <w:r w:rsidR="00AA5ECB" w:rsidRPr="00AA5ECB">
        <w:rPr>
          <w:i/>
          <w:iCs/>
          <w:color w:val="000000"/>
        </w:rPr>
        <w:t>p</w:t>
      </w:r>
      <w:r w:rsidR="00AA5ECB" w:rsidRPr="00AA5ECB">
        <w:rPr>
          <w:color w:val="000000"/>
          <w:vertAlign w:val="subscript"/>
        </w:rPr>
        <w:t>BIC</w:t>
      </w:r>
      <w:r w:rsidR="00AA5ECB" w:rsidRPr="00AA5ECB">
        <w:rPr>
          <w:color w:val="000000"/>
        </w:rPr>
        <w:t>s</w:t>
      </w:r>
      <w:proofErr w:type="spellEnd"/>
      <w:r w:rsidR="00AA5ECB" w:rsidRPr="00AA5ECB">
        <w:rPr>
          <w:color w:val="000000"/>
        </w:rPr>
        <w:t xml:space="preserve"> &gt; .99, indicating that the large font size did not differentially inflate JOLs relative to recall rates across pair types (cf. Rhodes &amp; Castel, 2008).</w:t>
      </w:r>
    </w:p>
    <w:p w14:paraId="3684A01B" w14:textId="52F6A7C9" w:rsidR="00AA5ECB" w:rsidRPr="00AA5ECB" w:rsidRDefault="00AA5ECB" w:rsidP="00AA5ECB">
      <w:pPr>
        <w:spacing w:before="240" w:line="480" w:lineRule="auto"/>
        <w:contextualSpacing/>
        <w:textAlignment w:val="baseline"/>
        <w:rPr>
          <w:color w:val="000000"/>
        </w:rPr>
      </w:pPr>
      <w:r w:rsidRPr="00AA5ECB">
        <w:rPr>
          <w:color w:val="000000"/>
        </w:rPr>
        <w:tab/>
      </w:r>
      <w:r w:rsidR="006C7C11">
        <w:rPr>
          <w:color w:val="000000"/>
        </w:rPr>
        <w:t>Regarding the illusion of competence, a</w:t>
      </w:r>
      <w:r w:rsidRPr="00AA5ECB">
        <w:rPr>
          <w:color w:val="000000"/>
        </w:rPr>
        <w:t xml:space="preserve">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t>
      </w:r>
      <w:r w:rsidRPr="006C7C11">
        <w:rPr>
          <w:color w:val="3494BA" w:themeColor="accent1"/>
        </w:rPr>
        <w:t xml:space="preserve">which indicated </w:t>
      </w:r>
      <w:r w:rsidR="006C7C11" w:rsidRPr="006C7C11">
        <w:rPr>
          <w:color w:val="3494BA" w:themeColor="accent1"/>
        </w:rPr>
        <w:t xml:space="preserve">that JOLs overestimated recall for some </w:t>
      </w:r>
      <w:proofErr w:type="gramStart"/>
      <w:r w:rsidR="006C7C11" w:rsidRPr="006C7C11">
        <w:rPr>
          <w:color w:val="3494BA" w:themeColor="accent1"/>
        </w:rPr>
        <w:t>pair</w:t>
      </w:r>
      <w:proofErr w:type="gramEnd"/>
      <w:r w:rsidR="006C7C11" w:rsidRPr="006C7C11">
        <w:rPr>
          <w:color w:val="3494BA" w:themeColor="accent1"/>
        </w:rPr>
        <w:t xml:space="preserve"> types</w:t>
      </w:r>
      <w:r w:rsidR="00597722" w:rsidRPr="006C7C11">
        <w:rPr>
          <w:color w:val="3494BA" w:themeColor="accent1"/>
        </w:rPr>
        <w:t>.</w:t>
      </w:r>
      <w:r w:rsidRPr="00AA5ECB">
        <w:rPr>
          <w:color w:val="000000"/>
        </w:rPr>
        <w:t xml:space="preserve"> </w:t>
      </w:r>
      <w:r w:rsidR="00081B62">
        <w:rPr>
          <w:color w:val="000000"/>
        </w:rPr>
        <w:t>Consistent with previous research</w:t>
      </w:r>
      <w:r w:rsidR="003949E1">
        <w:rPr>
          <w:color w:val="000000"/>
        </w:rPr>
        <w:t xml:space="preserve"> (e.g., </w:t>
      </w:r>
      <w:proofErr w:type="spellStart"/>
      <w:r w:rsidR="003949E1">
        <w:rPr>
          <w:color w:val="000000"/>
        </w:rPr>
        <w:t>Koriat</w:t>
      </w:r>
      <w:proofErr w:type="spellEnd"/>
      <w:r w:rsidR="003949E1">
        <w:rPr>
          <w:color w:val="000000"/>
        </w:rPr>
        <w:t xml:space="preserve"> &amp; Bjork, 2005; Maxwell &amp; Huff, 2021)</w:t>
      </w:r>
      <w:r w:rsidR="00081B62">
        <w:rPr>
          <w:color w:val="000000"/>
        </w:rPr>
        <w:t xml:space="preserve">, </w:t>
      </w:r>
      <w:r w:rsidRPr="00AA5ECB">
        <w:rPr>
          <w:color w:val="000000"/>
        </w:rPr>
        <w:t xml:space="preserve">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w:t>
      </w:r>
      <w:r w:rsidR="00081B62">
        <w:rPr>
          <w:color w:val="000000"/>
        </w:rPr>
        <w:t xml:space="preserve">. However, </w:t>
      </w:r>
      <w:r w:rsidR="003949E1">
        <w:rPr>
          <w:color w:val="000000"/>
        </w:rPr>
        <w:t xml:space="preserve">for the more deceptive backward pairs, JOLs greatly exceeded later recall </w:t>
      </w:r>
      <w:r w:rsidR="003949E1" w:rsidRPr="00AA5ECB">
        <w:rPr>
          <w:color w:val="000000"/>
        </w:rPr>
        <w:t xml:space="preserve">(58.20 vs. 32.26), </w:t>
      </w:r>
      <w:r w:rsidR="003949E1" w:rsidRPr="00AA5ECB">
        <w:rPr>
          <w:i/>
          <w:iCs/>
          <w:color w:val="000000"/>
        </w:rPr>
        <w:t>t</w:t>
      </w:r>
      <w:r w:rsidR="003949E1" w:rsidRPr="00AA5ECB">
        <w:rPr>
          <w:color w:val="000000"/>
        </w:rPr>
        <w:t xml:space="preserve">(40) = 6.95, </w:t>
      </w:r>
      <w:r w:rsidR="003949E1" w:rsidRPr="00AA5ECB">
        <w:rPr>
          <w:i/>
          <w:iCs/>
          <w:color w:val="000000"/>
        </w:rPr>
        <w:t>SEM</w:t>
      </w:r>
      <w:r w:rsidR="003949E1" w:rsidRPr="00AA5ECB">
        <w:rPr>
          <w:color w:val="000000"/>
        </w:rPr>
        <w:t xml:space="preserve"> = 3.73, </w:t>
      </w:r>
      <w:r w:rsidR="003949E1" w:rsidRPr="00AA5ECB">
        <w:rPr>
          <w:i/>
          <w:iCs/>
          <w:color w:val="000000"/>
        </w:rPr>
        <w:t>d</w:t>
      </w:r>
      <w:r w:rsidR="003949E1" w:rsidRPr="00AA5ECB">
        <w:rPr>
          <w:color w:val="000000"/>
        </w:rPr>
        <w:t xml:space="preserve"> = 1.48</w:t>
      </w:r>
      <w:r w:rsidR="003949E1">
        <w:rPr>
          <w:color w:val="000000"/>
        </w:rPr>
        <w:t xml:space="preserve">, a pattern which subsequently extended to </w:t>
      </w:r>
      <w:r w:rsidRPr="00AA5ECB">
        <w:rPr>
          <w:color w:val="000000"/>
        </w:rPr>
        <w:t xml:space="preserve">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w:t>
      </w:r>
      <w:r w:rsidR="003949E1">
        <w:rPr>
          <w:color w:val="000000"/>
        </w:rPr>
        <w:t xml:space="preserve"> and </w:t>
      </w:r>
      <w:r w:rsidRPr="00AA5ECB">
        <w:rPr>
          <w:color w:val="000000"/>
        </w:rPr>
        <w:t xml:space="preserve">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w:t>
      </w:r>
      <w:r w:rsidR="003949E1">
        <w:rPr>
          <w:color w:val="000000"/>
        </w:rPr>
        <w:t>.</w:t>
      </w:r>
    </w:p>
    <w:p w14:paraId="18FF0C05" w14:textId="2EFE59DF" w:rsidR="00AA5ECB" w:rsidRPr="00AA5ECB" w:rsidRDefault="00AA5ECB" w:rsidP="00AA5ECB">
      <w:pPr>
        <w:spacing w:before="240" w:line="480" w:lineRule="auto"/>
        <w:contextualSpacing/>
        <w:textAlignment w:val="baseline"/>
        <w:rPr>
          <w:color w:val="000000"/>
        </w:rPr>
      </w:pPr>
      <w:r w:rsidRPr="00AA5ECB">
        <w:rPr>
          <w:color w:val="000000"/>
        </w:rPr>
        <w:tab/>
        <w:t xml:space="preserve">We then compared </w:t>
      </w:r>
      <w:r w:rsidR="004E0E44" w:rsidRPr="004E0E44">
        <w:rPr>
          <w:color w:val="3494BA" w:themeColor="accent1"/>
        </w:rPr>
        <w:t>changes in the magnitude of</w:t>
      </w:r>
      <w:r w:rsidR="004E0E44">
        <w:rPr>
          <w:color w:val="000000"/>
        </w:rPr>
        <w:t xml:space="preserve"> </w:t>
      </w:r>
      <w:r w:rsidRPr="00AA5ECB">
        <w:rPr>
          <w:color w:val="000000"/>
        </w:rPr>
        <w:t xml:space="preserve">JOLs/recall </w:t>
      </w:r>
      <w:r w:rsidR="004E0E44">
        <w:rPr>
          <w:color w:val="000000"/>
        </w:rPr>
        <w:t xml:space="preserve">for </w:t>
      </w:r>
      <w:r w:rsidRPr="00AA5ECB">
        <w:rPr>
          <w:color w:val="000000"/>
        </w:rPr>
        <w:t>large and small font pairs relative to the control group to evaluate font</w:t>
      </w:r>
      <w:r w:rsidR="00726EDF">
        <w:rPr>
          <w:color w:val="000000"/>
        </w:rPr>
        <w:t xml:space="preserve"> </w:t>
      </w:r>
      <w:r w:rsidRPr="00AA5ECB">
        <w:rPr>
          <w:color w:val="000000"/>
        </w:rPr>
        <w:t xml:space="preserve">size effects </w:t>
      </w:r>
      <w:r w:rsidR="004E0E44">
        <w:rPr>
          <w:color w:val="000000"/>
        </w:rPr>
        <w:t>compared</w:t>
      </w:r>
      <w:r w:rsidRPr="00AA5ECB">
        <w:rPr>
          <w:color w:val="000000"/>
        </w:rPr>
        <w:t xml:space="preserve"> to a pure group that </w:t>
      </w:r>
      <w:r w:rsidR="004E0E44">
        <w:rPr>
          <w:color w:val="000000"/>
        </w:rPr>
        <w:t>encoded</w:t>
      </w:r>
      <w:r w:rsidRPr="00AA5ECB">
        <w:rPr>
          <w:color w:val="000000"/>
        </w:rPr>
        <w:t xml:space="preserve">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w:t>
      </w:r>
      <w:r w:rsidR="00E540FF">
        <w:rPr>
          <w:color w:val="000000"/>
        </w:rPr>
        <w:t xml:space="preserve">for both </w:t>
      </w:r>
      <w:r w:rsidRPr="00AA5ECB">
        <w:rPr>
          <w:color w:val="000000"/>
        </w:rPr>
        <w:t>large</w:t>
      </w:r>
      <w:r w:rsidR="00DB2BB0">
        <w:rPr>
          <w:color w:val="000000"/>
        </w:rPr>
        <w:t>-</w:t>
      </w:r>
      <w:r w:rsidRPr="00AA5ECB">
        <w:rPr>
          <w:color w:val="000000"/>
        </w:rPr>
        <w:t xml:space="preserve"> and </w:t>
      </w:r>
      <w:r w:rsidR="00DB2BB0" w:rsidRPr="00AA5ECB">
        <w:rPr>
          <w:color w:val="000000"/>
        </w:rPr>
        <w:t>small</w:t>
      </w:r>
      <w:r w:rsidR="00DB2BB0">
        <w:rPr>
          <w:color w:val="000000"/>
        </w:rPr>
        <w:t>-</w:t>
      </w:r>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.64</w:t>
      </w:r>
      <w:r w:rsidR="00F504C3">
        <w:rPr>
          <w:color w:val="000000"/>
        </w:rPr>
        <w:t>; however,</w:t>
      </w:r>
      <w:r w:rsidRPr="00AA5ECB">
        <w:rPr>
          <w:color w:val="000000"/>
        </w:rPr>
        <w:t xml:space="preserve">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 xml:space="preserve">&gt; .99. </w:t>
      </w:r>
      <w:r w:rsidRPr="00914F1A">
        <w:rPr>
          <w:color w:val="3494BA" w:themeColor="accent1"/>
        </w:rPr>
        <w:t>Collectively, increasing font size increased both JOLs and recall percentages equally relative to</w:t>
      </w:r>
      <w:r w:rsidR="00DB2BB0" w:rsidRPr="00914F1A">
        <w:rPr>
          <w:color w:val="3494BA" w:themeColor="accent1"/>
        </w:rPr>
        <w:t xml:space="preserve"> small-</w:t>
      </w:r>
      <w:r w:rsidRPr="00914F1A">
        <w:rPr>
          <w:color w:val="3494BA" w:themeColor="accent1"/>
        </w:rPr>
        <w:t>font sizes</w:t>
      </w:r>
      <w:r w:rsidR="00914F1A" w:rsidRPr="00914F1A">
        <w:rPr>
          <w:color w:val="3494BA" w:themeColor="accent1"/>
        </w:rPr>
        <w:t>.</w:t>
      </w:r>
      <w:r w:rsidRPr="00914F1A">
        <w:rPr>
          <w:color w:val="3494BA" w:themeColor="accent1"/>
        </w:rPr>
        <w:t xml:space="preserve"> </w:t>
      </w:r>
      <w:r w:rsidR="00914F1A" w:rsidRPr="00914F1A">
        <w:rPr>
          <w:color w:val="3494BA" w:themeColor="accent1"/>
        </w:rPr>
        <w:t>However, JOLs and recall for</w:t>
      </w:r>
      <w:r w:rsidR="00DB2BB0" w:rsidRPr="00914F1A">
        <w:rPr>
          <w:color w:val="3494BA" w:themeColor="accent1"/>
        </w:rPr>
        <w:t xml:space="preserve"> large-</w:t>
      </w:r>
      <w:r w:rsidRPr="00914F1A">
        <w:rPr>
          <w:color w:val="3494BA" w:themeColor="accent1"/>
        </w:rPr>
        <w:t xml:space="preserve">font sizes </w:t>
      </w:r>
      <w:r w:rsidR="00DB2BB0" w:rsidRPr="00914F1A">
        <w:rPr>
          <w:color w:val="3494BA" w:themeColor="accent1"/>
        </w:rPr>
        <w:t xml:space="preserve">did not differ relative </w:t>
      </w:r>
      <w:r w:rsidRPr="00914F1A">
        <w:rPr>
          <w:color w:val="3494BA" w:themeColor="accent1"/>
        </w:rPr>
        <w:t>to a standard font size control</w:t>
      </w:r>
      <w:r w:rsidR="00D3386A">
        <w:rPr>
          <w:color w:val="3494BA" w:themeColor="accent1"/>
        </w:rPr>
        <w:t xml:space="preserve"> group</w:t>
      </w:r>
      <w:r w:rsidRPr="00914F1A">
        <w:rPr>
          <w:color w:val="3494BA" w:themeColor="accent1"/>
        </w:rPr>
        <w:t>.</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lastRenderedPageBreak/>
        <w:t>Experiment 1B: Highlighting Effects on Related and Unrelated Pairs</w:t>
      </w:r>
    </w:p>
    <w:p w14:paraId="00690BB5" w14:textId="3215BEA1"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r w:rsidR="00D63A52">
        <w:rPr>
          <w:color w:val="000000"/>
        </w:rPr>
        <w:t xml:space="preserve">. By making text more distinguishable (and thus more perceptually fluent), we expected </w:t>
      </w:r>
      <w:r w:rsidR="002501BC">
        <w:rPr>
          <w:color w:val="000000"/>
        </w:rPr>
        <w:t xml:space="preserve">that </w:t>
      </w:r>
      <w:r w:rsidR="00D63A52">
        <w:rPr>
          <w:color w:val="000000"/>
        </w:rPr>
        <w:t xml:space="preserve">highlighting </w:t>
      </w:r>
      <w:r w:rsidR="002501BC">
        <w:rPr>
          <w:color w:val="000000"/>
        </w:rPr>
        <w:t xml:space="preserve">would </w:t>
      </w:r>
      <w:r w:rsidR="0016278D">
        <w:rPr>
          <w:color w:val="000000"/>
        </w:rPr>
        <w:t>operate</w:t>
      </w:r>
      <w:r w:rsidR="00D63A52">
        <w:rPr>
          <w:color w:val="000000"/>
        </w:rPr>
        <w:t xml:space="preserve"> similarly to other manipulations that enhance both distinctiveness and fluency </w:t>
      </w:r>
      <w:commentRangeStart w:id="7"/>
      <w:r w:rsidR="00D63A52" w:rsidRPr="00696C01">
        <w:rPr>
          <w:color w:val="3494BA" w:themeColor="accent1"/>
        </w:rPr>
        <w:t>(e.g., such as bolding word pairs; Ball et al., 2014</w:t>
      </w:r>
      <w:r w:rsidR="00696C01" w:rsidRPr="00696C01">
        <w:rPr>
          <w:color w:val="3494BA" w:themeColor="accent1"/>
        </w:rPr>
        <w:t>, manipulating font-color</w:t>
      </w:r>
      <w:r w:rsidR="0016278D" w:rsidRPr="00696C01">
        <w:rPr>
          <w:color w:val="3494BA" w:themeColor="accent1"/>
        </w:rPr>
        <w:t>;</w:t>
      </w:r>
      <w:r w:rsidR="00696C01" w:rsidRPr="00696C01">
        <w:rPr>
          <w:color w:val="3494BA" w:themeColor="accent1"/>
        </w:rPr>
        <w:t xml:space="preserve"> </w:t>
      </w:r>
      <w:proofErr w:type="spellStart"/>
      <w:r w:rsidR="00696C01" w:rsidRPr="00696C01">
        <w:rPr>
          <w:color w:val="3494BA" w:themeColor="accent1"/>
        </w:rPr>
        <w:t>Wehr</w:t>
      </w:r>
      <w:proofErr w:type="spellEnd"/>
      <w:r w:rsidR="00696C01" w:rsidRPr="00696C01">
        <w:rPr>
          <w:color w:val="3494BA" w:themeColor="accent1"/>
        </w:rPr>
        <w:t xml:space="preserve"> and </w:t>
      </w:r>
      <w:proofErr w:type="spellStart"/>
      <w:r w:rsidR="00696C01" w:rsidRPr="00696C01">
        <w:rPr>
          <w:color w:val="3494BA" w:themeColor="accent1"/>
        </w:rPr>
        <w:t>Wippich</w:t>
      </w:r>
      <w:proofErr w:type="spellEnd"/>
      <w:r w:rsidR="00696C01" w:rsidRPr="00696C01">
        <w:rPr>
          <w:color w:val="3494BA" w:themeColor="accent1"/>
        </w:rPr>
        <w:t>, 2004, etc.;</w:t>
      </w:r>
      <w:r w:rsidR="0016278D" w:rsidRPr="00696C01">
        <w:rPr>
          <w:color w:val="3494BA" w:themeColor="accent1"/>
        </w:rPr>
        <w:t xml:space="preserve"> though see Price, </w:t>
      </w:r>
      <w:proofErr w:type="spellStart"/>
      <w:r w:rsidR="0016278D" w:rsidRPr="00696C01">
        <w:rPr>
          <w:color w:val="3494BA" w:themeColor="accent1"/>
        </w:rPr>
        <w:t>McElory</w:t>
      </w:r>
      <w:proofErr w:type="spellEnd"/>
      <w:r w:rsidR="0016278D" w:rsidRPr="00696C01">
        <w:rPr>
          <w:color w:val="3494BA" w:themeColor="accent1"/>
        </w:rPr>
        <w:t xml:space="preserve">, &amp; Martin, 2016, who showed that bolded items received lower JOLs </w:t>
      </w:r>
      <w:r w:rsidR="00696C01" w:rsidRPr="00696C01">
        <w:rPr>
          <w:color w:val="3494BA" w:themeColor="accent1"/>
        </w:rPr>
        <w:t>and wer</w:t>
      </w:r>
      <w:r w:rsidR="006F6145">
        <w:rPr>
          <w:color w:val="3494BA" w:themeColor="accent1"/>
        </w:rPr>
        <w:t>e</w:t>
      </w:r>
      <w:r w:rsidR="0016278D" w:rsidRPr="00696C01">
        <w:rPr>
          <w:color w:val="3494BA" w:themeColor="accent1"/>
        </w:rPr>
        <w:t xml:space="preserve"> recalled at lower rates relative to standard pairs</w:t>
      </w:r>
      <w:r w:rsidR="00D63A52" w:rsidRPr="00696C01">
        <w:rPr>
          <w:color w:val="3494BA" w:themeColor="accent1"/>
        </w:rPr>
        <w:t>).</w:t>
      </w:r>
      <w:commentRangeEnd w:id="7"/>
      <w:r w:rsidR="002501BC" w:rsidRPr="00696C01">
        <w:rPr>
          <w:rStyle w:val="CommentReference"/>
          <w:color w:val="3494BA" w:themeColor="accent1"/>
        </w:rPr>
        <w:commentReference w:id="7"/>
      </w:r>
    </w:p>
    <w:p w14:paraId="4F76B2EA" w14:textId="35C41BD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r w:rsidR="00DB2BB0" w:rsidRPr="00AA5ECB">
        <w:rPr>
          <w:color w:val="000000"/>
        </w:rPr>
        <w:t>large</w:t>
      </w:r>
      <w:r w:rsidR="00DB2BB0">
        <w:rPr>
          <w:color w:val="000000"/>
        </w:rPr>
        <w:t>-</w:t>
      </w:r>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r w:rsidR="00DB2BB0" w:rsidRPr="00AA5ECB">
        <w:rPr>
          <w:color w:val="000000"/>
        </w:rPr>
        <w:t>small</w:t>
      </w:r>
      <w:r w:rsidR="00DB2BB0">
        <w:rPr>
          <w:color w:val="000000"/>
        </w:rPr>
        <w:t>-</w:t>
      </w:r>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lastRenderedPageBreak/>
        <w:t>Method</w:t>
      </w:r>
    </w:p>
    <w:p w14:paraId="6EF53795" w14:textId="77777777" w:rsidR="00AA5ECB" w:rsidRPr="00AA5ECB" w:rsidRDefault="00AA5ECB" w:rsidP="00AA5ECB">
      <w:pPr>
        <w:spacing w:before="240" w:line="480" w:lineRule="auto"/>
        <w:contextualSpacing/>
        <w:textAlignment w:val="baseline"/>
        <w:rPr>
          <w:b/>
          <w:bCs/>
          <w:color w:val="000000"/>
        </w:rPr>
      </w:pPr>
      <w:commentRangeStart w:id="8"/>
      <w:r w:rsidRPr="00AA5ECB">
        <w:rPr>
          <w:b/>
          <w:bCs/>
          <w:color w:val="000000"/>
        </w:rPr>
        <w:t>Participants</w:t>
      </w:r>
      <w:commentRangeEnd w:id="8"/>
      <w:r w:rsidR="006C7C11">
        <w:rPr>
          <w:rStyle w:val="CommentReference"/>
        </w:rPr>
        <w:commentReference w:id="8"/>
      </w:r>
    </w:p>
    <w:p w14:paraId="50624EBB" w14:textId="23FD3260" w:rsidR="00AA5ECB" w:rsidRPr="00AA5ECB" w:rsidRDefault="00AA5ECB" w:rsidP="00AA5ECB">
      <w:pPr>
        <w:spacing w:line="480" w:lineRule="auto"/>
        <w:ind w:firstLine="720"/>
        <w:contextualSpacing/>
        <w:textAlignment w:val="baseline"/>
        <w:rPr>
          <w:color w:val="000000"/>
        </w:rPr>
      </w:pPr>
      <w:r w:rsidRPr="00AA5ECB">
        <w:rPr>
          <w:color w:val="000000"/>
        </w:rPr>
        <w:t>An additional 41 participants were recruited from Prolific to com</w:t>
      </w:r>
      <w:r w:rsidR="003F45A1">
        <w:rPr>
          <w:color w:val="000000"/>
        </w:rPr>
        <w:t xml:space="preserve">plete the </w:t>
      </w:r>
      <w:r w:rsidRPr="00C67941">
        <w:rPr>
          <w:color w:val="3494BA" w:themeColor="accent1"/>
        </w:rPr>
        <w:t xml:space="preserve">study </w:t>
      </w:r>
      <w:r w:rsidR="003F45A1" w:rsidRPr="00C67941">
        <w:rPr>
          <w:color w:val="3494BA" w:themeColor="accent1"/>
        </w:rPr>
        <w:t xml:space="preserve">using the same recruitment criteria as Experiment 1A </w:t>
      </w:r>
      <w:r w:rsidRPr="00AA5ECB">
        <w:rPr>
          <w:color w:val="000000"/>
        </w:rPr>
        <w:t xml:space="preserve">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6ED15F6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w:t>
      </w:r>
      <w:r w:rsidR="00F504C3">
        <w:rPr>
          <w:color w:val="000000"/>
        </w:rPr>
        <w:t>ere</w:t>
      </w:r>
      <w:r w:rsidRPr="00AA5ECB">
        <w:rPr>
          <w:color w:val="000000"/>
        </w:rPr>
        <w:t xml:space="preserve"> again used in Experiment 1B</w:t>
      </w:r>
      <w:r w:rsidR="00982D63">
        <w:rPr>
          <w:color w:val="000000"/>
        </w:rPr>
        <w:t>,</w:t>
      </w:r>
      <w:r w:rsidRPr="00AA5ECB">
        <w:rPr>
          <w:color w:val="000000"/>
        </w:rPr>
        <w:t xml:space="preserve"> with the only difference being the</w:t>
      </w:r>
      <w:r w:rsidR="00DB2BB0">
        <w:rPr>
          <w:color w:val="000000"/>
        </w:rPr>
        <w:t xml:space="preserve"> highlight versus no highlight</w:t>
      </w:r>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The cued recall test was </w:t>
      </w:r>
      <w:r w:rsidR="00CA753F">
        <w:rPr>
          <w:color w:val="000000"/>
        </w:rPr>
        <w:t xml:space="preserve">identical </w:t>
      </w:r>
      <w:r w:rsidRPr="00AA5ECB">
        <w:rPr>
          <w:color w:val="000000"/>
        </w:rPr>
        <w:t>to Experiment 1</w:t>
      </w:r>
      <w:r w:rsidR="00F504C3">
        <w:rPr>
          <w:color w:val="000000"/>
        </w:rPr>
        <w:t>A</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r w:rsidR="00DB2BB0">
        <w:rPr>
          <w:color w:val="000000"/>
        </w:rPr>
        <w:t xml:space="preserve"> The control group from Experiment 1A was also used.</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25146529"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DB2BB0">
        <w:rPr>
          <w:color w:val="000000"/>
        </w:rPr>
        <w:t>as</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w:t>
      </w:r>
      <w:proofErr w:type="gramStart"/>
      <w:r w:rsidRPr="00AA5ECB">
        <w:rPr>
          <w:color w:val="000000"/>
        </w:rPr>
        <w:t>pair</w:t>
      </w:r>
      <w:proofErr w:type="gramEnd"/>
      <w:r w:rsidRPr="00AA5ECB">
        <w:rPr>
          <w:color w:val="000000"/>
        </w:rPr>
        <w:t xml:space="preserve"> types. As in Experiment 1A, we first compare JOL/recall percentages across highlight and no-highlight pair types and then compare the within-subject highlight pairs relative to the control group. </w:t>
      </w:r>
      <w:r w:rsidR="00D3386A">
        <w:rPr>
          <w:color w:val="000000"/>
        </w:rPr>
        <w:t>First, a</w:t>
      </w:r>
      <w:r w:rsidRPr="00AA5ECB">
        <w:rPr>
          <w:color w:val="000000"/>
        </w:rPr>
        <w:t xml:space="preserve">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w:t>
      </w:r>
      <w:r w:rsidRPr="00AA5ECB">
        <w:rPr>
          <w:color w:val="000000"/>
        </w:rPr>
        <w:lastRenderedPageBreak/>
        <w:t xml:space="preserve">percentages were greatest for forward pairs (64.87), followed by symmetrical pairs (60.88), backward pairs (45.06), and unrelated pairs (15.90). All pair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2CAEEE0E"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.59, indicating an illusion of competence pattern</w:t>
      </w:r>
      <w:r w:rsidR="00AF0C86">
        <w:rPr>
          <w:color w:val="000000"/>
        </w:rPr>
        <w:t xml:space="preserve"> when collapsing across highlight groups</w:t>
      </w:r>
      <w:r w:rsidRPr="00AA5ECB">
        <w:rPr>
          <w:color w:val="000000"/>
        </w:rPr>
        <w:t xml:space="preserve">.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1C143E52" w:rsidR="00AA5ECB" w:rsidRPr="00AA5ECB" w:rsidRDefault="00AA5ECB" w:rsidP="00AA5ECB">
      <w:pPr>
        <w:spacing w:line="480" w:lineRule="auto"/>
        <w:contextualSpacing/>
        <w:textAlignment w:val="baseline"/>
        <w:rPr>
          <w:color w:val="000000"/>
        </w:rPr>
      </w:pPr>
      <w:r w:rsidRPr="00AA5ECB">
        <w:rPr>
          <w:color w:val="000000"/>
        </w:rPr>
        <w:tab/>
      </w:r>
      <w:commentRangeStart w:id="9"/>
      <w:r w:rsidRPr="00D3386A">
        <w:rPr>
          <w:color w:val="3494BA" w:themeColor="accent1"/>
        </w:rPr>
        <w:t xml:space="preserve">We then </w:t>
      </w:r>
      <w:r w:rsidR="00D3386A" w:rsidRPr="00D3386A">
        <w:rPr>
          <w:color w:val="3494BA" w:themeColor="accent1"/>
        </w:rPr>
        <w:t xml:space="preserve">used a set of mixed ANOVAs </w:t>
      </w:r>
      <w:commentRangeEnd w:id="9"/>
      <w:r w:rsidR="00E540FF">
        <w:rPr>
          <w:rStyle w:val="CommentReference"/>
        </w:rPr>
        <w:commentReference w:id="9"/>
      </w:r>
      <w:r w:rsidR="00D3386A">
        <w:rPr>
          <w:color w:val="000000"/>
        </w:rPr>
        <w:t xml:space="preserve">to </w:t>
      </w:r>
      <w:r w:rsidRPr="00AA5ECB">
        <w:rPr>
          <w:color w:val="000000"/>
        </w:rPr>
        <w:t xml:space="preserve">compare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r w:rsidR="00DB2BB0" w:rsidRPr="00AA5ECB">
        <w:rPr>
          <w:color w:val="000000"/>
        </w:rPr>
        <w:t>control</w:t>
      </w:r>
      <w:r w:rsidR="00DB2BB0">
        <w:rPr>
          <w:color w:val="000000"/>
        </w:rPr>
        <w:t>-</w:t>
      </w:r>
      <w:r w:rsidRPr="00AA5ECB">
        <w:rPr>
          <w:color w:val="000000"/>
        </w:rPr>
        <w:t xml:space="preserve">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commentRangeStart w:id="10"/>
      <w:r w:rsidRPr="00AA5ECB">
        <w:rPr>
          <w:b/>
          <w:bCs/>
          <w:color w:val="000000"/>
        </w:rPr>
        <w:t>Discussion</w:t>
      </w:r>
      <w:commentRangeEnd w:id="10"/>
      <w:r w:rsidR="00CD5871">
        <w:rPr>
          <w:rStyle w:val="CommentReference"/>
        </w:rPr>
        <w:commentReference w:id="10"/>
      </w:r>
    </w:p>
    <w:p w14:paraId="63DC21C9" w14:textId="5DC71725" w:rsidR="00FA70A1" w:rsidRPr="00EF0A4F" w:rsidRDefault="00E60B48" w:rsidP="00EF0A4F">
      <w:pPr>
        <w:spacing w:line="480" w:lineRule="auto"/>
        <w:ind w:firstLine="720"/>
        <w:contextualSpacing/>
        <w:textAlignment w:val="baseline"/>
        <w:rPr>
          <w:color w:val="3494BA" w:themeColor="accent1"/>
        </w:rPr>
      </w:pPr>
      <w:r>
        <w:t>First</w:t>
      </w:r>
      <w:r w:rsidR="00EE25A0">
        <w:t xml:space="preserve">, </w:t>
      </w:r>
      <w:r w:rsidR="00C474C2">
        <w:t xml:space="preserve">Experiment 1A </w:t>
      </w:r>
      <w:r w:rsidR="00040324">
        <w:t>did not show evidence consistent with</w:t>
      </w:r>
      <w:r w:rsidR="00854E03">
        <w:t xml:space="preserve"> font-size effect</w:t>
      </w:r>
      <w:r w:rsidR="000516C3">
        <w:t xml:space="preserve"> </w:t>
      </w:r>
      <w:r w:rsidR="00E373B2" w:rsidRPr="00CD5871">
        <w:rPr>
          <w:color w:val="3494BA" w:themeColor="accent1"/>
        </w:rPr>
        <w:t xml:space="preserve">as originally reported </w:t>
      </w:r>
      <w:r w:rsidR="00854E03" w:rsidRPr="00CD5871">
        <w:rPr>
          <w:color w:val="3494BA" w:themeColor="accent1"/>
        </w:rPr>
        <w:t>by</w:t>
      </w:r>
      <w:r w:rsidR="000516C3" w:rsidRPr="00CD5871">
        <w:rPr>
          <w:color w:val="3494BA" w:themeColor="accent1"/>
        </w:rPr>
        <w:t xml:space="preserve"> Rhodes and Castel (2008)</w:t>
      </w:r>
      <w:r>
        <w:t xml:space="preserve">, </w:t>
      </w:r>
      <w:r w:rsidRPr="00CD5871">
        <w:rPr>
          <w:color w:val="3494BA" w:themeColor="accent1"/>
        </w:rPr>
        <w:t xml:space="preserve">as </w:t>
      </w:r>
      <w:r w:rsidR="00E373B2" w:rsidRPr="00CD5871">
        <w:rPr>
          <w:color w:val="3494BA" w:themeColor="accent1"/>
        </w:rPr>
        <w:t xml:space="preserve">the expected interaction was not observed. Instead, relative to small font, </w:t>
      </w:r>
      <w:r w:rsidRPr="00CD5871">
        <w:rPr>
          <w:color w:val="3494BA" w:themeColor="accent1"/>
        </w:rPr>
        <w:t xml:space="preserve">large font </w:t>
      </w:r>
      <w:r w:rsidR="00CA753F" w:rsidRPr="00CD5871">
        <w:rPr>
          <w:color w:val="3494BA" w:themeColor="accent1"/>
        </w:rPr>
        <w:t xml:space="preserve">increased both JOLs and </w:t>
      </w:r>
      <w:r w:rsidR="00E373B2" w:rsidRPr="00CD5871">
        <w:rPr>
          <w:color w:val="3494BA" w:themeColor="accent1"/>
        </w:rPr>
        <w:t>correct recall.</w:t>
      </w:r>
      <w:r w:rsidR="001D1D57" w:rsidRPr="00CD5871">
        <w:rPr>
          <w:color w:val="3494BA" w:themeColor="accent1"/>
        </w:rPr>
        <w:t xml:space="preserve"> </w:t>
      </w:r>
      <w:r w:rsidR="00EF0A4F">
        <w:rPr>
          <w:color w:val="3494BA" w:themeColor="accent1"/>
        </w:rPr>
        <w:t>Furthermore,</w:t>
      </w:r>
      <w:r w:rsidR="00BC5BB9">
        <w:rPr>
          <w:color w:val="3494BA" w:themeColor="accent1"/>
        </w:rPr>
        <w:t xml:space="preserve"> </w:t>
      </w:r>
      <w:r w:rsidR="00EF0A4F">
        <w:rPr>
          <w:color w:val="3494BA" w:themeColor="accent1"/>
        </w:rPr>
        <w:t xml:space="preserve">while large </w:t>
      </w:r>
      <w:r w:rsidR="00EF0A4F">
        <w:rPr>
          <w:color w:val="3494BA" w:themeColor="accent1"/>
        </w:rPr>
        <w:lastRenderedPageBreak/>
        <w:t>font did increase JOLs, the</w:t>
      </w:r>
      <w:r w:rsidR="00BC5BB9">
        <w:rPr>
          <w:color w:val="3494BA" w:themeColor="accent1"/>
        </w:rPr>
        <w:t xml:space="preserve"> magnitude of this effect for JOLs was reduced relative to Rhodes and Castel</w:t>
      </w:r>
      <w:r w:rsidR="00EF0A4F">
        <w:rPr>
          <w:color w:val="3494BA" w:themeColor="accent1"/>
        </w:rPr>
        <w:t xml:space="preserve">. </w:t>
      </w:r>
      <w:r w:rsidR="00BC5BB9">
        <w:rPr>
          <w:color w:val="3494BA" w:themeColor="accent1"/>
        </w:rPr>
        <w:t>Finally</w:t>
      </w:r>
      <w:r w:rsidRPr="00CD5871">
        <w:rPr>
          <w:color w:val="3494BA" w:themeColor="accent1"/>
        </w:rPr>
        <w:t xml:space="preserve">, </w:t>
      </w:r>
      <w:r w:rsidR="00C474C2" w:rsidRPr="00CD5871">
        <w:rPr>
          <w:color w:val="3494BA" w:themeColor="accent1"/>
        </w:rPr>
        <w:t xml:space="preserve">no differences </w:t>
      </w:r>
      <w:r w:rsidRPr="00CD5871">
        <w:rPr>
          <w:color w:val="3494BA" w:themeColor="accent1"/>
        </w:rPr>
        <w:t xml:space="preserve">were detected between either large or small </w:t>
      </w:r>
      <w:r w:rsidR="00EF0A4F">
        <w:rPr>
          <w:color w:val="3494BA" w:themeColor="accent1"/>
        </w:rPr>
        <w:t xml:space="preserve">font </w:t>
      </w:r>
      <w:r w:rsidRPr="00CD5871">
        <w:rPr>
          <w:color w:val="3494BA" w:themeColor="accent1"/>
        </w:rPr>
        <w:t>pairs and</w:t>
      </w:r>
      <w:r w:rsidR="00C474C2" w:rsidRPr="00CD5871">
        <w:rPr>
          <w:color w:val="3494BA" w:themeColor="accent1"/>
        </w:rPr>
        <w:t xml:space="preserve"> </w:t>
      </w:r>
      <w:r w:rsidRPr="00CD5871">
        <w:rPr>
          <w:color w:val="3494BA" w:themeColor="accent1"/>
        </w:rPr>
        <w:t>the</w:t>
      </w:r>
      <w:r w:rsidR="00C474C2" w:rsidRPr="00CD5871">
        <w:rPr>
          <w:color w:val="3494BA" w:themeColor="accent1"/>
        </w:rPr>
        <w:t xml:space="preserve"> control group.</w:t>
      </w:r>
      <w:r w:rsidR="00C474C2">
        <w:t xml:space="preserve"> </w:t>
      </w:r>
      <w:r w:rsidR="00854E03" w:rsidRPr="00CD5871">
        <w:rPr>
          <w:color w:val="3494BA" w:themeColor="accent1"/>
        </w:rPr>
        <w:t xml:space="preserve">Thus, </w:t>
      </w:r>
      <w:r w:rsidR="00CD5871" w:rsidRPr="00CD5871">
        <w:rPr>
          <w:color w:val="3494BA" w:themeColor="accent1"/>
        </w:rPr>
        <w:t xml:space="preserve">although </w:t>
      </w:r>
      <w:r w:rsidR="00854E03" w:rsidRPr="00CD5871">
        <w:rPr>
          <w:color w:val="3494BA" w:themeColor="accent1"/>
        </w:rPr>
        <w:t xml:space="preserve">large font </w:t>
      </w:r>
      <w:r w:rsidR="00CD5871" w:rsidRPr="00CD5871">
        <w:rPr>
          <w:color w:val="3494BA" w:themeColor="accent1"/>
        </w:rPr>
        <w:t>resulted in an increase to JOLs</w:t>
      </w:r>
      <w:r w:rsidR="00EF0A4F">
        <w:rPr>
          <w:color w:val="3494BA" w:themeColor="accent1"/>
        </w:rPr>
        <w:t xml:space="preserve"> relative to small font</w:t>
      </w:r>
      <w:r w:rsidR="00CD5871" w:rsidRPr="00CD5871">
        <w:rPr>
          <w:color w:val="3494BA" w:themeColor="accent1"/>
        </w:rPr>
        <w:t xml:space="preserve">, it </w:t>
      </w:r>
      <w:r w:rsidR="00854E03" w:rsidRPr="00CD5871">
        <w:rPr>
          <w:color w:val="3494BA" w:themeColor="accent1"/>
        </w:rPr>
        <w:t>did not selectively increase JOLs without</w:t>
      </w:r>
      <w:r w:rsidR="00CD5871" w:rsidRPr="00CD5871">
        <w:rPr>
          <w:color w:val="3494BA" w:themeColor="accent1"/>
        </w:rPr>
        <w:t xml:space="preserve"> also</w:t>
      </w:r>
      <w:r w:rsidR="00854E03" w:rsidRPr="00CD5871">
        <w:rPr>
          <w:color w:val="3494BA" w:themeColor="accent1"/>
        </w:rPr>
        <w:t xml:space="preserve"> affecting recall</w:t>
      </w:r>
      <w:r w:rsidR="00EF0A4F">
        <w:rPr>
          <w:color w:val="3494BA" w:themeColor="accent1"/>
        </w:rPr>
        <w:t xml:space="preserve"> as is typically observed</w:t>
      </w:r>
      <w:r w:rsidR="00854E03" w:rsidRPr="00CD5871">
        <w:rPr>
          <w:color w:val="3494BA" w:themeColor="accent1"/>
        </w:rPr>
        <w:t xml:space="preserve">. </w:t>
      </w:r>
      <w:r w:rsidR="00EF0A4F">
        <w:t>Second</w:t>
      </w:r>
      <w:r>
        <w:t>, t</w:t>
      </w:r>
      <w:r w:rsidR="00C474C2">
        <w:t>o test</w:t>
      </w:r>
      <w:r>
        <w:t xml:space="preserve"> the effects of</w:t>
      </w:r>
      <w:r w:rsidR="00C474C2">
        <w:t xml:space="preserve"> other types of perceptual manipulations on JOLs and recall, we introduced </w:t>
      </w:r>
      <w:r>
        <w:t xml:space="preserve">a </w:t>
      </w:r>
      <w:r w:rsidR="00C474C2">
        <w:t xml:space="preserve">highlighting </w:t>
      </w:r>
      <w:r>
        <w:t xml:space="preserve">manipulation </w:t>
      </w:r>
      <w:r w:rsidR="00C474C2">
        <w:t xml:space="preserve">in </w:t>
      </w:r>
      <w:r w:rsidR="00C85819">
        <w:t>E</w:t>
      </w:r>
      <w:r w:rsidR="00C474C2">
        <w:t xml:space="preserve">xperiment 1B. </w:t>
      </w:r>
      <w:r w:rsidR="00854E03">
        <w:t>H</w:t>
      </w:r>
      <w:r w:rsidR="00C474C2">
        <w:t>owever</w:t>
      </w:r>
      <w:r>
        <w:t>,</w:t>
      </w:r>
      <w:r w:rsidR="00C474C2">
        <w:t xml:space="preserve"> th</w:t>
      </w:r>
      <w:r w:rsidR="00854E03">
        <w:t>e presence of highlighting did not affect JOLs or recall relative to non-highlighted pairs or the control group.</w:t>
      </w:r>
    </w:p>
    <w:p w14:paraId="054E71DE" w14:textId="13981974" w:rsidR="00C474C2" w:rsidRPr="00C474C2" w:rsidRDefault="00BC5BB9" w:rsidP="00C474C2">
      <w:pPr>
        <w:spacing w:line="480" w:lineRule="auto"/>
        <w:ind w:firstLine="720"/>
        <w:contextualSpacing/>
        <w:textAlignment w:val="baseline"/>
      </w:pPr>
      <w:r>
        <w:t>T</w:t>
      </w:r>
      <w:r w:rsidR="00CD5871">
        <w:t>hese discrepancies regarding the</w:t>
      </w:r>
      <w:r w:rsidR="00FB0167">
        <w:t xml:space="preserve"> font-size effect in Experiment 1A </w:t>
      </w:r>
      <w:r w:rsidR="00B91F6B">
        <w:t xml:space="preserve">may </w:t>
      </w:r>
      <w:r>
        <w:t>have resulted from</w:t>
      </w:r>
      <w:r w:rsidR="00FB0167">
        <w:t xml:space="preserve"> our inclusion of both related and unrelated stimuli pairs</w:t>
      </w:r>
      <w:r w:rsidR="00B91F6B">
        <w:t xml:space="preserve"> within a mixed list</w:t>
      </w:r>
      <w:r w:rsidR="00FB0167">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lastRenderedPageBreak/>
        <w:t>Participants</w:t>
      </w:r>
    </w:p>
    <w:p w14:paraId="3BBA8342" w14:textId="15D7C28A"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w:t>
      </w:r>
      <w:r w:rsidR="00875493" w:rsidRPr="00875493">
        <w:rPr>
          <w:color w:val="3494BA" w:themeColor="accent1"/>
        </w:rPr>
        <w:t>Prolific recruitment followed the same guidelines used in Experiment 1.</w:t>
      </w:r>
      <w:r w:rsidR="00875493">
        <w:rPr>
          <w:color w:val="000000"/>
        </w:rPr>
        <w:t xml:space="preserve"> </w:t>
      </w:r>
      <w:r w:rsidR="00AA5ECB" w:rsidRPr="00AA5ECB">
        <w:rPr>
          <w:color w:val="000000"/>
        </w:rPr>
        <w:t xml:space="preserve">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w:t>
      </w:r>
      <w:r w:rsidR="003F45A1">
        <w:rPr>
          <w:color w:val="000000"/>
        </w:rPr>
        <w:t xml:space="preserve"> </w:t>
      </w:r>
      <w:r w:rsidR="00AA5ECB" w:rsidRPr="00AA5ECB">
        <w:rPr>
          <w:color w:val="000000"/>
        </w:rPr>
        <w:t>in the font-size group and 3</w:t>
      </w:r>
      <w:r w:rsidR="00933812">
        <w:rPr>
          <w:color w:val="000000"/>
        </w:rPr>
        <w:t>2</w:t>
      </w:r>
      <w:r w:rsidR="003F45A1">
        <w:rPr>
          <w:color w:val="000000"/>
        </w:rPr>
        <w:t xml:space="preserve"> </w:t>
      </w:r>
      <w:r w:rsidR="00AA5ECB" w:rsidRPr="00AA5ECB">
        <w:rPr>
          <w:color w:val="000000"/>
        </w:rPr>
        <w:t>participants in the control group</w:t>
      </w:r>
      <w:r w:rsidR="00CA753F" w:rsidRPr="002501BC">
        <w:rPr>
          <w:color w:val="3494BA" w:themeColor="accent1"/>
        </w:rPr>
        <w:t>.</w:t>
      </w:r>
      <w:r w:rsidR="00293FC8" w:rsidRPr="002501BC">
        <w:rPr>
          <w:color w:val="3494BA" w:themeColor="accent1"/>
        </w:rPr>
        <w:t xml:space="preserve"> </w:t>
      </w:r>
      <w:r w:rsidR="002501BC" w:rsidRPr="002501BC">
        <w:rPr>
          <w:color w:val="3494BA" w:themeColor="accent1"/>
        </w:rPr>
        <w:t>A sensitivity analys</w:t>
      </w:r>
      <w:r w:rsidR="00875493">
        <w:rPr>
          <w:color w:val="3494BA" w:themeColor="accent1"/>
        </w:rPr>
        <w:t>i</w:t>
      </w:r>
      <w:r w:rsidR="002501BC" w:rsidRPr="002501BC">
        <w:rPr>
          <w:color w:val="3494BA" w:themeColor="accent1"/>
        </w:rPr>
        <w:t xml:space="preserve">s conducted in </w:t>
      </w:r>
      <w:r w:rsidR="002501BC" w:rsidRPr="002501BC">
        <w:rPr>
          <w:i/>
          <w:iCs/>
          <w:color w:val="3494BA" w:themeColor="accent1"/>
        </w:rPr>
        <w:t>G*Power</w:t>
      </w:r>
      <w:r w:rsidR="00FA25AD">
        <w:rPr>
          <w:i/>
          <w:iCs/>
          <w:color w:val="3494BA" w:themeColor="accent1"/>
        </w:rPr>
        <w:t xml:space="preserve"> 3</w:t>
      </w:r>
      <w:r w:rsidR="002501BC" w:rsidRPr="002501BC">
        <w:rPr>
          <w:color w:val="3494BA" w:themeColor="accent1"/>
        </w:rPr>
        <w:t xml:space="preserve"> confirmed that this sample</w:t>
      </w:r>
      <w:r w:rsidR="00CB48CD">
        <w:rPr>
          <w:color w:val="3494BA" w:themeColor="accent1"/>
        </w:rPr>
        <w:t xml:space="preserve"> was sufficient to detect medium main effects and interactions (</w:t>
      </w:r>
      <w:r w:rsidR="00CB48CD" w:rsidRPr="00CB48CD">
        <w:rPr>
          <w:i/>
          <w:iCs/>
          <w:color w:val="3494BA" w:themeColor="accent1"/>
        </w:rPr>
        <w:t>d</w:t>
      </w:r>
      <w:r w:rsidR="00CB48CD">
        <w:rPr>
          <w:color w:val="3494BA" w:themeColor="accent1"/>
        </w:rPr>
        <w:t xml:space="preserve"> = 0.35).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xml:space="preserve">). All participants were native English speakers </w:t>
      </w:r>
      <w:r w:rsidR="003F45A1">
        <w:rPr>
          <w:color w:val="000000"/>
        </w:rPr>
        <w:t xml:space="preserve">from </w:t>
      </w:r>
      <w:r w:rsidR="00AA5ECB" w:rsidRPr="00AA5ECB">
        <w:rPr>
          <w:color w:val="000000"/>
        </w:rPr>
        <w:t>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11F0AE4E"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342B34">
        <w:rPr>
          <w:color w:val="000000"/>
        </w:rPr>
        <w:t>5</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22A4DEA3"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342B34">
        <w:rPr>
          <w:color w:val="000000"/>
        </w:rPr>
        <w:t xml:space="preserve">6 </w:t>
      </w:r>
      <w:r w:rsidR="00342B34" w:rsidRPr="00342B34">
        <w:rPr>
          <w:color w:val="3494BA" w:themeColor="accent1"/>
        </w:rPr>
        <w:t>(see Table A4 for gammas)</w:t>
      </w:r>
      <w:r w:rsidR="004F4584">
        <w:rPr>
          <w:color w:val="000000"/>
        </w:rPr>
        <w:t xml:space="preserve">. </w:t>
      </w:r>
      <w:r w:rsidRPr="00AA5ECB">
        <w:rPr>
          <w:color w:val="000000"/>
        </w:rPr>
        <w:t xml:space="preserve">We first compared font size differences in the mixed </w:t>
      </w:r>
      <w:r w:rsidRPr="00AA5ECB">
        <w:rPr>
          <w:color w:val="000000"/>
        </w:rPr>
        <w:lastRenderedPageBreak/>
        <w:t xml:space="preserve">group using a 2(Measure) × 2(Font Size) within-subject ANOVA. Across </w:t>
      </w:r>
      <w:r w:rsidR="00AF0C86">
        <w:rPr>
          <w:color w:val="000000"/>
        </w:rPr>
        <w:t>font sizes</w:t>
      </w:r>
      <w:r w:rsidRPr="00AA5ECB">
        <w:rPr>
          <w:color w:val="000000"/>
        </w:rPr>
        <w:t xml:space="preserve">, JOLs were not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w:t>
      </w:r>
      <w:r w:rsidRPr="00AF0C86">
        <w:rPr>
          <w:color w:val="3494BA" w:themeColor="accent1"/>
        </w:rPr>
        <w:t xml:space="preserve">but </w:t>
      </w:r>
      <w:r w:rsidR="00AF0C86" w:rsidRPr="00AF0C86">
        <w:rPr>
          <w:color w:val="3494BA" w:themeColor="accent1"/>
        </w:rPr>
        <w:t xml:space="preserve">collapsed across measure, mean </w:t>
      </w:r>
      <w:r w:rsidRPr="00AF0C86">
        <w:rPr>
          <w:color w:val="3494BA" w:themeColor="accent1"/>
        </w:rPr>
        <w:t xml:space="preserve">JOLs/recall rates were greater for large than small fonts </w:t>
      </w:r>
      <w:r w:rsidR="00535151" w:rsidRPr="00AF0C86">
        <w:rPr>
          <w:color w:val="3494BA" w:themeColor="accent1"/>
        </w:rPr>
        <w:t>r</w:t>
      </w:r>
      <w:r w:rsidR="00535151" w:rsidRPr="00535151">
        <w:rPr>
          <w:color w:val="3494BA" w:themeColor="accent1"/>
        </w:rPr>
        <w:t>espectively</w:t>
      </w:r>
      <w:r w:rsidR="00535151">
        <w:rPr>
          <w:color w:val="000000"/>
        </w:rPr>
        <w:t xml:space="preserve"> </w:t>
      </w:r>
      <w:r w:rsidRPr="00AA5ECB">
        <w:rPr>
          <w:color w:val="000000"/>
        </w:rPr>
        <w:t xml:space="preserve">(27.00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081D19DD" w:rsidR="00AA5ECB" w:rsidRPr="00AA5ECB" w:rsidRDefault="00AA5ECB" w:rsidP="00AA5ECB">
      <w:pPr>
        <w:spacing w:line="480" w:lineRule="auto"/>
        <w:contextualSpacing/>
        <w:textAlignment w:val="baseline"/>
        <w:rPr>
          <w:color w:val="000000"/>
        </w:rPr>
      </w:pPr>
      <w:r w:rsidRPr="00AA5ECB">
        <w:rPr>
          <w:color w:val="000000"/>
        </w:rPr>
        <w:tab/>
      </w:r>
      <w:r w:rsidR="00875493">
        <w:rPr>
          <w:color w:val="3494BA" w:themeColor="accent1"/>
        </w:rPr>
        <w:t>Next, u</w:t>
      </w:r>
      <w:r w:rsidR="00970B2A" w:rsidRPr="00875493">
        <w:rPr>
          <w:color w:val="3494BA" w:themeColor="accent1"/>
        </w:rPr>
        <w:t xml:space="preserve">sing a pair of mixed ANOVAs, we next compared JOLs and recall of large font and small font </w:t>
      </w:r>
      <w:r w:rsidR="00875493" w:rsidRPr="00875493">
        <w:rPr>
          <w:color w:val="3494BA" w:themeColor="accent1"/>
        </w:rPr>
        <w:t>to the control group. Overall, relative</w:t>
      </w:r>
      <w:r w:rsidRPr="00875493">
        <w:rPr>
          <w:color w:val="3494BA" w:themeColor="accent1"/>
        </w:rPr>
        <w:t xml:space="preserve"> </w:t>
      </w:r>
      <w:r w:rsidRPr="00AA5ECB">
        <w:rPr>
          <w:color w:val="000000"/>
        </w:rPr>
        <w:t xml:space="preserve">to the control group pairs, JOLs </w:t>
      </w:r>
      <w:r w:rsidR="002501BC">
        <w:rPr>
          <w:color w:val="000000"/>
        </w:rPr>
        <w:t>exceeded</w:t>
      </w:r>
      <w:r w:rsidRPr="00AA5ECB">
        <w:rPr>
          <w:color w:val="000000"/>
        </w:rPr>
        <w:t xml:space="preserve">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7B666FD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r w:rsidR="00DB2BB0">
        <w:rPr>
          <w:color w:val="000000"/>
        </w:rPr>
        <w:t>control-</w:t>
      </w:r>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r w:rsidR="00DB2BB0">
        <w:rPr>
          <w:color w:val="000000"/>
        </w:rPr>
        <w:t>pure-</w:t>
      </w:r>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395343F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650106">
        <w:rPr>
          <w:color w:val="000000"/>
        </w:rPr>
        <w:t>40</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commentRangeStart w:id="11"/>
      <w:r w:rsidR="00873E68">
        <w:rPr>
          <w:color w:val="000000"/>
        </w:rPr>
        <w:t xml:space="preserve">. </w:t>
      </w:r>
      <w:r w:rsidR="00650106" w:rsidRPr="00650106">
        <w:rPr>
          <w:color w:val="3494BA" w:themeColor="accent1"/>
        </w:rPr>
        <w:t>Data for three participants were omitted using the same exclusion criteria as Experiment 2A</w:t>
      </w:r>
      <w:r w:rsidR="00650106">
        <w:rPr>
          <w:color w:val="000000"/>
        </w:rPr>
        <w:t>.</w:t>
      </w:r>
      <w:commentRangeEnd w:id="11"/>
      <w:r w:rsidR="000D4E29">
        <w:rPr>
          <w:rStyle w:val="CommentReference"/>
        </w:rPr>
        <w:commentReference w:id="11"/>
      </w:r>
      <w:r w:rsidR="00650106">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 xml:space="preserve">were native English speakers </w:t>
      </w:r>
      <w:r w:rsidR="003F45A1" w:rsidRPr="003F45A1">
        <w:rPr>
          <w:color w:val="000000"/>
        </w:rPr>
        <w:t xml:space="preserve">from either </w:t>
      </w:r>
      <w:r w:rsidR="00BD7ECB" w:rsidRPr="00AA5ECB">
        <w:rPr>
          <w:color w:val="000000"/>
        </w:rPr>
        <w:t>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13F637CF" w:rsidR="00AA5ECB" w:rsidRPr="00AA5ECB" w:rsidRDefault="00AA5ECB" w:rsidP="00AA5ECB">
      <w:pPr>
        <w:spacing w:line="480" w:lineRule="auto"/>
        <w:contextualSpacing/>
        <w:textAlignment w:val="baseline"/>
        <w:rPr>
          <w:color w:val="000000"/>
        </w:rPr>
      </w:pPr>
      <w:r w:rsidRPr="00AA5ECB">
        <w:rPr>
          <w:color w:val="000000"/>
        </w:rPr>
        <w:tab/>
        <w:t>Figure 4 plots mean JOL and cued-recall percentages for highlight and no-highlight pairs and control-group pairs. Highlight differences were first compared using a 2(Measure</w:t>
      </w:r>
      <w:r w:rsidR="00F1781B">
        <w:rPr>
          <w:color w:val="000000"/>
        </w:rPr>
        <w:t>: JOL vs Recall</w:t>
      </w:r>
      <w:r w:rsidRPr="00AA5ECB">
        <w:rPr>
          <w:color w:val="000000"/>
        </w:rPr>
        <w:t>) × 2(Highlight</w:t>
      </w:r>
      <w:r w:rsidR="00F1781B">
        <w:rPr>
          <w:color w:val="000000"/>
        </w:rPr>
        <w:t>: Highlight vs. No-Highlight</w:t>
      </w:r>
      <w:r w:rsidRPr="00AA5ECB">
        <w:rPr>
          <w:color w:val="000000"/>
        </w:rPr>
        <w:t xml:space="preserve">) within-subject ANOVA. Consistent with an illusion of competence pattern, </w:t>
      </w:r>
      <w:r w:rsidR="00AF0C86" w:rsidRPr="00AF0C86">
        <w:rPr>
          <w:color w:val="3494BA" w:themeColor="accent1"/>
        </w:rPr>
        <w:t>a main effect of Measure was detected</w:t>
      </w:r>
      <w:r w:rsidR="00AF0C86">
        <w:rPr>
          <w:color w:val="000000"/>
        </w:rPr>
        <w:t xml:space="preserve">, such that </w:t>
      </w:r>
      <w:r w:rsidRPr="00AA5ECB">
        <w:rPr>
          <w:color w:val="000000"/>
        </w:rPr>
        <w:t xml:space="preserve">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2F25AB7B"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to the control group</w:t>
      </w:r>
      <w:r w:rsidRPr="00A81486">
        <w:rPr>
          <w:color w:val="3494BA" w:themeColor="accent1"/>
        </w:rPr>
        <w:t>.</w:t>
      </w:r>
      <w:r w:rsidR="00F1781B" w:rsidRPr="00A81486">
        <w:rPr>
          <w:color w:val="3494BA" w:themeColor="accent1"/>
        </w:rPr>
        <w:t xml:space="preserve"> </w:t>
      </w:r>
      <w:commentRangeStart w:id="12"/>
      <w:r w:rsidR="00A81486" w:rsidRPr="00A81486">
        <w:rPr>
          <w:color w:val="3494BA" w:themeColor="accent1"/>
        </w:rPr>
        <w:t>A pair of mixed ANOVAs</w:t>
      </w:r>
      <w:r w:rsidR="00A81486">
        <w:rPr>
          <w:color w:val="3494BA" w:themeColor="accent1"/>
        </w:rPr>
        <w:t xml:space="preserve"> </w:t>
      </w:r>
      <w:r w:rsidR="00F1781B" w:rsidRPr="00F1781B">
        <w:rPr>
          <w:color w:val="3494BA" w:themeColor="accent1"/>
        </w:rPr>
        <w:t xml:space="preserve">revealed that </w:t>
      </w:r>
      <w:commentRangeEnd w:id="12"/>
      <w:r w:rsidR="00A81486">
        <w:rPr>
          <w:rStyle w:val="CommentReference"/>
        </w:rPr>
        <w:commentReference w:id="12"/>
      </w:r>
      <w:r w:rsidRPr="00AA5ECB">
        <w:rPr>
          <w:color w:val="000000"/>
        </w:rPr>
        <w:t xml:space="preserve">JOLs exceeded recall rates both in the highlight/control </w:t>
      </w:r>
      <w:r w:rsidR="00DB2BB0">
        <w:rPr>
          <w:color w:val="000000"/>
        </w:rPr>
        <w:t>comparison</w:t>
      </w:r>
      <w:r w:rsidR="00DB2BB0" w:rsidRPr="00AA5ECB">
        <w:rPr>
          <w:color w:val="000000"/>
        </w:rPr>
        <w:t xml:space="preserve"> </w:t>
      </w:r>
      <w:r w:rsidRPr="00AA5ECB">
        <w:rPr>
          <w:color w:val="000000"/>
        </w:rPr>
        <w:lastRenderedPageBreak/>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r w:rsidR="00DB2BB0">
        <w:rPr>
          <w:color w:val="000000"/>
        </w:rPr>
        <w:t>comparison</w:t>
      </w:r>
      <w:r w:rsidR="00DB2BB0" w:rsidRPr="00AA5ECB">
        <w:rPr>
          <w:color w:val="000000"/>
        </w:rPr>
        <w:t xml:space="preserve"> </w:t>
      </w:r>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commentRangeStart w:id="13"/>
      <w:r w:rsidRPr="00AA5ECB">
        <w:rPr>
          <w:b/>
          <w:bCs/>
          <w:color w:val="000000"/>
        </w:rPr>
        <w:t>Discussion</w:t>
      </w:r>
      <w:commentRangeEnd w:id="13"/>
      <w:r w:rsidR="005E389A">
        <w:rPr>
          <w:rStyle w:val="CommentReference"/>
        </w:rPr>
        <w:commentReference w:id="13"/>
      </w:r>
    </w:p>
    <w:p w14:paraId="1C9865A4" w14:textId="20BBFFD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r w:rsidR="00DB2BB0">
        <w:rPr>
          <w:color w:val="000000"/>
        </w:rPr>
        <w:t xml:space="preserve">in </w:t>
      </w:r>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345D10F1" w14:textId="6DBF09FF" w:rsidR="00D213F0" w:rsidRPr="00DC0C13" w:rsidRDefault="00C474C2" w:rsidP="00FF5CB3">
      <w:pPr>
        <w:spacing w:line="480" w:lineRule="auto"/>
        <w:ind w:firstLine="720"/>
        <w:contextualSpacing/>
        <w:textAlignment w:val="baseline"/>
        <w:rPr>
          <w:color w:val="3494BA" w:themeColor="accent1"/>
        </w:rPr>
      </w:pPr>
      <w:r w:rsidRPr="00667FCD">
        <w:rPr>
          <w:color w:val="3494BA" w:themeColor="accent1"/>
        </w:rPr>
        <w:t>Because</w:t>
      </w:r>
      <w:r w:rsidR="00D555CF" w:rsidRPr="00667FCD">
        <w:rPr>
          <w:color w:val="3494BA" w:themeColor="accent1"/>
        </w:rPr>
        <w:t xml:space="preserve"> </w:t>
      </w:r>
      <w:r w:rsidR="009C569A">
        <w:rPr>
          <w:color w:val="3494BA" w:themeColor="accent1"/>
        </w:rPr>
        <w:t xml:space="preserve">in experiments 1A and 2A, </w:t>
      </w:r>
      <w:r w:rsidR="00667FCD">
        <w:rPr>
          <w:color w:val="3494BA" w:themeColor="accent1"/>
        </w:rPr>
        <w:t>font-size only had a small effect on JOLs</w:t>
      </w:r>
      <w:r>
        <w:rPr>
          <w:color w:val="000000"/>
        </w:rPr>
        <w:t xml:space="preserve"> </w:t>
      </w:r>
      <w:r w:rsidR="00667FCD" w:rsidRPr="00667FCD">
        <w:rPr>
          <w:color w:val="3494BA" w:themeColor="accent1"/>
        </w:rPr>
        <w:t xml:space="preserve">compared to previous </w:t>
      </w:r>
      <w:r w:rsidR="009F255C">
        <w:rPr>
          <w:color w:val="3494BA" w:themeColor="accent1"/>
        </w:rPr>
        <w:t>studies</w:t>
      </w:r>
      <w:r w:rsidR="00667FCD" w:rsidRPr="00667FCD">
        <w:rPr>
          <w:color w:val="3494BA" w:themeColor="accent1"/>
        </w:rPr>
        <w:t xml:space="preserve"> (e.g., </w:t>
      </w:r>
      <w:r w:rsidR="00706974">
        <w:rPr>
          <w:color w:val="3494BA" w:themeColor="accent1"/>
        </w:rPr>
        <w:t xml:space="preserve">Mueller et al., 2014; </w:t>
      </w:r>
      <w:r w:rsidR="00667FCD" w:rsidRPr="00667FCD">
        <w:rPr>
          <w:color w:val="3494BA" w:themeColor="accent1"/>
        </w:rPr>
        <w:t>Rhodes &amp; Castel, 2008</w:t>
      </w:r>
      <w:r w:rsidR="00706974">
        <w:rPr>
          <w:color w:val="3494BA" w:themeColor="accent1"/>
        </w:rPr>
        <w:t>, etc.</w:t>
      </w:r>
      <w:r w:rsidR="00667FCD" w:rsidRPr="00667FCD">
        <w:rPr>
          <w:color w:val="3494BA" w:themeColor="accent1"/>
        </w:rPr>
        <w:t>) and no</w:t>
      </w:r>
      <w:r w:rsidR="00D555CF" w:rsidRPr="00667FCD">
        <w:rPr>
          <w:color w:val="3494BA" w:themeColor="accent1"/>
        </w:rPr>
        <w:t xml:space="preserve"> highlighting </w:t>
      </w:r>
      <w:r w:rsidRPr="00667FCD">
        <w:rPr>
          <w:color w:val="3494BA" w:themeColor="accent1"/>
        </w:rPr>
        <w:t>effect was observed</w:t>
      </w:r>
      <w:r w:rsidR="009F255C">
        <w:rPr>
          <w:color w:val="3494BA" w:themeColor="accent1"/>
        </w:rPr>
        <w:t xml:space="preserve"> in Experiments 1B or 2B</w:t>
      </w:r>
      <w:r>
        <w:rPr>
          <w:color w:val="000000"/>
        </w:rPr>
        <w:t>,</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 xml:space="preserve">Sans Forgetica is a specialized font </w:t>
      </w:r>
      <w:r w:rsidR="00BD2242" w:rsidRPr="00BD2242">
        <w:rPr>
          <w:color w:val="3494BA" w:themeColor="accent1"/>
        </w:rPr>
        <w:t xml:space="preserve">that was </w:t>
      </w:r>
      <w:r w:rsidR="00FF5CB3" w:rsidRPr="00BD2242">
        <w:rPr>
          <w:color w:val="3494BA" w:themeColor="accent1"/>
        </w:rPr>
        <w:t>developed</w:t>
      </w:r>
      <w:r w:rsidR="00BD2242" w:rsidRPr="00BD2242">
        <w:rPr>
          <w:color w:val="3494BA" w:themeColor="accent1"/>
        </w:rPr>
        <w:t xml:space="preserve"> in</w:t>
      </w:r>
      <w:r w:rsidR="009C569A" w:rsidRPr="00BD2242">
        <w:rPr>
          <w:color w:val="3494BA" w:themeColor="accent1"/>
        </w:rPr>
        <w:t xml:space="preserve"> </w:t>
      </w:r>
      <w:r w:rsidR="009C569A" w:rsidRPr="009C569A">
        <w:rPr>
          <w:color w:val="3494BA" w:themeColor="accent1"/>
        </w:rPr>
        <w:t xml:space="preserve">2018 </w:t>
      </w:r>
      <w:r w:rsidR="00FF5CB3">
        <w:rPr>
          <w:color w:val="000000"/>
        </w:rPr>
        <w:t xml:space="preserve">by researchers at Royal Melbourne Institute of Technology </w:t>
      </w:r>
      <w:r w:rsidR="00BD2242">
        <w:rPr>
          <w:color w:val="000000"/>
        </w:rPr>
        <w:t xml:space="preserve">to </w:t>
      </w:r>
      <w:r w:rsidR="00FF5CB3">
        <w:rPr>
          <w:color w:val="000000"/>
        </w:rPr>
        <w:t>aide with retention</w:t>
      </w:r>
      <w:r w:rsidR="00FB5D93">
        <w:rPr>
          <w:color w:val="000000"/>
        </w:rPr>
        <w:t xml:space="preserve"> (Earp, 2018)</w:t>
      </w:r>
      <w:r w:rsidR="00FF5CB3">
        <w:rPr>
          <w:color w:val="000000"/>
        </w:rPr>
        <w:t>. This font was purposely designed to be disfluent</w:t>
      </w:r>
      <w:r w:rsidR="003B0E7F">
        <w:rPr>
          <w:color w:val="000000"/>
        </w:rPr>
        <w:t xml:space="preserve"> and </w:t>
      </w:r>
      <w:r w:rsidR="00BD2242">
        <w:rPr>
          <w:color w:val="000000"/>
        </w:rPr>
        <w:t>uses</w:t>
      </w:r>
      <w:r w:rsidR="003B0E7F">
        <w:rPr>
          <w:color w:val="000000"/>
        </w:rPr>
        <w:t xml:space="preserve"> an italicized, </w:t>
      </w:r>
      <w:r w:rsidR="003E60EA">
        <w:rPr>
          <w:color w:val="000000"/>
        </w:rPr>
        <w:t>back-slanted</w:t>
      </w:r>
      <w:r w:rsidR="003B0E7F">
        <w:rPr>
          <w:color w:val="000000"/>
        </w:rPr>
        <w:t xml:space="preserve">, and hashed style </w:t>
      </w:r>
      <w:r w:rsidR="003B0E7F" w:rsidRPr="00DB40C1">
        <w:rPr>
          <w:color w:val="3494BA" w:themeColor="accent1"/>
        </w:rPr>
        <w:t>(</w:t>
      </w:r>
      <w:r w:rsidR="004D6517">
        <w:rPr>
          <w:color w:val="3494BA" w:themeColor="accent1"/>
        </w:rPr>
        <w:t xml:space="preserve">see </w:t>
      </w:r>
      <w:r w:rsidR="002501BC" w:rsidRPr="00DB40C1">
        <w:rPr>
          <w:color w:val="3494BA" w:themeColor="accent1"/>
        </w:rPr>
        <w:t xml:space="preserve">Figure </w:t>
      </w:r>
      <w:r w:rsidR="00DB40C1" w:rsidRPr="00DB40C1">
        <w:rPr>
          <w:color w:val="3494BA" w:themeColor="accent1"/>
        </w:rPr>
        <w:t>5</w:t>
      </w:r>
      <w:r w:rsidR="003B0E7F" w:rsidRPr="00DB40C1">
        <w:rPr>
          <w:color w:val="3494BA" w:themeColor="accent1"/>
        </w:rPr>
        <w:t>)</w:t>
      </w:r>
      <w:r w:rsidR="00FF5CB3" w:rsidRPr="00DB40C1">
        <w:rPr>
          <w:color w:val="3494BA" w:themeColor="accent1"/>
        </w:rPr>
        <w:t>,</w:t>
      </w:r>
      <w:r w:rsidR="003B0E7F" w:rsidRPr="00DB40C1">
        <w:rPr>
          <w:color w:val="3494BA" w:themeColor="accent1"/>
        </w:rPr>
        <w:t xml:space="preserve"> </w:t>
      </w:r>
      <w:r w:rsidR="003B0E7F">
        <w:rPr>
          <w:color w:val="000000"/>
        </w:rPr>
        <w:t>which has been suggested to encourage deeper encoding due to i</w:t>
      </w:r>
      <w:r w:rsidR="003E60EA">
        <w:rPr>
          <w:color w:val="000000"/>
        </w:rPr>
        <w:t>t</w:t>
      </w:r>
      <w:r w:rsidR="003B0E7F">
        <w:rPr>
          <w:color w:val="000000"/>
        </w:rPr>
        <w:t>s perceptual difficulty</w:t>
      </w:r>
      <w:r w:rsidR="00FF5CB3">
        <w:rPr>
          <w:color w:val="000000"/>
        </w:rPr>
        <w:t xml:space="preserve"> (i.e., </w:t>
      </w:r>
      <w:r w:rsidR="00FF5CB3">
        <w:rPr>
          <w:color w:val="000000"/>
        </w:rPr>
        <w:lastRenderedPageBreak/>
        <w:t xml:space="preserve">desirable difficulties; </w:t>
      </w:r>
      <w:r w:rsidR="00FF5CB3" w:rsidRPr="00312019">
        <w:rPr>
          <w:color w:val="000000"/>
        </w:rPr>
        <w:t>Bjork &amp; Bjork, 2011</w:t>
      </w:r>
      <w:r w:rsidR="00777601">
        <w:rPr>
          <w:color w:val="000000"/>
        </w:rPr>
        <w:t>; Bjork, 1994</w:t>
      </w:r>
      <w:r w:rsidR="00FF5CB3">
        <w:rPr>
          <w:color w:val="000000"/>
        </w:rPr>
        <w:t>).</w:t>
      </w:r>
      <w:r w:rsidR="00BD2242">
        <w:rPr>
          <w:color w:val="000000"/>
        </w:rPr>
        <w:t xml:space="preserve"> </w:t>
      </w:r>
      <w:commentRangeStart w:id="14"/>
      <w:r w:rsidR="00BD2242" w:rsidRPr="00DC0C13">
        <w:rPr>
          <w:color w:val="3494BA" w:themeColor="accent1"/>
        </w:rPr>
        <w:t xml:space="preserve">This specific font </w:t>
      </w:r>
      <w:commentRangeEnd w:id="14"/>
      <w:r w:rsidR="00DC0C13">
        <w:rPr>
          <w:rStyle w:val="CommentReference"/>
        </w:rPr>
        <w:commentReference w:id="14"/>
      </w:r>
      <w:r w:rsidR="00BD2242" w:rsidRPr="00DC0C13">
        <w:rPr>
          <w:color w:val="3494BA" w:themeColor="accent1"/>
        </w:rPr>
        <w:t>was selected based on the results of an in-lab study in which undergraduates were presented with four fonts (slightly, moderately, and extremely disfluent, plus a fluent control font). Overall</w:t>
      </w:r>
      <w:r w:rsidR="00DC0C13" w:rsidRPr="00DC0C13">
        <w:rPr>
          <w:color w:val="3494BA" w:themeColor="accent1"/>
        </w:rPr>
        <w:t>,</w:t>
      </w:r>
      <w:r w:rsidR="00BD2242" w:rsidRPr="00DC0C13">
        <w:rPr>
          <w:color w:val="3494BA" w:themeColor="accent1"/>
        </w:rPr>
        <w:t xml:space="preserve"> recall was highest for pairs presented </w:t>
      </w:r>
      <w:r w:rsidR="00DC0C13" w:rsidRPr="00DC0C13">
        <w:rPr>
          <w:color w:val="3494BA" w:themeColor="accent1"/>
        </w:rPr>
        <w:t>using</w:t>
      </w:r>
      <w:r w:rsidR="00BD2242" w:rsidRPr="00DC0C13">
        <w:rPr>
          <w:color w:val="3494BA" w:themeColor="accent1"/>
        </w:rPr>
        <w:t xml:space="preserve"> the moderately disfluent</w:t>
      </w:r>
      <w:r w:rsidR="00DC0C13" w:rsidRPr="00DC0C13">
        <w:rPr>
          <w:color w:val="3494BA" w:themeColor="accent1"/>
        </w:rPr>
        <w:t xml:space="preserve"> font, as participants correctly recalled 69% of pairs presented with it (versus 61% in both the slightly disfluent and extremely disfluent font types). Based on these results, the moderately disfluent font was selected as the one most likely to induce desirable difficulties and was eventually branded as Sans Forgetica. W</w:t>
      </w:r>
      <w:r w:rsidR="00BD2242" w:rsidRPr="00DC0C13">
        <w:rPr>
          <w:color w:val="3494BA" w:themeColor="accent1"/>
        </w:rPr>
        <w:t>e note</w:t>
      </w:r>
      <w:r w:rsidR="00DC0C13" w:rsidRPr="00DC0C13">
        <w:rPr>
          <w:color w:val="3494BA" w:themeColor="accent1"/>
        </w:rPr>
        <w:t>, however,</w:t>
      </w:r>
      <w:r w:rsidR="00BD2242" w:rsidRPr="00DC0C13">
        <w:rPr>
          <w:color w:val="3494BA" w:themeColor="accent1"/>
        </w:rPr>
        <w:t xml:space="preserve"> that this memory boost was small</w:t>
      </w:r>
      <w:r w:rsidR="00DC0C13" w:rsidRPr="00DC0C13">
        <w:rPr>
          <w:color w:val="3494BA" w:themeColor="accent1"/>
        </w:rPr>
        <w:t>,</w:t>
      </w:r>
      <w:r w:rsidR="00BD2242" w:rsidRPr="00DC0C13">
        <w:rPr>
          <w:color w:val="3494BA" w:themeColor="accent1"/>
        </w:rPr>
        <w:t xml:space="preserve"> as 68% of pairs in the fluent control group were correctly recalled (Earp, 2018). Additionally, </w:t>
      </w:r>
      <w:r w:rsidR="00AD5D1E">
        <w:rPr>
          <w:color w:val="3494BA" w:themeColor="accent1"/>
        </w:rPr>
        <w:t>as this study was unpublished and its findings not made publicly available,</w:t>
      </w:r>
      <w:r w:rsidR="00BD2242" w:rsidRPr="00DC0C13">
        <w:rPr>
          <w:color w:val="3494BA" w:themeColor="accent1"/>
        </w:rPr>
        <w:t xml:space="preserve"> i</w:t>
      </w:r>
      <w:r w:rsidR="00AD5D1E">
        <w:rPr>
          <w:color w:val="3494BA" w:themeColor="accent1"/>
        </w:rPr>
        <w:t>t remains</w:t>
      </w:r>
      <w:r w:rsidR="00BD2242" w:rsidRPr="00DC0C13">
        <w:rPr>
          <w:color w:val="3494BA" w:themeColor="accent1"/>
        </w:rPr>
        <w:t xml:space="preserve"> unclear whether recall differences between</w:t>
      </w:r>
      <w:r w:rsidR="00DC0C13" w:rsidRPr="00DC0C13">
        <w:rPr>
          <w:color w:val="3494BA" w:themeColor="accent1"/>
        </w:rPr>
        <w:t xml:space="preserve"> Sans Forgetica and the control font reached conventional significance.</w:t>
      </w:r>
    </w:p>
    <w:p w14:paraId="248AA839" w14:textId="2871A5A5" w:rsidR="00114DA5" w:rsidRPr="009F255C" w:rsidRDefault="00C7250B" w:rsidP="00FF5CB3">
      <w:pPr>
        <w:spacing w:line="480" w:lineRule="auto"/>
        <w:ind w:firstLine="720"/>
        <w:contextualSpacing/>
        <w:textAlignment w:val="baseline"/>
        <w:rPr>
          <w:color w:val="3494BA" w:themeColor="accent1"/>
        </w:rPr>
      </w:pPr>
      <w:r>
        <w:rPr>
          <w:color w:val="3494BA" w:themeColor="accent1"/>
        </w:rPr>
        <w:t>R</w:t>
      </w:r>
      <w:r w:rsidR="00DC0C13">
        <w:rPr>
          <w:color w:val="3494BA" w:themeColor="accent1"/>
        </w:rPr>
        <w:t>ecent</w:t>
      </w:r>
      <w:r>
        <w:rPr>
          <w:color w:val="3494BA" w:themeColor="accent1"/>
        </w:rPr>
        <w:t>ly,</w:t>
      </w:r>
      <w:r w:rsidR="00DC0C13">
        <w:rPr>
          <w:color w:val="3494BA" w:themeColor="accent1"/>
        </w:rPr>
        <w:t xml:space="preserve"> s</w:t>
      </w:r>
      <w:r>
        <w:rPr>
          <w:color w:val="3494BA" w:themeColor="accent1"/>
        </w:rPr>
        <w:t>everal s</w:t>
      </w:r>
      <w:r w:rsidR="00DC0C13">
        <w:rPr>
          <w:color w:val="3494BA" w:themeColor="accent1"/>
        </w:rPr>
        <w:t>tudies have sought to replicate findings from the Sans Forgetica team. These studies, however,</w:t>
      </w:r>
      <w:r w:rsidR="00D213F0" w:rsidRPr="009F255C">
        <w:rPr>
          <w:color w:val="3494BA" w:themeColor="accent1"/>
        </w:rPr>
        <w:t xml:space="preserve"> </w:t>
      </w:r>
      <w:r w:rsidR="00FB6AB1" w:rsidRPr="009F255C">
        <w:rPr>
          <w:color w:val="3494BA" w:themeColor="accent1"/>
        </w:rPr>
        <w:t>suggest</w:t>
      </w:r>
      <w:r w:rsidR="003B0E7F" w:rsidRPr="009F255C">
        <w:rPr>
          <w:color w:val="3494BA" w:themeColor="accent1"/>
        </w:rPr>
        <w:t xml:space="preserve"> </w:t>
      </w:r>
      <w:r w:rsidR="00FF5CB3" w:rsidRPr="009F255C">
        <w:rPr>
          <w:color w:val="3494BA" w:themeColor="accent1"/>
        </w:rPr>
        <w:t>that Sans Forgetica does not benefit memory</w:t>
      </w:r>
      <w:r w:rsidR="00DC0C13">
        <w:rPr>
          <w:color w:val="3494BA" w:themeColor="accent1"/>
        </w:rPr>
        <w:t xml:space="preserve"> as </w:t>
      </w:r>
      <w:r w:rsidR="001F63FB">
        <w:rPr>
          <w:color w:val="3494BA" w:themeColor="accent1"/>
        </w:rPr>
        <w:t xml:space="preserve">originally </w:t>
      </w:r>
      <w:r w:rsidR="00DC0C13">
        <w:rPr>
          <w:color w:val="3494BA" w:themeColor="accent1"/>
        </w:rPr>
        <w:t>claimed</w:t>
      </w:r>
      <w:r w:rsidR="00FB6AB1" w:rsidRPr="009F255C">
        <w:rPr>
          <w:color w:val="3494BA" w:themeColor="accent1"/>
        </w:rPr>
        <w:t>. For example,</w:t>
      </w:r>
      <w:r w:rsidR="003B0E7F" w:rsidRPr="009F255C">
        <w:rPr>
          <w:color w:val="3494BA" w:themeColor="accent1"/>
        </w:rPr>
        <w:t xml:space="preserve"> </w:t>
      </w:r>
      <w:r w:rsidR="00FF5CB3" w:rsidRPr="009F255C">
        <w:rPr>
          <w:color w:val="3494BA" w:themeColor="accent1"/>
        </w:rPr>
        <w:t>Gelle</w:t>
      </w:r>
      <w:r w:rsidR="00FB6AB1" w:rsidRPr="009F255C">
        <w:rPr>
          <w:color w:val="3494BA" w:themeColor="accent1"/>
        </w:rPr>
        <w:t>r, Davis, and Peterson</w:t>
      </w:r>
      <w:r w:rsidR="002501BC" w:rsidRPr="009F255C">
        <w:rPr>
          <w:color w:val="3494BA" w:themeColor="accent1"/>
        </w:rPr>
        <w:t xml:space="preserve"> (</w:t>
      </w:r>
      <w:r w:rsidR="00FF5CB3" w:rsidRPr="009F255C">
        <w:rPr>
          <w:color w:val="3494BA" w:themeColor="accent1"/>
        </w:rPr>
        <w:t>2020</w:t>
      </w:r>
      <w:r w:rsidR="002501BC" w:rsidRPr="009F255C">
        <w:rPr>
          <w:color w:val="3494BA" w:themeColor="accent1"/>
        </w:rPr>
        <w:t xml:space="preserve">) </w:t>
      </w:r>
      <w:r w:rsidR="00C67EE6" w:rsidRPr="009F255C">
        <w:rPr>
          <w:color w:val="3494BA" w:themeColor="accent1"/>
        </w:rPr>
        <w:t>showed that unlike g</w:t>
      </w:r>
      <w:r w:rsidR="00FB6AB1" w:rsidRPr="009F255C">
        <w:rPr>
          <w:color w:val="3494BA" w:themeColor="accent1"/>
        </w:rPr>
        <w:t xml:space="preserve">eneration </w:t>
      </w:r>
      <w:r w:rsidR="00C67EE6" w:rsidRPr="009F255C">
        <w:rPr>
          <w:color w:val="3494BA" w:themeColor="accent1"/>
        </w:rPr>
        <w:t xml:space="preserve">(a task which boosts recall via desirable difficulties; see </w:t>
      </w:r>
      <w:proofErr w:type="spellStart"/>
      <w:r w:rsidR="00C67EE6" w:rsidRPr="009F255C">
        <w:rPr>
          <w:color w:val="3494BA" w:themeColor="accent1"/>
        </w:rPr>
        <w:t>Slamecka</w:t>
      </w:r>
      <w:proofErr w:type="spellEnd"/>
      <w:r w:rsidR="00C67EE6" w:rsidRPr="009F255C">
        <w:rPr>
          <w:color w:val="3494BA" w:themeColor="accent1"/>
        </w:rPr>
        <w:t xml:space="preserve"> &amp; Graf, 1978), Sans Forgetica did not yield a memory improvement when compared to standard, Arial font (Experiment 1).</w:t>
      </w:r>
      <w:r w:rsidR="00BA03DF" w:rsidRPr="009F255C">
        <w:rPr>
          <w:color w:val="3494BA" w:themeColor="accent1"/>
        </w:rPr>
        <w:t xml:space="preserve"> </w:t>
      </w:r>
      <w:r w:rsidR="00C67EE6" w:rsidRPr="009F255C">
        <w:rPr>
          <w:color w:val="3494BA" w:themeColor="accent1"/>
        </w:rPr>
        <w:t xml:space="preserve">Subsequent experiments found that Sans Forgetica was less effective at improving memory than highlighting (Experiment 2) </w:t>
      </w:r>
      <w:r w:rsidR="00474DDD" w:rsidRPr="009F255C">
        <w:rPr>
          <w:color w:val="3494BA" w:themeColor="accent1"/>
        </w:rPr>
        <w:t>and did not improve performance on an old/new recognition task (Experiment 3). Additionally</w:t>
      </w:r>
      <w:r w:rsidR="002501BC" w:rsidRPr="009F255C">
        <w:rPr>
          <w:color w:val="3494BA" w:themeColor="accent1"/>
        </w:rPr>
        <w:t xml:space="preserve">, research by </w:t>
      </w:r>
      <w:r w:rsidR="00FF5CB3" w:rsidRPr="009F255C">
        <w:rPr>
          <w:color w:val="3494BA" w:themeColor="accent1"/>
        </w:rPr>
        <w:t>Taylor</w:t>
      </w:r>
      <w:r w:rsidR="00474DDD" w:rsidRPr="009F255C">
        <w:rPr>
          <w:color w:val="3494BA" w:themeColor="accent1"/>
        </w:rPr>
        <w:t xml:space="preserve">, </w:t>
      </w:r>
      <w:proofErr w:type="spellStart"/>
      <w:r w:rsidR="00474DDD" w:rsidRPr="009F255C">
        <w:rPr>
          <w:color w:val="3494BA" w:themeColor="accent1"/>
        </w:rPr>
        <w:t>Sanson</w:t>
      </w:r>
      <w:proofErr w:type="spellEnd"/>
      <w:r w:rsidR="00474DDD" w:rsidRPr="009F255C">
        <w:rPr>
          <w:color w:val="3494BA" w:themeColor="accent1"/>
        </w:rPr>
        <w:t xml:space="preserve">, Burnell, Wade, &amp; Garry </w:t>
      </w:r>
      <w:r w:rsidR="002501BC" w:rsidRPr="009F255C">
        <w:rPr>
          <w:color w:val="3494BA" w:themeColor="accent1"/>
        </w:rPr>
        <w:t>(</w:t>
      </w:r>
      <w:r w:rsidR="00FF5CB3" w:rsidRPr="009F255C">
        <w:rPr>
          <w:color w:val="3494BA" w:themeColor="accent1"/>
        </w:rPr>
        <w:t>2020</w:t>
      </w:r>
      <w:r w:rsidR="00474DDD" w:rsidRPr="009F255C">
        <w:rPr>
          <w:color w:val="3494BA" w:themeColor="accent1"/>
        </w:rPr>
        <w:t>) found that though subjects rated Sans Forgetica as more difficult to encode relative to Arial, Sans Forgetica</w:t>
      </w:r>
      <w:r w:rsidR="002501BC" w:rsidRPr="009F255C">
        <w:rPr>
          <w:color w:val="3494BA" w:themeColor="accent1"/>
        </w:rPr>
        <w:t xml:space="preserve"> </w:t>
      </w:r>
      <w:r w:rsidR="00474DDD" w:rsidRPr="009F255C">
        <w:rPr>
          <w:color w:val="3494BA" w:themeColor="accent1"/>
        </w:rPr>
        <w:t>consistently failed to improve memory and occasionally resulted in a memory cost. Taken together</w:t>
      </w:r>
      <w:r w:rsidR="002501BC" w:rsidRPr="009F255C">
        <w:rPr>
          <w:color w:val="3494BA" w:themeColor="accent1"/>
        </w:rPr>
        <w:t xml:space="preserve">, </w:t>
      </w:r>
      <w:r w:rsidR="00FB6AB1" w:rsidRPr="009F255C">
        <w:rPr>
          <w:color w:val="3494BA" w:themeColor="accent1"/>
        </w:rPr>
        <w:t>Sans Forgetica appears to have little benefit to memory</w:t>
      </w:r>
      <w:r w:rsidR="009F255C" w:rsidRPr="009F255C">
        <w:rPr>
          <w:color w:val="3494BA" w:themeColor="accent1"/>
        </w:rPr>
        <w:t>.</w:t>
      </w:r>
    </w:p>
    <w:p w14:paraId="5F8D715F" w14:textId="059FA665" w:rsidR="00C67D7C" w:rsidRPr="005E389A" w:rsidRDefault="00FF5CB3" w:rsidP="005E389A">
      <w:pPr>
        <w:spacing w:line="480" w:lineRule="auto"/>
        <w:ind w:firstLine="720"/>
        <w:contextualSpacing/>
        <w:textAlignment w:val="baseline"/>
        <w:rPr>
          <w:color w:val="3494BA" w:themeColor="accent1"/>
        </w:rPr>
      </w:pPr>
      <w:r w:rsidRPr="00270626">
        <w:rPr>
          <w:color w:val="3494BA" w:themeColor="accent1"/>
        </w:rPr>
        <w:lastRenderedPageBreak/>
        <w:t>Despite</w:t>
      </w:r>
      <w:r w:rsidR="001E13C3" w:rsidRPr="00270626">
        <w:rPr>
          <w:color w:val="3494BA" w:themeColor="accent1"/>
        </w:rPr>
        <w:t xml:space="preserve"> recent</w:t>
      </w:r>
      <w:r w:rsidRPr="00270626">
        <w:rPr>
          <w:color w:val="3494BA" w:themeColor="accent1"/>
        </w:rPr>
        <w:t xml:space="preserve"> findings indicating that Sans Forgetica does </w:t>
      </w:r>
      <w:r w:rsidR="0002461C" w:rsidRPr="00270626">
        <w:rPr>
          <w:color w:val="3494BA" w:themeColor="accent1"/>
        </w:rPr>
        <w:t xml:space="preserve">not </w:t>
      </w:r>
      <w:r w:rsidR="003B0E7F" w:rsidRPr="00270626">
        <w:rPr>
          <w:color w:val="3494BA" w:themeColor="accent1"/>
        </w:rPr>
        <w:t xml:space="preserve">improve </w:t>
      </w:r>
      <w:r w:rsidRPr="00270626">
        <w:rPr>
          <w:color w:val="3494BA" w:themeColor="accent1"/>
        </w:rPr>
        <w:t xml:space="preserve">memory as claimed, it is possible that the </w:t>
      </w:r>
      <w:r w:rsidR="00D555CF" w:rsidRPr="00270626">
        <w:rPr>
          <w:color w:val="3494BA" w:themeColor="accent1"/>
        </w:rPr>
        <w:t xml:space="preserve">disfluent </w:t>
      </w:r>
      <w:r w:rsidRPr="00270626">
        <w:rPr>
          <w:color w:val="3494BA" w:themeColor="accent1"/>
        </w:rPr>
        <w:t xml:space="preserve">nature of this font may </w:t>
      </w:r>
      <w:r w:rsidR="00270626" w:rsidRPr="00270626">
        <w:rPr>
          <w:color w:val="3494BA" w:themeColor="accent1"/>
        </w:rPr>
        <w:t xml:space="preserve">still influence participants’ beliefs about memory. </w:t>
      </w:r>
      <w:r w:rsidR="00917066">
        <w:rPr>
          <w:color w:val="3494BA" w:themeColor="accent1"/>
        </w:rPr>
        <w:t>G</w:t>
      </w:r>
      <w:r w:rsidR="00270626" w:rsidRPr="00270626">
        <w:rPr>
          <w:color w:val="3494BA" w:themeColor="accent1"/>
        </w:rPr>
        <w:t xml:space="preserve">iven that Sans Forgetica was designed to improve retention, this font may </w:t>
      </w:r>
      <w:r w:rsidRPr="00270626">
        <w:rPr>
          <w:color w:val="3494BA" w:themeColor="accent1"/>
        </w:rPr>
        <w:t xml:space="preserve">cause participants to </w:t>
      </w:r>
      <w:r w:rsidRPr="00270626">
        <w:rPr>
          <w:i/>
          <w:iCs/>
          <w:color w:val="3494BA" w:themeColor="accent1"/>
        </w:rPr>
        <w:t>think</w:t>
      </w:r>
      <w:r w:rsidRPr="00270626">
        <w:rPr>
          <w:color w:val="3494BA" w:themeColor="accent1"/>
        </w:rPr>
        <w:t xml:space="preserve"> that it is beneficial to memor</w:t>
      </w:r>
      <w:r w:rsidR="007432B1" w:rsidRPr="00270626">
        <w:rPr>
          <w:color w:val="3494BA" w:themeColor="accent1"/>
        </w:rPr>
        <w:t>y</w:t>
      </w:r>
      <w:r w:rsidR="00917066">
        <w:rPr>
          <w:color w:val="3494BA" w:themeColor="accent1"/>
        </w:rPr>
        <w:t>, inflating JOLs.</w:t>
      </w:r>
      <w:r w:rsidR="007432B1" w:rsidRPr="00270626">
        <w:rPr>
          <w:color w:val="3494BA" w:themeColor="accent1"/>
        </w:rPr>
        <w:t xml:space="preserve"> </w:t>
      </w:r>
      <w:r w:rsidR="00917066">
        <w:rPr>
          <w:color w:val="3494BA" w:themeColor="accent1"/>
        </w:rPr>
        <w:t>However</w:t>
      </w:r>
      <w:r w:rsidR="007432B1" w:rsidRPr="007432B1">
        <w:rPr>
          <w:color w:val="3494BA" w:themeColor="accent1"/>
        </w:rPr>
        <w:t>,</w:t>
      </w:r>
      <w:r w:rsidR="00270626">
        <w:rPr>
          <w:color w:val="3494BA" w:themeColor="accent1"/>
        </w:rPr>
        <w:t xml:space="preserve"> the disfluent nature of</w:t>
      </w:r>
      <w:r w:rsidR="007432B1" w:rsidRPr="007432B1">
        <w:rPr>
          <w:color w:val="3494BA" w:themeColor="accent1"/>
        </w:rPr>
        <w:t xml:space="preserve"> </w:t>
      </w:r>
      <w:r w:rsidR="00270626">
        <w:rPr>
          <w:color w:val="3494BA" w:themeColor="accent1"/>
        </w:rPr>
        <w:t xml:space="preserve">Sans Forgetica may lower </w:t>
      </w:r>
      <w:r w:rsidR="00C67D7C">
        <w:rPr>
          <w:color w:val="3494BA" w:themeColor="accent1"/>
        </w:rPr>
        <w:t>participants’ beliefs</w:t>
      </w:r>
      <w:r w:rsidR="00270626">
        <w:rPr>
          <w:color w:val="3494BA" w:themeColor="accent1"/>
        </w:rPr>
        <w:t>, resulting in decreased</w:t>
      </w:r>
      <w:r w:rsidR="00C67D7C">
        <w:rPr>
          <w:color w:val="3494BA" w:themeColor="accent1"/>
        </w:rPr>
        <w:t xml:space="preserve"> </w:t>
      </w:r>
      <w:r w:rsidR="00C67D7C" w:rsidRPr="00C67D7C">
        <w:rPr>
          <w:color w:val="3494BA" w:themeColor="accent1"/>
        </w:rPr>
        <w:t xml:space="preserve">JOLs </w:t>
      </w:r>
      <w:r w:rsidR="007432B1">
        <w:rPr>
          <w:color w:val="3494BA" w:themeColor="accent1"/>
        </w:rPr>
        <w:t>relative to a more fluent font</w:t>
      </w:r>
      <w:r w:rsidR="00C67D7C" w:rsidRPr="00C67D7C">
        <w:rPr>
          <w:color w:val="3494BA" w:themeColor="accent1"/>
        </w:rPr>
        <w:t>.</w:t>
      </w:r>
      <w:commentRangeStart w:id="15"/>
      <w:commentRangeEnd w:id="15"/>
      <w:r w:rsidR="00C67D7C" w:rsidRPr="00C67D7C">
        <w:rPr>
          <w:sz w:val="16"/>
          <w:szCs w:val="16"/>
        </w:rPr>
        <w:commentReference w:id="15"/>
      </w:r>
      <w:r w:rsidR="00C67D7C" w:rsidRPr="00C67D7C">
        <w:rPr>
          <w:color w:val="3494BA" w:themeColor="accent1"/>
        </w:rPr>
        <w:t xml:space="preserve"> </w:t>
      </w:r>
      <w:r w:rsidR="00270626">
        <w:rPr>
          <w:color w:val="3494BA" w:themeColor="accent1"/>
        </w:rPr>
        <w:t xml:space="preserve">This </w:t>
      </w:r>
      <w:r w:rsidR="00917066">
        <w:rPr>
          <w:color w:val="3494BA" w:themeColor="accent1"/>
        </w:rPr>
        <w:t xml:space="preserve">second account is </w:t>
      </w:r>
      <w:r w:rsidR="00270626">
        <w:rPr>
          <w:color w:val="3494BA" w:themeColor="accent1"/>
        </w:rPr>
        <w:t xml:space="preserve">in line with previous research on </w:t>
      </w:r>
      <w:r w:rsidR="00C67D7C" w:rsidRPr="00C67D7C">
        <w:rPr>
          <w:color w:val="3494BA" w:themeColor="accent1"/>
        </w:rPr>
        <w:t>desirable difficulties</w:t>
      </w:r>
      <w:r w:rsidR="007432B1">
        <w:rPr>
          <w:color w:val="3494BA" w:themeColor="accent1"/>
        </w:rPr>
        <w:t xml:space="preserve"> and metacognitive judgments</w:t>
      </w:r>
      <w:r w:rsidR="00270626">
        <w:rPr>
          <w:color w:val="3494BA" w:themeColor="accent1"/>
        </w:rPr>
        <w:t>, which</w:t>
      </w:r>
      <w:r w:rsidR="007432B1">
        <w:rPr>
          <w:color w:val="3494BA" w:themeColor="accent1"/>
        </w:rPr>
        <w:t xml:space="preserve"> has commonly reported a disconnect between participants’ judgments and recall performance. For example, </w:t>
      </w:r>
      <w:proofErr w:type="spellStart"/>
      <w:r w:rsidR="00CC386C" w:rsidRPr="00CC386C">
        <w:rPr>
          <w:color w:val="3494BA" w:themeColor="accent1"/>
        </w:rPr>
        <w:t>Sungkhassettee</w:t>
      </w:r>
      <w:proofErr w:type="spellEnd"/>
      <w:r w:rsidR="00CC386C">
        <w:rPr>
          <w:color w:val="3494BA" w:themeColor="accent1"/>
        </w:rPr>
        <w:t>, Friedman, and Castel (2011) presented participants with words that were either presented inverted or in a standard upright position and found that while recall was enhanced for the more perceptually difficult inverted words, JOLs did not differ as a function of difficulty</w:t>
      </w:r>
      <w:r w:rsidR="00917066">
        <w:rPr>
          <w:color w:val="3494BA" w:themeColor="accent1"/>
        </w:rPr>
        <w:t xml:space="preserve"> (Experiment 1). Furthermore, following multiple study-test cycles, participants reported lower JOLs for disfluent items, though disfluent items were still recalled at a greater rate relative to fluent items (Experiment 2). Thus, while desirable difficulties have been shown to benefit memory, participants are often unaware</w:t>
      </w:r>
      <w:r w:rsidR="005E389A">
        <w:rPr>
          <w:color w:val="3494BA" w:themeColor="accent1"/>
        </w:rPr>
        <w:t xml:space="preserve"> of these benefits and instead assume that their disfluent nature has a negative effect on memory. Thus, b</w:t>
      </w:r>
      <w:r w:rsidR="0002461C" w:rsidRPr="00A250CA">
        <w:rPr>
          <w:color w:val="3494BA" w:themeColor="accent1"/>
        </w:rPr>
        <w:t xml:space="preserve">ased on </w:t>
      </w:r>
      <w:r w:rsidR="00A250CA" w:rsidRPr="00A250CA">
        <w:rPr>
          <w:color w:val="3494BA" w:themeColor="accent1"/>
        </w:rPr>
        <w:t xml:space="preserve">both </w:t>
      </w:r>
      <w:r w:rsidR="0002461C" w:rsidRPr="00A250CA">
        <w:rPr>
          <w:color w:val="3494BA" w:themeColor="accent1"/>
        </w:rPr>
        <w:t xml:space="preserve">the fluency </w:t>
      </w:r>
      <w:r w:rsidR="00A250CA" w:rsidRPr="00A250CA">
        <w:rPr>
          <w:color w:val="3494BA" w:themeColor="accent1"/>
        </w:rPr>
        <w:t xml:space="preserve">and beliefs </w:t>
      </w:r>
      <w:r w:rsidR="0002461C" w:rsidRPr="00A250CA">
        <w:rPr>
          <w:color w:val="3494BA" w:themeColor="accent1"/>
        </w:rPr>
        <w:t>account</w:t>
      </w:r>
      <w:r w:rsidR="00A250CA" w:rsidRPr="00A250CA">
        <w:rPr>
          <w:color w:val="3494BA" w:themeColor="accent1"/>
        </w:rPr>
        <w:t>s</w:t>
      </w:r>
      <w:r w:rsidR="0002461C" w:rsidRPr="0002461C">
        <w:rPr>
          <w:color w:val="000000"/>
        </w:rPr>
        <w:t xml:space="preserve">, </w:t>
      </w:r>
      <w:r w:rsidR="0002461C" w:rsidRPr="005E389A">
        <w:rPr>
          <w:color w:val="3494BA" w:themeColor="accent1"/>
        </w:rPr>
        <w:t>the disfluent nature of Sans Forgetica should result in lower JOLs relative to a more fluent font such as Arial.</w:t>
      </w:r>
      <w:r w:rsidR="00A250CA" w:rsidRPr="005E389A">
        <w:rPr>
          <w:color w:val="3494BA" w:themeColor="accent1"/>
        </w:rPr>
        <w:t xml:space="preserve"> </w:t>
      </w:r>
      <w:r w:rsidR="005E389A" w:rsidRPr="005E389A">
        <w:rPr>
          <w:color w:val="3494BA" w:themeColor="accent1"/>
        </w:rPr>
        <w:t>However</w:t>
      </w:r>
      <w:r w:rsidR="00A250CA" w:rsidRPr="005E389A">
        <w:rPr>
          <w:color w:val="3494BA" w:themeColor="accent1"/>
        </w:rPr>
        <w:t xml:space="preserve">, </w:t>
      </w:r>
      <w:r w:rsidR="00EF1761" w:rsidRPr="005E389A">
        <w:rPr>
          <w:color w:val="3494BA" w:themeColor="accent1"/>
        </w:rPr>
        <w:t>if Sans Forgetica</w:t>
      </w:r>
      <w:r w:rsidR="00A250CA" w:rsidRPr="005E389A">
        <w:rPr>
          <w:color w:val="3494BA" w:themeColor="accent1"/>
        </w:rPr>
        <w:t xml:space="preserve"> indeed</w:t>
      </w:r>
      <w:r w:rsidR="00EF1761" w:rsidRPr="005E389A">
        <w:rPr>
          <w:color w:val="3494BA" w:themeColor="accent1"/>
        </w:rPr>
        <w:t xml:space="preserve"> operates as a desirable difficulty</w:t>
      </w:r>
      <w:r w:rsidR="00A250CA" w:rsidRPr="005E389A">
        <w:rPr>
          <w:color w:val="3494BA" w:themeColor="accent1"/>
        </w:rPr>
        <w:t>, recall should be increased for this pair type relative to Arial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45D5FA00" w:rsidR="00601701" w:rsidRPr="00984087" w:rsidRDefault="00601701" w:rsidP="00601701">
      <w:pPr>
        <w:spacing w:line="480" w:lineRule="auto"/>
        <w:ind w:firstLine="720"/>
        <w:contextualSpacing/>
        <w:textAlignment w:val="baseline"/>
        <w:rPr>
          <w:color w:val="000000"/>
        </w:rPr>
      </w:pPr>
      <w:commentRangeStart w:id="16"/>
      <w:r>
        <w:rPr>
          <w:color w:val="000000"/>
        </w:rPr>
        <w:t>The goal</w:t>
      </w:r>
      <w:commentRangeEnd w:id="16"/>
      <w:r w:rsidR="00EF57A5">
        <w:rPr>
          <w:rStyle w:val="CommentReference"/>
        </w:rPr>
        <w:commentReference w:id="16"/>
      </w:r>
      <w:r>
        <w:rPr>
          <w:color w:val="000000"/>
        </w:rPr>
        <w:t xml:space="preserve"> of Experiment 3 was to test the effects of Sans Forgetica </w:t>
      </w:r>
      <w:r w:rsidR="003B0E7F">
        <w:rPr>
          <w:color w:val="000000"/>
        </w:rPr>
        <w:t xml:space="preserve">font </w:t>
      </w:r>
      <w:r>
        <w:rPr>
          <w:color w:val="000000"/>
        </w:rPr>
        <w:t xml:space="preserve">on JOLs and recall. </w:t>
      </w:r>
      <w:r w:rsidR="005E389A" w:rsidRPr="005E389A">
        <w:rPr>
          <w:color w:val="3494BA" w:themeColor="accent1"/>
        </w:rPr>
        <w:t xml:space="preserve">Though Sans Forgetica is purported to increase recall via desirable difficulties, previous research has shown </w:t>
      </w:r>
      <w:r w:rsidRPr="005E389A">
        <w:rPr>
          <w:color w:val="3494BA" w:themeColor="accent1"/>
        </w:rPr>
        <w:t xml:space="preserve">that Sans Forgetica </w:t>
      </w:r>
      <w:r w:rsidR="005E389A" w:rsidRPr="005E389A">
        <w:rPr>
          <w:color w:val="3494BA" w:themeColor="accent1"/>
        </w:rPr>
        <w:t>has little effect on improving retention.</w:t>
      </w:r>
      <w:r w:rsidRPr="005E389A">
        <w:rPr>
          <w:color w:val="3494BA" w:themeColor="accent1"/>
        </w:rPr>
        <w:t xml:space="preserve"> </w:t>
      </w:r>
      <w:r w:rsidR="005E389A" w:rsidRPr="005E389A">
        <w:rPr>
          <w:color w:val="3494BA" w:themeColor="accent1"/>
        </w:rPr>
        <w:t xml:space="preserve">Therefore, </w:t>
      </w:r>
      <w:r w:rsidRPr="005E389A">
        <w:rPr>
          <w:color w:val="3494BA" w:themeColor="accent1"/>
        </w:rPr>
        <w:t xml:space="preserve">no </w:t>
      </w:r>
      <w:r w:rsidRPr="005E389A">
        <w:rPr>
          <w:color w:val="3494BA" w:themeColor="accent1"/>
        </w:rPr>
        <w:lastRenderedPageBreak/>
        <w:t>effects of Sans Forgetica on memory were expected.</w:t>
      </w:r>
      <w:r w:rsidR="005E389A" w:rsidRPr="005E389A">
        <w:t xml:space="preserve"> </w:t>
      </w:r>
      <w:r w:rsidR="00EF57A5" w:rsidRPr="00EF57A5">
        <w:rPr>
          <w:color w:val="3494BA" w:themeColor="accent1"/>
        </w:rPr>
        <w:t xml:space="preserve">However, we expected that Sans Forgetica would result lower JOLs, as predicted by both the fluency and beliefs accounts. First, </w:t>
      </w:r>
      <w:r w:rsidR="00EF57A5">
        <w:rPr>
          <w:color w:val="3494BA" w:themeColor="accent1"/>
        </w:rPr>
        <w:t>b</w:t>
      </w:r>
      <w:r w:rsidR="005E389A" w:rsidRPr="005E389A">
        <w:rPr>
          <w:color w:val="3494BA" w:themeColor="accent1"/>
        </w:rPr>
        <w:t>ased on the fluency account, JOLs for Sans Forgetica pairs should be decreased relative to pairs presented using Arial font, as Sans Forgetica is a less perceptually fluent font. The beliefs account also predicts a decrease in JOLs, though it posits that JOLs will be reduced due to participants believing that disfluent pairs are less likely to be remembered.</w:t>
      </w:r>
      <w:r>
        <w:rPr>
          <w:color w:val="000000"/>
        </w:rPr>
        <w:t xml:space="preserve"> Finally, as in the previous experiments, we again included a control group comparison in which all pairs were presented using 32-pt. Arial font.</w:t>
      </w:r>
      <w:r w:rsidR="00F350F3">
        <w:rPr>
          <w:color w:val="000000"/>
        </w:rPr>
        <w:t xml:space="preserve"> All word pairs were</w:t>
      </w:r>
      <w:r w:rsidR="00E742FE">
        <w:rPr>
          <w:color w:val="000000"/>
        </w:rPr>
        <w:t xml:space="preserve"> again</w:t>
      </w:r>
      <w:r w:rsidR="00F350F3">
        <w:rPr>
          <w:color w:val="000000"/>
        </w:rPr>
        <w:t xml:space="preserve"> unrelated </w:t>
      </w:r>
      <w:r w:rsidR="00E742FE">
        <w:rPr>
          <w:color w:val="000000"/>
        </w:rPr>
        <w:t xml:space="preserve">given their increased sensitivity to perceptual manipulations versus related pairs (e.g., </w:t>
      </w:r>
      <w:r w:rsidR="00F350F3">
        <w:rPr>
          <w:color w:val="000000"/>
        </w:rPr>
        <w:t xml:space="preserve">Rhodes </w:t>
      </w:r>
      <w:r w:rsidR="00E742FE">
        <w:rPr>
          <w:color w:val="000000"/>
        </w:rPr>
        <w:t>&amp;</w:t>
      </w:r>
      <w:r w:rsidR="00F350F3">
        <w:rPr>
          <w:color w:val="000000"/>
        </w:rPr>
        <w:t xml:space="preserve"> Castel</w:t>
      </w:r>
      <w:r w:rsidR="00E742FE">
        <w:rPr>
          <w:color w:val="000000"/>
        </w:rPr>
        <w:t xml:space="preserve">, </w:t>
      </w:r>
      <w:r w:rsidR="00F350F3">
        <w:rPr>
          <w:color w:val="000000"/>
        </w:rPr>
        <w:t>2008).</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5C98E25" w:rsidR="00AA5ECB" w:rsidRPr="00AA5ECB" w:rsidRDefault="00AA5ECB" w:rsidP="00AA5ECB">
      <w:pPr>
        <w:spacing w:line="480" w:lineRule="auto"/>
        <w:ind w:firstLine="720"/>
        <w:contextualSpacing/>
        <w:textAlignment w:val="baseline"/>
        <w:rPr>
          <w:b/>
          <w:bCs/>
          <w:color w:val="000000"/>
        </w:rPr>
      </w:pPr>
      <w:r w:rsidRPr="00AA5ECB">
        <w:rPr>
          <w:color w:val="000000"/>
        </w:rPr>
        <w:t>A total of 8</w:t>
      </w:r>
      <w:r w:rsidR="00F51AF2">
        <w:rPr>
          <w:color w:val="000000"/>
        </w:rPr>
        <w:t>8</w:t>
      </w:r>
      <w:r w:rsidRPr="00AA5ECB">
        <w:rPr>
          <w:color w:val="000000"/>
        </w:rPr>
        <w:t xml:space="preserve"> participants completed </w:t>
      </w:r>
      <w:r w:rsidR="00406FA2">
        <w:rPr>
          <w:color w:val="000000"/>
        </w:rPr>
        <w:t>Experiment 3</w:t>
      </w:r>
      <w:r w:rsidRPr="00AA5ECB">
        <w:rPr>
          <w:color w:val="000000"/>
        </w:rPr>
        <w:t>. Of these participants, 33 were recruited via Prolific</w:t>
      </w:r>
      <w:r w:rsidR="008D0705">
        <w:rPr>
          <w:color w:val="000000"/>
        </w:rPr>
        <w:t xml:space="preserve"> </w:t>
      </w:r>
      <w:r w:rsidR="008D0705" w:rsidRPr="008D0705">
        <w:rPr>
          <w:color w:val="3494BA" w:themeColor="accent1"/>
        </w:rPr>
        <w:t>using the same recruitment criteria as the previous experiments</w:t>
      </w:r>
      <w:r w:rsidRPr="008D0705">
        <w:rPr>
          <w:color w:val="3494BA" w:themeColor="accent1"/>
        </w:rPr>
        <w:t xml:space="preserve"> </w:t>
      </w:r>
      <w:r w:rsidRPr="00AA5ECB">
        <w:rPr>
          <w:color w:val="000000"/>
        </w:rPr>
        <w:t xml:space="preserve">and </w:t>
      </w:r>
      <w:r w:rsidR="008D0705">
        <w:rPr>
          <w:color w:val="000000"/>
        </w:rPr>
        <w:t xml:space="preserve">were </w:t>
      </w:r>
      <w:r w:rsidRPr="00AA5ECB">
        <w:rPr>
          <w:color w:val="000000"/>
        </w:rPr>
        <w:t>compensated at a rate of $4.00 per half hour</w:t>
      </w:r>
      <w:r w:rsidR="008D0705">
        <w:rPr>
          <w:color w:val="000000"/>
        </w:rPr>
        <w:t>. The</w:t>
      </w:r>
      <w:r w:rsidR="00406FA2">
        <w:rPr>
          <w:color w:val="000000"/>
        </w:rPr>
        <w:t xml:space="preserve"> remaining</w:t>
      </w:r>
      <w:r w:rsidRPr="00AA5ECB">
        <w:rPr>
          <w:color w:val="000000"/>
        </w:rPr>
        <w:t xml:space="preserve"> 5</w:t>
      </w:r>
      <w:r w:rsidR="00F51AF2">
        <w:rPr>
          <w:color w:val="000000"/>
        </w:rPr>
        <w:t>5</w:t>
      </w:r>
      <w:r w:rsidRPr="00AA5ECB">
        <w:rPr>
          <w:color w:val="000000"/>
        </w:rPr>
        <w:t xml:space="preserve"> </w:t>
      </w:r>
      <w:r w:rsidR="008D0705">
        <w:rPr>
          <w:color w:val="000000"/>
        </w:rPr>
        <w:t xml:space="preserve">participants were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w:t>
      </w:r>
      <w:r w:rsidR="00F51AF2">
        <w:rPr>
          <w:color w:val="000000"/>
        </w:rPr>
        <w:t>8</w:t>
      </w:r>
      <w:r w:rsidRPr="00AA5ECB">
        <w:rPr>
          <w:color w:val="000000"/>
        </w:rPr>
        <w:t xml:space="preserve">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 xml:space="preserve">41 in the control group. </w:t>
      </w:r>
      <w:r w:rsidR="00E843E1" w:rsidRPr="00E843E1">
        <w:rPr>
          <w:color w:val="3494BA" w:themeColor="accent1"/>
        </w:rPr>
        <w:t xml:space="preserve">A sensitivity analysis conducted with </w:t>
      </w:r>
      <w:r w:rsidR="00E843E1" w:rsidRPr="00DB40C1">
        <w:rPr>
          <w:i/>
          <w:iCs/>
          <w:color w:val="3494BA" w:themeColor="accent1"/>
        </w:rPr>
        <w:t>G*Power</w:t>
      </w:r>
      <w:r w:rsidR="00FA25AD">
        <w:rPr>
          <w:i/>
          <w:iCs/>
          <w:color w:val="3494BA" w:themeColor="accent1"/>
        </w:rPr>
        <w:t xml:space="preserve"> 3</w:t>
      </w:r>
      <w:r w:rsidR="00953F5E">
        <w:rPr>
          <w:color w:val="3494BA" w:themeColor="accent1"/>
        </w:rPr>
        <w:t xml:space="preserve"> confirmed that this sample provided sufficient power to detect medium main effects and interactions (</w:t>
      </w:r>
      <w:r w:rsidR="00953F5E" w:rsidRPr="00953F5E">
        <w:rPr>
          <w:i/>
          <w:iCs/>
          <w:color w:val="3494BA" w:themeColor="accent1"/>
        </w:rPr>
        <w:t>d</w:t>
      </w:r>
      <w:r w:rsidR="00953F5E">
        <w:rPr>
          <w:color w:val="3494BA" w:themeColor="accent1"/>
        </w:rPr>
        <w:t xml:space="preserve"> = .30).</w:t>
      </w:r>
      <w:r w:rsidR="00E843E1">
        <w:rPr>
          <w:color w:val="000000"/>
        </w:rPr>
        <w:t xml:space="preserve"> </w:t>
      </w:r>
      <w:r w:rsidRPr="00AA5ECB">
        <w:rPr>
          <w:color w:val="000000"/>
        </w:rPr>
        <w:t>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 xml:space="preserve">were native English speakers </w:t>
      </w:r>
      <w:r w:rsidR="003F45A1" w:rsidRPr="003F45A1">
        <w:rPr>
          <w:color w:val="000000"/>
        </w:rPr>
        <w:t xml:space="preserve">from </w:t>
      </w:r>
      <w:r w:rsidRPr="00AA5ECB">
        <w:rPr>
          <w:color w:val="000000"/>
        </w:rPr>
        <w:t>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06E89A10" w:rsidR="00AA5ECB" w:rsidRPr="00AA5ECB" w:rsidRDefault="00AA5ECB" w:rsidP="00AA5ECB">
      <w:pPr>
        <w:spacing w:line="480" w:lineRule="auto"/>
        <w:contextualSpacing/>
        <w:textAlignment w:val="baseline"/>
        <w:rPr>
          <w:color w:val="000000"/>
        </w:rPr>
      </w:pPr>
      <w:r w:rsidRPr="00AA5ECB">
        <w:rPr>
          <w:color w:val="000000"/>
        </w:rPr>
        <w:tab/>
        <w:t xml:space="preserve">Figure </w:t>
      </w:r>
      <w:r w:rsidR="00DB40C1">
        <w:rPr>
          <w:color w:val="000000"/>
        </w:rPr>
        <w:t>6</w:t>
      </w:r>
      <w:r w:rsidRPr="00AA5ECB">
        <w:rPr>
          <w:color w:val="000000"/>
        </w:rPr>
        <w:t xml:space="preserve"> plots mean JOL and cued-recall percentages for Sans Forgetica and Arial font types in the mixed group as well as JOL/recall rates for the control group. </w:t>
      </w:r>
      <w:r w:rsidR="004F4584">
        <w:rPr>
          <w:color w:val="000000"/>
        </w:rPr>
        <w:t>Table A</w:t>
      </w:r>
      <w:r w:rsidR="00342B34">
        <w:rPr>
          <w:color w:val="000000"/>
        </w:rPr>
        <w:t>7</w:t>
      </w:r>
      <w:r w:rsidR="004F4584">
        <w:rPr>
          <w:color w:val="000000"/>
        </w:rPr>
        <w:t xml:space="preserve"> reports all comparisons for completeness</w:t>
      </w:r>
      <w:r w:rsidR="00347C26" w:rsidRPr="00347C26">
        <w:rPr>
          <w:color w:val="3494BA" w:themeColor="accent1"/>
        </w:rPr>
        <w:t xml:space="preserve">; </w:t>
      </w:r>
      <w:r w:rsidR="00342B34" w:rsidRPr="00347C26">
        <w:rPr>
          <w:color w:val="3494BA" w:themeColor="accent1"/>
        </w:rPr>
        <w:t>Table A4</w:t>
      </w:r>
      <w:r w:rsidR="00347C26" w:rsidRPr="00347C26">
        <w:rPr>
          <w:color w:val="3494BA" w:themeColor="accent1"/>
        </w:rPr>
        <w:t xml:space="preserve"> reports mean gammas</w:t>
      </w:r>
      <w:r w:rsidR="004F4584" w:rsidRPr="00347C26">
        <w:rPr>
          <w:color w:val="3494BA" w:themeColor="accent1"/>
        </w:rPr>
        <w:t>.</w:t>
      </w:r>
      <w:r w:rsidR="004F4584">
        <w:rPr>
          <w:color w:val="000000"/>
        </w:rPr>
        <w:t xml:space="preserve"> </w:t>
      </w:r>
      <w:r w:rsidRPr="00AA5ECB">
        <w:rPr>
          <w:color w:val="000000"/>
        </w:rPr>
        <w:t>We first evaluated Sans Forgetica font effects using a 2(Measure</w:t>
      </w:r>
      <w:r w:rsidR="00953F5E">
        <w:rPr>
          <w:color w:val="000000"/>
        </w:rPr>
        <w:t>: JOL vs Recall</w:t>
      </w:r>
      <w:r w:rsidRPr="00AA5ECB">
        <w:rPr>
          <w:color w:val="000000"/>
        </w:rPr>
        <w:t>)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w:t>
      </w:r>
      <w:r w:rsidR="00F300BE">
        <w:rPr>
          <w:color w:val="000000"/>
        </w:rPr>
        <w:t>ed</w:t>
      </w:r>
      <w:r w:rsidRPr="00AA5ECB">
        <w:rPr>
          <w:color w:val="000000"/>
        </w:rPr>
        <w:t xml:space="preserve">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146247E4" w:rsidR="00AA5ECB" w:rsidRPr="00AA5ECB" w:rsidRDefault="00AA5ECB" w:rsidP="00AA5ECB">
      <w:pPr>
        <w:spacing w:line="480" w:lineRule="auto"/>
        <w:contextualSpacing/>
        <w:textAlignment w:val="baseline"/>
        <w:rPr>
          <w:color w:val="000000"/>
        </w:rPr>
      </w:pPr>
      <w:r w:rsidRPr="00AA5ECB">
        <w:rPr>
          <w:color w:val="000000"/>
        </w:rPr>
        <w:tab/>
        <w:t>We then separately compared Sans Forgetica and Arial pairs in the mixed group to the control group</w:t>
      </w:r>
      <w:r w:rsidR="00953F5E">
        <w:rPr>
          <w:color w:val="000000"/>
        </w:rPr>
        <w:t xml:space="preserve">. </w:t>
      </w:r>
      <w:commentRangeStart w:id="17"/>
      <w:r w:rsidRPr="00953F5E">
        <w:rPr>
          <w:color w:val="3494BA" w:themeColor="accent1"/>
        </w:rPr>
        <w:t>Starting</w:t>
      </w:r>
      <w:commentRangeEnd w:id="17"/>
      <w:r w:rsidR="00953F5E">
        <w:rPr>
          <w:rStyle w:val="CommentReference"/>
        </w:rPr>
        <w:commentReference w:id="17"/>
      </w:r>
      <w:r w:rsidRPr="00953F5E">
        <w:rPr>
          <w:color w:val="3494BA" w:themeColor="accent1"/>
        </w:rPr>
        <w:t xml:space="preserve"> with the </w:t>
      </w:r>
      <w:r w:rsidR="00953F5E" w:rsidRPr="00953F5E">
        <w:rPr>
          <w:color w:val="3494BA" w:themeColor="accent1"/>
        </w:rPr>
        <w:t xml:space="preserve">comparison </w:t>
      </w:r>
      <w:bookmarkStart w:id="18" w:name="_Hlk78378285"/>
      <w:r w:rsidR="00953F5E" w:rsidRPr="00953F5E">
        <w:rPr>
          <w:color w:val="3494BA" w:themeColor="accent1"/>
        </w:rPr>
        <w:t xml:space="preserve">between </w:t>
      </w:r>
      <w:r w:rsidRPr="00953F5E">
        <w:rPr>
          <w:color w:val="3494BA" w:themeColor="accent1"/>
        </w:rPr>
        <w:t>Sans Forgetica pairs</w:t>
      </w:r>
      <w:r w:rsidR="00953F5E" w:rsidRPr="00953F5E">
        <w:rPr>
          <w:color w:val="3494BA" w:themeColor="accent1"/>
        </w:rPr>
        <w:t xml:space="preserve"> and the control group</w:t>
      </w:r>
      <w:r w:rsidRPr="00953F5E">
        <w:rPr>
          <w:color w:val="3494BA" w:themeColor="accent1"/>
        </w:rPr>
        <w:t xml:space="preserve">, </w:t>
      </w:r>
      <w:r w:rsidR="00953F5E" w:rsidRPr="00953F5E">
        <w:rPr>
          <w:color w:val="3494BA" w:themeColor="accent1"/>
        </w:rPr>
        <w:t>a 2(Pair Type: Sans Forgetica vs</w:t>
      </w:r>
      <w:r w:rsidR="00953F5E">
        <w:rPr>
          <w:color w:val="3494BA" w:themeColor="accent1"/>
        </w:rPr>
        <w:t>.</w:t>
      </w:r>
      <w:r w:rsidR="00953F5E" w:rsidRPr="00953F5E">
        <w:rPr>
          <w:color w:val="3494BA" w:themeColor="accent1"/>
        </w:rPr>
        <w:t xml:space="preserve"> Control) </w:t>
      </w:r>
      <w:r w:rsidR="00953F5E" w:rsidRPr="00953F5E">
        <w:rPr>
          <w:color w:val="3494BA" w:themeColor="accent1"/>
        </w:rPr>
        <w:t>×</w:t>
      </w:r>
      <w:r w:rsidR="00953F5E" w:rsidRPr="00953F5E">
        <w:rPr>
          <w:color w:val="3494BA" w:themeColor="accent1"/>
        </w:rPr>
        <w:t xml:space="preserve"> 2 (Measure: JOL vs</w:t>
      </w:r>
      <w:r w:rsidR="00953F5E">
        <w:rPr>
          <w:color w:val="3494BA" w:themeColor="accent1"/>
        </w:rPr>
        <w:t>.</w:t>
      </w:r>
      <w:r w:rsidR="00953F5E" w:rsidRPr="00953F5E">
        <w:rPr>
          <w:color w:val="3494BA" w:themeColor="accent1"/>
        </w:rPr>
        <w:t xml:space="preserve"> Recall) mixed measures ANOVA yielded</w:t>
      </w:r>
      <w:r w:rsidR="00953F5E">
        <w:rPr>
          <w:color w:val="000000"/>
        </w:rPr>
        <w:t xml:space="preserve"> </w:t>
      </w:r>
      <w:bookmarkEnd w:id="18"/>
      <w:r w:rsidRPr="00AA5ECB">
        <w:rPr>
          <w:color w:val="000000"/>
        </w:rPr>
        <w:t xml:space="preserve">an effect of measure,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w:t>
      </w:r>
      <w:r w:rsidRPr="00AA5ECB">
        <w:rPr>
          <w:color w:val="000000"/>
        </w:rPr>
        <w:lastRenderedPageBreak/>
        <w:t xml:space="preserve">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3A0A4C69" w:rsidR="00AA5ECB" w:rsidRPr="00AA5ECB" w:rsidRDefault="00AA5ECB" w:rsidP="00AA5ECB">
      <w:pPr>
        <w:spacing w:line="480" w:lineRule="auto"/>
        <w:contextualSpacing/>
        <w:textAlignment w:val="baseline"/>
        <w:rPr>
          <w:color w:val="000000"/>
          <w:vertAlign w:val="subscript"/>
        </w:rPr>
      </w:pPr>
      <w:r w:rsidRPr="00AA5ECB">
        <w:rPr>
          <w:color w:val="000000"/>
        </w:rPr>
        <w:tab/>
        <w:t>Turning to Arial pairs</w:t>
      </w:r>
      <w:r w:rsidR="00953F5E">
        <w:rPr>
          <w:color w:val="000000"/>
        </w:rPr>
        <w:t xml:space="preserve">, </w:t>
      </w:r>
      <w:r w:rsidR="00953F5E" w:rsidRPr="00953F5E">
        <w:rPr>
          <w:color w:val="3494BA" w:themeColor="accent1"/>
        </w:rPr>
        <w:t xml:space="preserve">a 2(Pair Type: </w:t>
      </w:r>
      <w:r w:rsidR="00953F5E" w:rsidRPr="00953F5E">
        <w:rPr>
          <w:color w:val="3494BA" w:themeColor="accent1"/>
        </w:rPr>
        <w:t>Arial</w:t>
      </w:r>
      <w:r w:rsidR="00953F5E" w:rsidRPr="00953F5E">
        <w:rPr>
          <w:color w:val="3494BA" w:themeColor="accent1"/>
        </w:rPr>
        <w:t xml:space="preserve"> vs Control) × 2 (Measure: JOL vs Recall) mixed</w:t>
      </w:r>
      <w:r w:rsidR="00764B0B">
        <w:rPr>
          <w:color w:val="3494BA" w:themeColor="accent1"/>
        </w:rPr>
        <w:t xml:space="preserve"> </w:t>
      </w:r>
      <w:r w:rsidR="00953F5E" w:rsidRPr="00953F5E">
        <w:rPr>
          <w:color w:val="3494BA" w:themeColor="accent1"/>
        </w:rPr>
        <w:t xml:space="preserve">ANOVA </w:t>
      </w:r>
      <w:r w:rsidR="00953F5E" w:rsidRPr="00953F5E">
        <w:rPr>
          <w:color w:val="3494BA" w:themeColor="accent1"/>
        </w:rPr>
        <w:t>again found a significant effect of measure</w:t>
      </w:r>
      <w:r w:rsidRPr="00AA5ECB">
        <w:rPr>
          <w:color w:val="000000"/>
        </w:rPr>
        <w:t xml:space="preserve">,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7CCC0D8C"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67D7C" w:rsidRPr="00C67D7C">
        <w:rPr>
          <w:color w:val="3494BA" w:themeColor="accent1"/>
        </w:rPr>
        <w:t>W</w:t>
      </w:r>
      <w:r w:rsidR="00C25F8F" w:rsidRPr="00C67D7C">
        <w:rPr>
          <w:color w:val="3494BA" w:themeColor="accent1"/>
        </w:rPr>
        <w:t>e expected that</w:t>
      </w:r>
      <w:r w:rsidR="00C67D7C" w:rsidRPr="00C67D7C">
        <w:rPr>
          <w:color w:val="3494BA" w:themeColor="accent1"/>
        </w:rPr>
        <w:t xml:space="preserve"> if Sans Forgetica operated as a desirable difficulty, then participants should assign low JOL ratings (i.e., a belief that Sans Forgetica is less effective than Arial) but recall of Sans Forgetica pairs should be higher than Arial pairs</w:t>
      </w:r>
      <w:r w:rsidR="002B7C7A">
        <w:rPr>
          <w:color w:val="3494BA" w:themeColor="accent1"/>
        </w:rPr>
        <w:t xml:space="preserve"> due to the benefits of desirable difficulties on learning </w:t>
      </w:r>
      <w:r w:rsidR="00777601">
        <w:rPr>
          <w:color w:val="3494BA" w:themeColor="accent1"/>
        </w:rPr>
        <w:t>(Bjork &amp; Bjork, 2011)</w:t>
      </w:r>
      <w:r w:rsidR="00C67D7C" w:rsidRPr="00C67D7C">
        <w:rPr>
          <w:color w:val="3494BA" w:themeColor="accent1"/>
        </w:rPr>
        <w:t>.</w:t>
      </w:r>
      <w:r w:rsidR="00C67D7C">
        <w:rPr>
          <w:color w:val="000000"/>
        </w:rPr>
        <w:t xml:space="preserve"> T</w:t>
      </w:r>
      <w:r w:rsidR="00C25F8F" w:rsidRPr="00C25F8F">
        <w:rPr>
          <w:color w:val="000000"/>
        </w:rPr>
        <w:t>he fluency account</w:t>
      </w:r>
      <w:r w:rsidR="008D0705">
        <w:rPr>
          <w:color w:val="000000"/>
        </w:rPr>
        <w:t xml:space="preserve"> also </w:t>
      </w:r>
      <w:r w:rsidR="00C25F8F" w:rsidRPr="00C25F8F">
        <w:rPr>
          <w:color w:val="000000"/>
        </w:rPr>
        <w:t>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w:t>
      </w:r>
      <w:r w:rsidR="00C67D7C">
        <w:rPr>
          <w:color w:val="000000"/>
        </w:rPr>
        <w:t xml:space="preserve"> </w:t>
      </w:r>
      <w:r w:rsidR="00C67D7C" w:rsidRPr="00C67D7C">
        <w:rPr>
          <w:color w:val="3494BA" w:themeColor="accent1"/>
        </w:rPr>
        <w:t xml:space="preserve">while making no predictions regarding </w:t>
      </w:r>
      <w:r w:rsidR="008D0705">
        <w:rPr>
          <w:color w:val="3494BA" w:themeColor="accent1"/>
        </w:rPr>
        <w:t xml:space="preserve">the effects of Sans Forgetica on </w:t>
      </w:r>
      <w:r w:rsidR="00C67D7C" w:rsidRPr="00C67D7C">
        <w:rPr>
          <w:color w:val="3494BA" w:themeColor="accent1"/>
        </w:rPr>
        <w:t>recall</w:t>
      </w:r>
      <w:r w:rsidR="00C25F8F" w:rsidRPr="00C67D7C">
        <w:rPr>
          <w:color w:val="3494BA" w:themeColor="accent1"/>
        </w:rPr>
        <w:t xml:space="preserve">. </w:t>
      </w:r>
      <w:r w:rsidR="00C25F8F" w:rsidRPr="00C25F8F">
        <w:rPr>
          <w:color w:val="000000"/>
        </w:rPr>
        <w:t xml:space="preserve">Overall, </w:t>
      </w:r>
      <w:r w:rsidR="00053CFF">
        <w:rPr>
          <w:color w:val="000000"/>
        </w:rPr>
        <w:t xml:space="preserve">JOLs were lower for pairs </w:t>
      </w:r>
      <w:r w:rsidR="00053CFF">
        <w:rPr>
          <w:color w:val="000000"/>
        </w:rPr>
        <w:lastRenderedPageBreak/>
        <w:t>presented using the less fluent Sans Forgetica</w:t>
      </w:r>
      <w:r w:rsidR="00CF6F45">
        <w:rPr>
          <w:color w:val="000000"/>
        </w:rPr>
        <w:t xml:space="preserve"> font</w:t>
      </w:r>
      <w:r w:rsidR="008D0705">
        <w:rPr>
          <w:color w:val="000000"/>
        </w:rPr>
        <w:t xml:space="preserve">, </w:t>
      </w:r>
      <w:r w:rsidR="008D0705" w:rsidRPr="008D0705">
        <w:rPr>
          <w:color w:val="3494BA" w:themeColor="accent1"/>
        </w:rPr>
        <w:t>a prediction in line with both the fluency and beliefs accounts</w:t>
      </w:r>
      <w:r w:rsidR="008D0705">
        <w:rPr>
          <w:color w:val="000000"/>
        </w:rPr>
        <w: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xml:space="preserve">, </w:t>
      </w:r>
      <w:r w:rsidR="00084900" w:rsidRPr="008D0705">
        <w:rPr>
          <w:color w:val="3494BA" w:themeColor="accent1"/>
        </w:rPr>
        <w:t>suggesting that Sans Forgetica</w:t>
      </w:r>
      <w:r w:rsidR="008D0705" w:rsidRPr="008D0705">
        <w:rPr>
          <w:color w:val="3494BA" w:themeColor="accent1"/>
        </w:rPr>
        <w:t xml:space="preserve"> does not operate as a desirable difficulty and</w:t>
      </w:r>
      <w:r w:rsidR="00084900" w:rsidRPr="008D0705">
        <w:rPr>
          <w:color w:val="3494BA" w:themeColor="accent1"/>
        </w:rPr>
        <w:t xml:space="preserve"> is </w:t>
      </w:r>
      <w:r w:rsidR="008D0705" w:rsidRPr="008D0705">
        <w:rPr>
          <w:color w:val="3494BA" w:themeColor="accent1"/>
        </w:rPr>
        <w:t xml:space="preserve">instead </w:t>
      </w:r>
      <w:r w:rsidR="00084900" w:rsidRPr="008D0705">
        <w:rPr>
          <w:color w:val="3494BA" w:themeColor="accent1"/>
        </w:rPr>
        <w:t>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0B5AF1CF"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r w:rsidR="00DB2BB0">
        <w:rPr>
          <w:color w:val="000000"/>
        </w:rPr>
        <w:t xml:space="preserve">word </w:t>
      </w:r>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r w:rsidR="00DB2BB0" w:rsidRPr="005C0F83">
        <w:rPr>
          <w:color w:val="000000"/>
        </w:rPr>
        <w:t>small</w:t>
      </w:r>
      <w:r w:rsidR="00DB2BB0">
        <w:rPr>
          <w:color w:val="000000"/>
        </w:rPr>
        <w:t>-</w:t>
      </w:r>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r w:rsidR="00DB2BB0">
        <w:rPr>
          <w:color w:val="000000"/>
        </w:rPr>
        <w:t>mixed-</w:t>
      </w:r>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r w:rsidR="005655DF">
        <w:rPr>
          <w:color w:val="000000"/>
        </w:rPr>
        <w:t>-</w:t>
      </w:r>
      <w:r w:rsidR="00746E94">
        <w:rPr>
          <w:color w:val="000000"/>
        </w:rPr>
        <w:t xml:space="preserve"> and </w:t>
      </w:r>
      <w:r w:rsidR="005655DF">
        <w:rPr>
          <w:color w:val="000000"/>
        </w:rPr>
        <w:t>small-</w:t>
      </w:r>
      <w:r w:rsidR="00746E94">
        <w:rPr>
          <w:color w:val="000000"/>
        </w:rPr>
        <w:t xml:space="preserve">font size effects relative to a baseline font size. </w:t>
      </w:r>
      <w:r w:rsidR="00942619">
        <w:rPr>
          <w:color w:val="000000"/>
        </w:rPr>
        <w:t>While</w:t>
      </w:r>
      <w:r w:rsidR="00BE29D9">
        <w:rPr>
          <w:color w:val="000000"/>
        </w:rPr>
        <w:t xml:space="preserve"> </w:t>
      </w:r>
      <w:r w:rsidR="00CF7215">
        <w:rPr>
          <w:color w:val="000000"/>
        </w:rPr>
        <w:t xml:space="preserve">the </w:t>
      </w:r>
      <w:r w:rsidR="005655DF">
        <w:rPr>
          <w:color w:val="000000"/>
        </w:rPr>
        <w:t>large-</w:t>
      </w:r>
      <w:r w:rsidR="00CF7215">
        <w:rPr>
          <w:color w:val="000000"/>
        </w:rPr>
        <w:t>font size increased both JOLs and recall rates similarly</w:t>
      </w:r>
      <w:r w:rsidR="00746E94">
        <w:rPr>
          <w:color w:val="000000"/>
        </w:rPr>
        <w:t xml:space="preserve"> relative to </w:t>
      </w:r>
      <w:r w:rsidR="005655DF">
        <w:rPr>
          <w:color w:val="000000"/>
        </w:rPr>
        <w:t>small-</w:t>
      </w:r>
      <w:r w:rsidR="00746E94">
        <w:rPr>
          <w:color w:val="000000"/>
        </w:rPr>
        <w:t>font pairs</w:t>
      </w:r>
      <w:r w:rsidR="00CF7215">
        <w:rPr>
          <w:color w:val="000000"/>
        </w:rPr>
        <w:t xml:space="preserve">, JOLs for </w:t>
      </w:r>
      <w:r w:rsidR="005655DF">
        <w:rPr>
          <w:color w:val="000000"/>
        </w:rPr>
        <w:t>large-</w:t>
      </w:r>
      <w:r w:rsidR="00CF7215">
        <w:rPr>
          <w:color w:val="000000"/>
        </w:rPr>
        <w:lastRenderedPageBreak/>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w:t>
      </w:r>
      <w:r w:rsidR="004C03AE">
        <w:rPr>
          <w:color w:val="000000"/>
        </w:rPr>
        <w:t xml:space="preserve"> </w:t>
      </w:r>
      <w:r w:rsidR="004C03AE" w:rsidRPr="00392FFD">
        <w:rPr>
          <w:color w:val="3494BA" w:themeColor="accent1"/>
        </w:rPr>
        <w:t>(</w:t>
      </w:r>
      <w:r w:rsidR="00392FFD" w:rsidRPr="00392FFD">
        <w:rPr>
          <w:color w:val="3494BA" w:themeColor="accent1"/>
        </w:rPr>
        <w:t>e.g.,</w:t>
      </w:r>
      <w:r w:rsidR="005604BA">
        <w:rPr>
          <w:color w:val="3494BA" w:themeColor="accent1"/>
        </w:rPr>
        <w:t xml:space="preserve"> </w:t>
      </w:r>
      <w:r w:rsidR="004C03AE" w:rsidRPr="00392FFD">
        <w:rPr>
          <w:color w:val="3494BA" w:themeColor="accent1"/>
        </w:rPr>
        <w:t>Rhodes &amp; Castel, 2008)</w:t>
      </w:r>
      <w:r w:rsidR="00CF7215">
        <w:rPr>
          <w:color w:val="000000"/>
        </w:rPr>
        <w:t xml:space="preserve">. </w:t>
      </w:r>
      <w:r w:rsidR="00777079">
        <w:rPr>
          <w:color w:val="000000"/>
        </w:rPr>
        <w:t>Finally,</w:t>
      </w:r>
      <w:r w:rsidR="00E53591">
        <w:rPr>
          <w:color w:val="000000"/>
        </w:rPr>
        <w:t xml:space="preserve"> neither JOLs nor recall differed as a function of font-size </w:t>
      </w:r>
      <w:r w:rsidR="00211C6C">
        <w:rPr>
          <w:color w:val="000000"/>
        </w:rPr>
        <w:t>when compared to</w:t>
      </w:r>
      <w:r w:rsidR="00E53591">
        <w:rPr>
          <w:color w:val="000000"/>
        </w:rPr>
        <w:t xml:space="preserve"> </w:t>
      </w:r>
      <w:r w:rsidR="00D90264" w:rsidRPr="005C0F83">
        <w:rPr>
          <w:color w:val="000000"/>
        </w:rPr>
        <w:t xml:space="preserve">the control group. </w:t>
      </w:r>
    </w:p>
    <w:p w14:paraId="07F48EED" w14:textId="1E614A33"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w:t>
      </w:r>
      <w:r w:rsidR="004E5A8F" w:rsidRPr="004E5A8F">
        <w:rPr>
          <w:color w:val="3494BA" w:themeColor="accent1"/>
        </w:rPr>
        <w:t xml:space="preserve">a pattern </w:t>
      </w:r>
      <w:r w:rsidR="00746E94" w:rsidRPr="004E5A8F">
        <w:rPr>
          <w:color w:val="3494BA" w:themeColor="accent1"/>
        </w:rPr>
        <w:t>consistent with font-size effect</w:t>
      </w:r>
      <w:r w:rsidR="004E5A8F" w:rsidRPr="004E5A8F">
        <w:rPr>
          <w:color w:val="3494BA" w:themeColor="accent1"/>
        </w:rPr>
        <w:t xml:space="preserve"> as originally reported by Rhodes and Castel (2008)</w:t>
      </w:r>
      <w:r w:rsidR="00746E94" w:rsidRPr="004E5A8F">
        <w:rPr>
          <w:color w:val="3494BA" w:themeColor="accent1"/>
        </w:rPr>
        <w:t>.</w:t>
      </w:r>
      <w:r w:rsidR="00AE045A">
        <w:rPr>
          <w:color w:val="000000"/>
        </w:rPr>
        <w:t xml:space="preserve"> </w:t>
      </w:r>
      <w:r w:rsidR="004E5A8F" w:rsidRPr="004E5A8F">
        <w:rPr>
          <w:color w:val="3494BA" w:themeColor="accent1"/>
        </w:rPr>
        <w:t xml:space="preserve">Overall, </w:t>
      </w:r>
      <w:r w:rsidR="00CF7215" w:rsidRPr="004E5A8F">
        <w:rPr>
          <w:color w:val="3494BA" w:themeColor="accent1"/>
        </w:rPr>
        <w:t>highlighted</w:t>
      </w:r>
      <w:r w:rsidR="00AE045A" w:rsidRPr="004E5A8F">
        <w:rPr>
          <w:color w:val="3494BA" w:themeColor="accent1"/>
        </w:rPr>
        <w:t xml:space="preserve"> </w:t>
      </w:r>
      <w:r w:rsidR="00746E94" w:rsidRPr="004E5A8F">
        <w:rPr>
          <w:color w:val="3494BA" w:themeColor="accent1"/>
        </w:rPr>
        <w:t xml:space="preserve">pairs did not affect </w:t>
      </w:r>
      <w:r w:rsidR="00AE045A" w:rsidRPr="004E5A8F">
        <w:rPr>
          <w:color w:val="3494BA" w:themeColor="accent1"/>
        </w:rPr>
        <w:t>JOLs</w:t>
      </w:r>
      <w:r w:rsidR="004E5A8F" w:rsidRPr="004E5A8F">
        <w:rPr>
          <w:color w:val="3494BA" w:themeColor="accent1"/>
        </w:rPr>
        <w:t xml:space="preserve"> relative to non-highlighted pairs, and consistent with Experiment 1A, no differences in JOLs or recall occurred when </w:t>
      </w:r>
      <w:r w:rsidR="00746E94" w:rsidRPr="004E5A8F">
        <w:rPr>
          <w:color w:val="3494BA" w:themeColor="accent1"/>
        </w:rPr>
        <w:t>compar</w:t>
      </w:r>
      <w:r w:rsidR="004E5A8F" w:rsidRPr="004E5A8F">
        <w:rPr>
          <w:color w:val="3494BA" w:themeColor="accent1"/>
        </w:rPr>
        <w:t xml:space="preserve">ing highlighted and non-highlighted pairs in the mixed group to the </w:t>
      </w:r>
      <w:r w:rsidR="00746E94" w:rsidRPr="004E5A8F">
        <w:rPr>
          <w:color w:val="3494BA" w:themeColor="accent1"/>
        </w:rPr>
        <w:t>control group.</w:t>
      </w:r>
      <w:r w:rsidRPr="005C0F83">
        <w:rPr>
          <w:color w:val="000000"/>
        </w:rPr>
        <w:t xml:space="preserve"> </w:t>
      </w:r>
    </w:p>
    <w:p w14:paraId="6E5E9898" w14:textId="1F4C64B7"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r w:rsidR="005655DF">
        <w:rPr>
          <w:color w:val="000000"/>
        </w:rPr>
        <w:t>JOLs</w:t>
      </w:r>
      <w:r w:rsidR="00CA0CAC">
        <w:rPr>
          <w:color w:val="000000"/>
        </w:rPr>
        <w:t xml:space="preserve"> </w:t>
      </w:r>
      <w:r w:rsidR="00746E94">
        <w:rPr>
          <w:color w:val="000000"/>
        </w:rPr>
        <w:t>in</w:t>
      </w:r>
      <w:r w:rsidR="00266890">
        <w:rPr>
          <w:color w:val="000000"/>
        </w:rPr>
        <w:t xml:space="preserve"> Experiment 1 </w:t>
      </w:r>
      <w:r w:rsidR="0021279E">
        <w:rPr>
          <w:color w:val="000000"/>
        </w:rPr>
        <w:t xml:space="preserve">when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r w:rsidR="005655DF">
        <w:rPr>
          <w:color w:val="000000"/>
        </w:rPr>
        <w:t>large-</w:t>
      </w:r>
      <w:r w:rsidR="00746E94">
        <w:rPr>
          <w:color w:val="000000"/>
        </w:rPr>
        <w:t xml:space="preserve">font sizes significantly increased both JOLs and recall rates relative to small-font pairs and marginally relative to control pairs, but again, </w:t>
      </w:r>
      <w:r w:rsidR="00CA0CAC" w:rsidRPr="00CA0CAC">
        <w:rPr>
          <w:color w:val="3494BA" w:themeColor="accent1"/>
        </w:rPr>
        <w:t>the</w:t>
      </w:r>
      <w:r w:rsidR="00746E94" w:rsidRPr="00CA0CAC">
        <w:rPr>
          <w:color w:val="3494BA" w:themeColor="accent1"/>
        </w:rPr>
        <w:t xml:space="preserve"> </w:t>
      </w:r>
      <w:r w:rsidR="00CA0CAC" w:rsidRPr="00CA0CAC">
        <w:rPr>
          <w:color w:val="3494BA" w:themeColor="accent1"/>
        </w:rPr>
        <w:t xml:space="preserve">classic </w:t>
      </w:r>
      <w:r w:rsidR="00746E94" w:rsidRPr="00CA0CAC">
        <w:rPr>
          <w:color w:val="3494BA" w:themeColor="accent1"/>
        </w:rPr>
        <w:t>font-size effect was not found</w:t>
      </w:r>
      <w:r w:rsidR="00CA0CAC" w:rsidRPr="00CA0CAC">
        <w:rPr>
          <w:color w:val="3494BA" w:themeColor="accent1"/>
        </w:rPr>
        <w:t>, as JOLs and recall both increased as a function of font-size</w:t>
      </w:r>
      <w:r w:rsidR="00746E94" w:rsidRPr="00CA0CAC">
        <w:rPr>
          <w:color w:val="3494BA" w:themeColor="accent1"/>
        </w:rPr>
        <w:t>.</w:t>
      </w:r>
      <w:r w:rsidR="00746E94">
        <w:rPr>
          <w:color w:val="000000"/>
        </w:rPr>
        <w:t xml:space="preserve"> In Experiment 2B, </w:t>
      </w:r>
      <w:r w:rsidR="00CA0CAC">
        <w:rPr>
          <w:color w:val="000000"/>
        </w:rPr>
        <w:t xml:space="preserve">the </w:t>
      </w:r>
      <w:r w:rsidR="00746E94">
        <w:rPr>
          <w:color w:val="000000"/>
        </w:rPr>
        <w:t xml:space="preserve">highlight </w:t>
      </w:r>
      <w:r w:rsidR="00CA0CAC">
        <w:rPr>
          <w:color w:val="000000"/>
        </w:rPr>
        <w:t xml:space="preserve">manipulation </w:t>
      </w:r>
      <w:r w:rsidR="00746E94">
        <w:rPr>
          <w:color w:val="000000"/>
        </w:rPr>
        <w:t>again produced no effect on either JOLs or recall rates. Thus, font size and highlighting effects were not due to differences in the related vs. unrelated pairs presented within the study list.</w:t>
      </w:r>
    </w:p>
    <w:p w14:paraId="1FD5EFA8" w14:textId="14B9F11A"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96500E">
        <w:rPr>
          <w:color w:val="000000"/>
        </w:rPr>
        <w:t xml:space="preserve"> </w:t>
      </w:r>
      <w:r w:rsidR="0096500E" w:rsidRPr="0096500E">
        <w:rPr>
          <w:color w:val="3494BA" w:themeColor="accent1"/>
        </w:rPr>
        <w:t>through desirable difficulties</w:t>
      </w:r>
      <w:r w:rsidR="0028203E">
        <w:rPr>
          <w:color w:val="000000"/>
        </w:rPr>
        <w:t xml:space="preserve"> </w:t>
      </w:r>
      <w:r w:rsidR="005B7394">
        <w:rPr>
          <w:color w:val="000000"/>
        </w:rPr>
        <w:t xml:space="preserve">(Earp, 2018). </w:t>
      </w:r>
      <w:r w:rsidRPr="004F4584">
        <w:rPr>
          <w:color w:val="000000"/>
        </w:rPr>
        <w:t xml:space="preserve">While several recent studies have indicated that presenting </w:t>
      </w:r>
      <w:r w:rsidRPr="004F4584">
        <w:rPr>
          <w:color w:val="000000"/>
        </w:rPr>
        <w:lastRenderedPageBreak/>
        <w:t xml:space="preserve">study materials using Sans Forgetica does not benefit memory (e.g., Geller et al., 2020; Taylor et al., 2020), it is possible that participants may hold the belief that Sans Forgetica improves retention. </w:t>
      </w:r>
      <w:r w:rsidR="0096500E" w:rsidRPr="0096500E">
        <w:rPr>
          <w:color w:val="3494BA" w:themeColor="accent1"/>
        </w:rPr>
        <w:t>Alternatively, if Sans Forgetica operates as a desirable difficulty, JOLs should be lower for Sans Forgetica pairs, though recall of this pair type should be higher compared to a more fluent font.</w:t>
      </w:r>
      <w:r w:rsidR="0096500E">
        <w:rPr>
          <w:color w:val="000000"/>
        </w:rPr>
        <w:t xml:space="preserve"> </w:t>
      </w:r>
      <w:r w:rsidR="00B156A4">
        <w:rPr>
          <w:color w:val="000000"/>
        </w:rPr>
        <w:t xml:space="preserve">Consistent with </w:t>
      </w:r>
      <w:r w:rsidR="0096500E">
        <w:rPr>
          <w:color w:val="000000"/>
        </w:rPr>
        <w:t xml:space="preserve">both a </w:t>
      </w:r>
      <w:r w:rsidR="00B156A4">
        <w:rPr>
          <w:color w:val="000000"/>
        </w:rPr>
        <w:t>fluenc</w:t>
      </w:r>
      <w:r w:rsidR="00F16F3E">
        <w:rPr>
          <w:color w:val="000000"/>
        </w:rPr>
        <w:t>y</w:t>
      </w:r>
      <w:r w:rsidR="00B156A4">
        <w:rPr>
          <w:color w:val="000000"/>
        </w:rPr>
        <w:t xml:space="preserve"> </w:t>
      </w:r>
      <w:r w:rsidR="0096500E">
        <w:rPr>
          <w:color w:val="000000"/>
        </w:rPr>
        <w:t>and beliefs account</w:t>
      </w:r>
      <w:r w:rsidR="00B156A4">
        <w:rPr>
          <w:color w:val="000000"/>
        </w:rPr>
        <w: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w:t>
      </w:r>
      <w:r w:rsidR="0096500E">
        <w:rPr>
          <w:color w:val="000000"/>
        </w:rPr>
        <w:t xml:space="preserve">recall of </w:t>
      </w:r>
      <w:r w:rsidR="00B156A4">
        <w:rPr>
          <w:color w:val="000000"/>
        </w:rPr>
        <w:t xml:space="preserve">Sans Forgetica pairs </w:t>
      </w:r>
      <w:r w:rsidR="0096500E">
        <w:rPr>
          <w:color w:val="000000"/>
        </w:rPr>
        <w:t>was</w:t>
      </w:r>
      <w:r w:rsidR="00B156A4">
        <w:rPr>
          <w:color w:val="000000"/>
        </w:rPr>
        <w:t xml:space="preserve"> </w:t>
      </w:r>
      <w:r w:rsidR="005604BA">
        <w:rPr>
          <w:color w:val="000000"/>
        </w:rPr>
        <w:t xml:space="preserve">lower </w:t>
      </w:r>
      <w:r w:rsidR="00B156A4">
        <w:rPr>
          <w:color w:val="000000"/>
        </w:rPr>
        <w:t xml:space="preserve">relative to mixed Arial pairs but not the pure Arial pairs—a Sans Forgetica cost. Interestingly, mixed Arial pairs produced greater JOLs and recall rates than Arial pairs in the pure group, suggesting that the mixed list context increased </w:t>
      </w:r>
      <w:r w:rsidR="005604BA">
        <w:rPr>
          <w:color w:val="000000"/>
        </w:rPr>
        <w:t xml:space="preserve">both </w:t>
      </w:r>
      <w:r w:rsidR="00B156A4">
        <w:rPr>
          <w:color w:val="000000"/>
        </w:rPr>
        <w:t xml:space="preserve">participants </w:t>
      </w:r>
      <w:r w:rsidR="005604BA">
        <w:rPr>
          <w:color w:val="000000"/>
        </w:rPr>
        <w:t>J</w:t>
      </w:r>
      <w:r w:rsidR="00B156A4">
        <w:rPr>
          <w:color w:val="000000"/>
        </w:rPr>
        <w:t xml:space="preserve">OLs and the encoding of Arial pairs. </w:t>
      </w:r>
      <w:r w:rsidR="005604BA" w:rsidRPr="005604BA">
        <w:rPr>
          <w:color w:val="3494BA" w:themeColor="accent1"/>
        </w:rPr>
        <w:t>Thus, the disfluent nature of Sans Forgetica results in lower JOLs relative to a standard Arial control group while not providing any benefits on recall.</w:t>
      </w:r>
    </w:p>
    <w:p w14:paraId="00567624" w14:textId="3413FB72" w:rsidR="0042099C" w:rsidRDefault="00584C5E" w:rsidP="0042099C">
      <w:pPr>
        <w:spacing w:line="480" w:lineRule="auto"/>
        <w:ind w:firstLine="720"/>
        <w:textAlignment w:val="baseline"/>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r w:rsidR="005655DF">
        <w:t>pure-</w:t>
      </w:r>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w:t>
      </w:r>
      <w:r w:rsidR="008A282B">
        <w:lastRenderedPageBreak/>
        <w:t xml:space="preserve">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50F0CB86" w:rsidR="00CD57BE" w:rsidRDefault="00E137D5" w:rsidP="0042099C">
      <w:pPr>
        <w:spacing w:line="480" w:lineRule="auto"/>
        <w:ind w:firstLine="720"/>
        <w:textAlignment w:val="baseline"/>
        <w:rPr>
          <w:color w:val="000000"/>
        </w:rPr>
      </w:pPr>
      <w:r>
        <w:t>Finally,</w:t>
      </w:r>
      <w:r w:rsidR="00864464">
        <w:t xml:space="preserve"> while not a </w:t>
      </w:r>
      <w:r w:rsidR="005C4AD3">
        <w:t xml:space="preserve">primary </w:t>
      </w:r>
      <w:r w:rsidR="00864464">
        <w:t>focal point of the current study, illusion of competence patterns (</w:t>
      </w:r>
      <w:proofErr w:type="spellStart"/>
      <w:r w:rsidR="00864464">
        <w:t>Koriat</w:t>
      </w:r>
      <w:proofErr w:type="spellEnd"/>
      <w:r w:rsidR="00864464">
        <w:t xml:space="preserve"> &amp; Bjork, 2005; Maxwell &amp; Huff, </w:t>
      </w:r>
      <w:r w:rsidR="00BD23E8">
        <w:t>2021</w:t>
      </w:r>
      <w:r w:rsidR="00864464">
        <w:t xml:space="preserve">) consistently </w:t>
      </w:r>
      <w:r w:rsidR="007F4288">
        <w:t>emerged</w:t>
      </w:r>
      <w:r w:rsidR="00864464">
        <w:t xml:space="preserve"> across experiments. In Experiment 1, JOLs overpredicted recall for backward, symmetrical, and unrelated pairs</w:t>
      </w:r>
      <w:r>
        <w:t xml:space="preserve">, regardless of font-size, highlights, or control group pairs. </w:t>
      </w:r>
      <w:r w:rsidR="009B70A4" w:rsidRPr="009B70A4">
        <w:t xml:space="preserve">For forward associates, however, JOLs and recall were well calibrated. </w:t>
      </w:r>
      <w:r>
        <w:t xml:space="preserve">This </w:t>
      </w:r>
      <w:r w:rsidR="00864464">
        <w:t>replicat</w:t>
      </w:r>
      <w:r>
        <w:t>ed</w:t>
      </w:r>
      <w:r w:rsidR="00864464">
        <w:t xml:space="preserve"> findings by Maxwell and Huff (</w:t>
      </w:r>
      <w:r w:rsidR="00BD23E8">
        <w:t>2021</w:t>
      </w:r>
      <w:r w:rsidR="00864464">
        <w:t>)</w:t>
      </w:r>
      <w:r>
        <w:t>,</w:t>
      </w:r>
      <w:r w:rsidR="00864464">
        <w:t xml:space="preserve"> who showed that JOLs consistently overpredicted correct recal</w:t>
      </w:r>
      <w:r w:rsidR="009B70A4">
        <w:t>l for study pairs in which the cue was not predictive of the target</w:t>
      </w:r>
      <w:r w:rsidR="00864464">
        <w:t xml:space="preserve">. </w:t>
      </w:r>
      <w:r w:rsidR="00983390">
        <w:t>Additionally, t</w:t>
      </w:r>
      <w:r>
        <w:t>he illusion of competence</w:t>
      </w:r>
      <w:r w:rsidR="00864464">
        <w:t xml:space="preserve"> pattern extended to unrelated pairs in Experiment 2 and 3</w:t>
      </w:r>
      <w:r>
        <w:t xml:space="preserve">, such that JOLs again overpredicted recall, regardless of </w:t>
      </w:r>
      <w:r w:rsidR="00983390">
        <w:t>perceptual fluency</w:t>
      </w:r>
      <w:r>
        <w:t xml:space="preserve"> or encoding group</w:t>
      </w:r>
      <w:r w:rsidR="00983390">
        <w:t xml:space="preserve"> (e.g., mixed lists or control)</w:t>
      </w:r>
      <w:r>
        <w:t>.</w:t>
      </w:r>
    </w:p>
    <w:p w14:paraId="4DE9BB25" w14:textId="6EDB8596"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5604BA">
        <w:rPr>
          <w:sz w:val="24"/>
          <w:szCs w:val="24"/>
        </w:rPr>
        <w:t xml:space="preserve"> </w:t>
      </w:r>
      <w:r w:rsidR="005604BA" w:rsidRPr="005604BA">
        <w:rPr>
          <w:color w:val="3494BA" w:themeColor="accent1"/>
          <w:sz w:val="24"/>
          <w:szCs w:val="24"/>
        </w:rPr>
        <w:t>as originally reported</w:t>
      </w:r>
      <w:r w:rsidR="0015002E">
        <w:rPr>
          <w:sz w:val="24"/>
          <w:szCs w:val="24"/>
        </w:rPr>
        <w: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 xml:space="preserve">still </w:t>
      </w:r>
      <w:r w:rsidR="0015002E">
        <w:rPr>
          <w:sz w:val="24"/>
          <w:szCs w:val="24"/>
        </w:rPr>
        <w:lastRenderedPageBreak/>
        <w:t>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Mu</w:t>
      </w:r>
      <w:r w:rsidR="005604BA">
        <w:rPr>
          <w:sz w:val="24"/>
          <w:szCs w:val="24"/>
        </w:rPr>
        <w:t>e</w:t>
      </w:r>
      <w:r w:rsidR="00142068" w:rsidRPr="0044260F">
        <w:rPr>
          <w:sz w:val="24"/>
          <w:szCs w:val="24"/>
        </w:rPr>
        <w:t xml:space="preserve">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263CE657"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w:t>
      </w:r>
      <w:r w:rsidR="005655DF">
        <w:rPr>
          <w:sz w:val="24"/>
          <w:szCs w:val="24"/>
        </w:rPr>
        <w:t>,</w:t>
      </w:r>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5655DF">
        <w:rPr>
          <w:sz w:val="24"/>
          <w:szCs w:val="24"/>
        </w:rPr>
        <w:t xml:space="preserve">Sans </w:t>
      </w:r>
      <w:proofErr w:type="spellStart"/>
      <w:r w:rsidR="005655DF">
        <w:rPr>
          <w:sz w:val="24"/>
          <w:szCs w:val="24"/>
        </w:rPr>
        <w:t>Remembrica</w:t>
      </w:r>
      <w:proofErr w:type="spellEnd"/>
      <w:r w:rsidR="009036EA">
        <w:rPr>
          <w:sz w:val="24"/>
          <w:szCs w:val="24"/>
        </w:rPr>
        <w:t>”</w:t>
      </w:r>
      <w:r w:rsidR="00A44D21">
        <w:rPr>
          <w:sz w:val="24"/>
          <w:szCs w:val="24"/>
        </w:rPr>
        <w:t xml:space="preserve"> </w:t>
      </w:r>
      <w:r w:rsidR="002A190E">
        <w:rPr>
          <w:sz w:val="24"/>
          <w:szCs w:val="24"/>
        </w:rPr>
        <w:t xml:space="preserve">due to </w:t>
      </w:r>
      <w:r w:rsidR="00225E7B">
        <w:rPr>
          <w:sz w:val="24"/>
          <w:szCs w:val="24"/>
        </w:rPr>
        <w:t xml:space="preserve">its associated </w:t>
      </w:r>
      <w:r w:rsidR="002A190E">
        <w:rPr>
          <w:sz w:val="24"/>
          <w:szCs w:val="24"/>
        </w:rPr>
        <w:t>memory costs</w:t>
      </w:r>
      <w:r w:rsidR="00476963">
        <w:rPr>
          <w:sz w:val="24"/>
          <w:szCs w:val="24"/>
        </w:rPr>
        <w:t>.</w:t>
      </w:r>
    </w:p>
    <w:p w14:paraId="14F930FB" w14:textId="19E07B3B" w:rsidR="005B5E28" w:rsidRPr="00B84F7B" w:rsidRDefault="009036EA" w:rsidP="004F0E74">
      <w:pPr>
        <w:spacing w:line="480" w:lineRule="auto"/>
        <w:ind w:firstLine="720"/>
        <w:textAlignment w:val="baseline"/>
        <w:rPr>
          <w:color w:val="000000"/>
        </w:rPr>
      </w:pPr>
      <w:r w:rsidRPr="00476963">
        <w:rPr>
          <w:color w:val="3494BA" w:themeColor="accent1"/>
        </w:rPr>
        <w:t xml:space="preserve">Though </w:t>
      </w:r>
      <w:r w:rsidR="00017F62" w:rsidRPr="00476963">
        <w:rPr>
          <w:color w:val="3494BA" w:themeColor="accent1"/>
        </w:rPr>
        <w:t xml:space="preserve">the </w:t>
      </w:r>
      <w:r w:rsidR="00476963" w:rsidRPr="00476963">
        <w:rPr>
          <w:color w:val="3494BA" w:themeColor="accent1"/>
        </w:rPr>
        <w:t xml:space="preserve">expected </w:t>
      </w:r>
      <w:r w:rsidRPr="00476963">
        <w:rPr>
          <w:color w:val="3494BA" w:themeColor="accent1"/>
        </w:rPr>
        <w:t>font-size effect</w:t>
      </w:r>
      <w:r w:rsidR="00017F62" w:rsidRPr="00476963">
        <w:rPr>
          <w:color w:val="3494BA" w:themeColor="accent1"/>
        </w:rPr>
        <w:t xml:space="preserve"> </w:t>
      </w:r>
      <w:r w:rsidR="00476963" w:rsidRPr="00476963">
        <w:rPr>
          <w:color w:val="3494BA" w:themeColor="accent1"/>
        </w:rPr>
        <w:t>patterns were</w:t>
      </w:r>
      <w:r w:rsidR="00040324" w:rsidRPr="00476963">
        <w:rPr>
          <w:color w:val="3494BA" w:themeColor="accent1"/>
        </w:rPr>
        <w:t xml:space="preserve"> not found</w:t>
      </w:r>
      <w:r w:rsidR="00017F62">
        <w:rPr>
          <w:color w:val="000000"/>
        </w:rPr>
        <w:t xml:space="preserve"> and the increases to JOLs </w:t>
      </w:r>
      <w:r w:rsidR="00FD1405" w:rsidRPr="00FD1405">
        <w:rPr>
          <w:color w:val="3494BA" w:themeColor="accent1"/>
        </w:rPr>
        <w:t xml:space="preserve">and recall observed for large </w:t>
      </w:r>
      <w:r w:rsidR="00FD1405" w:rsidRPr="0010196D">
        <w:rPr>
          <w:color w:val="3494BA" w:themeColor="accent1"/>
        </w:rPr>
        <w:t xml:space="preserve">font </w:t>
      </w:r>
      <w:r w:rsidR="0010196D" w:rsidRPr="0010196D">
        <w:rPr>
          <w:color w:val="3494BA" w:themeColor="accent1"/>
        </w:rPr>
        <w:t xml:space="preserve">in Experiments 1A and 2A </w:t>
      </w:r>
      <w:r w:rsidR="00017F62">
        <w:rPr>
          <w:color w:val="000000"/>
        </w:rPr>
        <w:t>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 xml:space="preserve">by having participants study individual words rather than paired associates and </w:t>
      </w:r>
      <w:r w:rsidR="00476963">
        <w:rPr>
          <w:color w:val="000000"/>
        </w:rPr>
        <w:t>assessed memory via free-recall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w:t>
      </w:r>
      <w:r w:rsidR="00056ACF">
        <w:rPr>
          <w:color w:val="000000"/>
        </w:rPr>
        <w:lastRenderedPageBreak/>
        <w:t>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Price</w:t>
      </w:r>
      <w:r w:rsidR="0016278D">
        <w:rPr>
          <w:color w:val="000000"/>
        </w:rPr>
        <w:t xml:space="preserve"> et al.</w:t>
      </w:r>
      <w:r w:rsidR="00107D18">
        <w:rPr>
          <w:color w:val="000000"/>
        </w:rPr>
        <w:t xml:space="preserve">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1335F17F"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AB58AB">
        <w:rPr>
          <w:color w:val="000000"/>
        </w:rPr>
        <w:t xml:space="preserve"> </w:t>
      </w:r>
      <w:r w:rsidR="00AB58AB" w:rsidRPr="00AB58AB">
        <w:rPr>
          <w:color w:val="3494BA" w:themeColor="accent1"/>
        </w:rPr>
        <w:t>relative to recall</w:t>
      </w:r>
      <w:r w:rsidR="002A190E" w:rsidRPr="00AB58AB">
        <w:rPr>
          <w:color w:val="3494BA" w:themeColor="accent1"/>
        </w:rPr>
        <w:t>.</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1F3942E5" w:rsidR="002F7721"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3815486A"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2387DCDB" w14:textId="17022EB0" w:rsidR="00777601" w:rsidRDefault="00777601" w:rsidP="00777601">
      <w:pPr>
        <w:spacing w:line="480" w:lineRule="auto"/>
        <w:ind w:left="720" w:hanging="720"/>
      </w:pPr>
      <w:r>
        <w:t xml:space="preserve">Bjork, R. A. (1994). Memory and metamemory considerations in the training of human beings. In J. Metcalfe &amp; A. Shimamura (Eds.), </w:t>
      </w:r>
      <w:r w:rsidRPr="00777601">
        <w:rPr>
          <w:i/>
          <w:iCs/>
        </w:rPr>
        <w:t>Metacognition: Knowing about knowing</w:t>
      </w:r>
      <w:r>
        <w:t xml:space="preserve"> (pp. 185–205). Cambridge, MA, MIT Press.</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lastRenderedPageBreak/>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26945187" w:rsidR="006C791D" w:rsidRDefault="006C791D" w:rsidP="00FB5D93">
      <w:pPr>
        <w:spacing w:line="480" w:lineRule="auto"/>
        <w:ind w:left="700" w:hanging="702"/>
        <w:contextualSpacing/>
        <w:rPr>
          <w:rFonts w:eastAsia="Arial"/>
        </w:rPr>
      </w:pPr>
      <w:proofErr w:type="spellStart"/>
      <w:r>
        <w:rPr>
          <w:rFonts w:eastAsia="Arial"/>
        </w:rPr>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23086E41" w14:textId="3B2BDB88" w:rsidR="00FA25AD" w:rsidRDefault="00FA25AD" w:rsidP="00FA25AD">
      <w:pPr>
        <w:spacing w:line="480" w:lineRule="auto"/>
        <w:ind w:left="700" w:hanging="700"/>
        <w:contextualSpacing/>
        <w:rPr>
          <w:rFonts w:eastAsia="Arial"/>
        </w:rPr>
      </w:pPr>
      <w:proofErr w:type="spellStart"/>
      <w:r w:rsidRPr="00FA25AD">
        <w:rPr>
          <w:rFonts w:eastAsia="Arial"/>
        </w:rPr>
        <w:t>Faul</w:t>
      </w:r>
      <w:proofErr w:type="spellEnd"/>
      <w:r w:rsidRPr="00FA25AD">
        <w:rPr>
          <w:rFonts w:eastAsia="Arial"/>
        </w:rPr>
        <w:t xml:space="preserve">, F., </w:t>
      </w:r>
      <w:proofErr w:type="spellStart"/>
      <w:r w:rsidRPr="00FA25AD">
        <w:rPr>
          <w:rFonts w:eastAsia="Arial"/>
        </w:rPr>
        <w:t>Erdfelder</w:t>
      </w:r>
      <w:proofErr w:type="spellEnd"/>
      <w:r w:rsidRPr="00FA25AD">
        <w:rPr>
          <w:rFonts w:eastAsia="Arial"/>
        </w:rPr>
        <w:t xml:space="preserve">, E., Lang, A. G., &amp; Buchner, A. (2007). G*Power 3: a flexible statistical power analysis program for the social, behavioral, and biomedical sciences. </w:t>
      </w:r>
      <w:r w:rsidRPr="00FA25AD">
        <w:rPr>
          <w:rFonts w:eastAsia="Arial"/>
          <w:i/>
          <w:iCs/>
        </w:rPr>
        <w:t>Behavior</w:t>
      </w:r>
      <w:r w:rsidRPr="00FA25AD">
        <w:rPr>
          <w:rFonts w:eastAsia="Arial"/>
        </w:rPr>
        <w:t xml:space="preserve"> </w:t>
      </w:r>
      <w:r w:rsidRPr="00FA25AD">
        <w:rPr>
          <w:rFonts w:eastAsia="Arial"/>
          <w:i/>
          <w:iCs/>
        </w:rPr>
        <w:t>Research Methods</w:t>
      </w:r>
      <w:r w:rsidRPr="00FA25AD">
        <w:rPr>
          <w:rFonts w:eastAsia="Arial"/>
        </w:rPr>
        <w:t>,</w:t>
      </w:r>
      <w:r w:rsidRPr="00FA25AD">
        <w:rPr>
          <w:rFonts w:eastAsia="Arial"/>
          <w:i/>
          <w:iCs/>
        </w:rPr>
        <w:t xml:space="preserve"> 39 </w:t>
      </w:r>
      <w:r w:rsidRPr="00FA25AD">
        <w:rPr>
          <w:rFonts w:eastAsia="Arial"/>
        </w:rPr>
        <w:t>(2), 175–191.</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w:t>
      </w:r>
      <w:proofErr w:type="gramStart"/>
      <w:r w:rsidRPr="003F2CE5">
        <w:t>beliefs</w:t>
      </w:r>
      <w:proofErr w:type="gramEnd"/>
      <w:r w:rsidRPr="003F2CE5">
        <w:t xml:space="preserve">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6805E0EB" w:rsidR="00382267" w:rsidRDefault="00382267" w:rsidP="00382267">
      <w:pPr>
        <w:spacing w:line="480" w:lineRule="auto"/>
        <w:ind w:left="700" w:hanging="706"/>
        <w:contextualSpacing/>
        <w:rPr>
          <w:rFonts w:eastAsia="Arial"/>
        </w:rPr>
      </w:pPr>
      <w:r w:rsidRPr="00B46C4C">
        <w:rPr>
          <w:rFonts w:eastAsia="Arial"/>
        </w:rPr>
        <w:lastRenderedPageBreak/>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44928FB5" w14:textId="1F0059BB" w:rsidR="00FD526F" w:rsidRPr="00B46C4C" w:rsidRDefault="00FD526F" w:rsidP="00382267">
      <w:pPr>
        <w:spacing w:line="480" w:lineRule="auto"/>
        <w:ind w:left="700" w:hanging="706"/>
        <w:contextualSpacing/>
        <w:rPr>
          <w:rFonts w:eastAsia="Arial"/>
          <w:i/>
          <w:iCs/>
        </w:rPr>
      </w:pPr>
      <w:proofErr w:type="spellStart"/>
      <w:r>
        <w:rPr>
          <w:rStyle w:val="authors"/>
        </w:rPr>
        <w:t>Jemstedt</w:t>
      </w:r>
      <w:proofErr w:type="spellEnd"/>
      <w:r>
        <w:rPr>
          <w:rStyle w:val="authors"/>
        </w:rPr>
        <w:t xml:space="preserve">, </w:t>
      </w:r>
      <w:r>
        <w:rPr>
          <w:rStyle w:val="authors"/>
        </w:rPr>
        <w:t xml:space="preserve">A., </w:t>
      </w:r>
      <w:r>
        <w:rPr>
          <w:rStyle w:val="authors"/>
        </w:rPr>
        <w:t>Schwartz</w:t>
      </w:r>
      <w:r>
        <w:rPr>
          <w:rStyle w:val="authors"/>
        </w:rPr>
        <w:t>, B. L.,</w:t>
      </w:r>
      <w:r>
        <w:rPr>
          <w:rStyle w:val="authors"/>
        </w:rPr>
        <w:t xml:space="preserve"> &amp; </w:t>
      </w:r>
      <w:proofErr w:type="spellStart"/>
      <w:r>
        <w:rPr>
          <w:rStyle w:val="authors"/>
        </w:rPr>
        <w:t>Jönsson</w:t>
      </w:r>
      <w:proofErr w:type="spellEnd"/>
      <w:r>
        <w:rPr>
          <w:rStyle w:val="authors"/>
        </w:rPr>
        <w:t>, F. U.</w:t>
      </w:r>
      <w:r>
        <w:t xml:space="preserve"> </w:t>
      </w:r>
      <w:r>
        <w:rPr>
          <w:rStyle w:val="date"/>
        </w:rPr>
        <w:t>(2018)</w:t>
      </w:r>
      <w:r>
        <w:t xml:space="preserve"> </w:t>
      </w:r>
      <w:r>
        <w:rPr>
          <w:rStyle w:val="arttitle"/>
        </w:rPr>
        <w:t>Ease-of-learning judgments are based on both processing fluency and beliefs,</w:t>
      </w:r>
      <w:r>
        <w:t xml:space="preserve"> </w:t>
      </w:r>
      <w:r w:rsidRPr="00FD526F">
        <w:rPr>
          <w:rStyle w:val="serialtitle"/>
          <w:i/>
          <w:iCs/>
        </w:rPr>
        <w:t>Memory,</w:t>
      </w:r>
      <w:r w:rsidRPr="00FD526F">
        <w:rPr>
          <w:i/>
          <w:iCs/>
        </w:rPr>
        <w:t xml:space="preserve"> </w:t>
      </w:r>
      <w:r w:rsidRPr="00FD526F">
        <w:rPr>
          <w:rStyle w:val="volumeissue"/>
          <w:i/>
          <w:iCs/>
        </w:rPr>
        <w:t>26</w:t>
      </w:r>
      <w:r>
        <w:rPr>
          <w:rStyle w:val="volumeissue"/>
        </w:rPr>
        <w:t>(</w:t>
      </w:r>
      <w:r>
        <w:rPr>
          <w:rStyle w:val="volumeissue"/>
        </w:rPr>
        <w:t>6</w:t>
      </w:r>
      <w:r>
        <w:rPr>
          <w:rStyle w:val="volumeissue"/>
        </w:rPr>
        <w:t>)</w:t>
      </w:r>
      <w:r>
        <w:rPr>
          <w:rStyle w:val="volumeissue"/>
        </w:rPr>
        <w:t>,</w:t>
      </w:r>
      <w:r>
        <w:t xml:space="preserve"> </w:t>
      </w:r>
      <w:r>
        <w:rPr>
          <w:rStyle w:val="pagerange"/>
        </w:rPr>
        <w:t>807-815</w:t>
      </w:r>
      <w:r>
        <w:rPr>
          <w:rStyle w:val="pagerange"/>
        </w:rPr>
        <w:t>.</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74758D91" w:rsidR="00382267" w:rsidRDefault="00382267" w:rsidP="00382267">
      <w:pPr>
        <w:spacing w:line="480" w:lineRule="auto"/>
        <w:ind w:left="720" w:hanging="719"/>
        <w:contextualSpacing/>
        <w:rPr>
          <w:rFonts w:eastAsia="Arial"/>
        </w:rPr>
      </w:pPr>
      <w:r w:rsidRPr="00B46C4C">
        <w:rPr>
          <w:rFonts w:eastAsia="Arial"/>
        </w:rPr>
        <w:t>Maxwell, N. P., &amp; Huff, M. J. (</w:t>
      </w:r>
      <w:r w:rsidR="00BD23E8">
        <w:rPr>
          <w:rFonts w:eastAsia="Arial"/>
        </w:rPr>
        <w:t>2021</w:t>
      </w:r>
      <w:r w:rsidRPr="00B46C4C">
        <w:rPr>
          <w:rFonts w:eastAsia="Arial"/>
        </w:rPr>
        <w:t xml:space="preserve">). The deceptive nature of associative word pairs: Effects of associative direction on judgments of learning. </w:t>
      </w:r>
      <w:r w:rsidRPr="00B46C4C">
        <w:rPr>
          <w:rFonts w:eastAsia="Arial"/>
          <w:i/>
          <w:iCs/>
        </w:rPr>
        <w:t>Psychological Research</w:t>
      </w:r>
      <w:r w:rsidR="00BD23E8">
        <w:rPr>
          <w:rFonts w:eastAsia="Arial"/>
          <w:i/>
          <w:iCs/>
        </w:rPr>
        <w:t>, 85</w:t>
      </w:r>
      <w:r w:rsidR="00BD23E8">
        <w:rPr>
          <w:rFonts w:eastAsia="Arial"/>
        </w:rPr>
        <w:t>(4),</w:t>
      </w:r>
      <w:r w:rsidRPr="00B46C4C">
        <w:rPr>
          <w:rFonts w:eastAsia="Arial"/>
        </w:rPr>
        <w:t xml:space="preserve"> </w:t>
      </w:r>
      <w:r w:rsidR="00BD23E8">
        <w:rPr>
          <w:rFonts w:eastAsia="Arial"/>
        </w:rPr>
        <w:t>1757</w:t>
      </w:r>
      <w:r w:rsidRPr="00B46C4C">
        <w:rPr>
          <w:rFonts w:eastAsia="Arial"/>
        </w:rPr>
        <w:t>-</w:t>
      </w:r>
      <w:r w:rsidR="00BD23E8">
        <w:rPr>
          <w:rFonts w:eastAsia="Arial"/>
        </w:rPr>
        <w:t>1775</w:t>
      </w:r>
      <w:r w:rsidRPr="00B46C4C">
        <w:rPr>
          <w:rFonts w:eastAsia="Arial"/>
        </w:rPr>
        <w:t>.</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26249D65" w:rsidR="0099010B" w:rsidRDefault="0099010B" w:rsidP="00382267">
      <w:pPr>
        <w:spacing w:line="480" w:lineRule="auto"/>
        <w:ind w:left="720" w:hanging="719"/>
        <w:contextualSpacing/>
        <w:rPr>
          <w:rFonts w:eastAsia="Arial"/>
        </w:rPr>
      </w:pPr>
      <w:r>
        <w:rPr>
          <w:rFonts w:eastAsia="Arial"/>
        </w:rPr>
        <w:lastRenderedPageBreak/>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65B7005C" w14:textId="4C8872EA" w:rsidR="00F20D2E" w:rsidRPr="0099010B" w:rsidRDefault="00F20D2E" w:rsidP="00F20D2E">
      <w:pPr>
        <w:spacing w:line="480" w:lineRule="auto"/>
        <w:ind w:left="720" w:hanging="719"/>
        <w:contextualSpacing/>
        <w:rPr>
          <w:rFonts w:eastAsia="Arial"/>
        </w:rPr>
      </w:pPr>
      <w:r w:rsidRPr="00F20D2E">
        <w:rPr>
          <w:rFonts w:eastAsia="Arial"/>
        </w:rPr>
        <w:t xml:space="preserve">Mueller, M. L., &amp; </w:t>
      </w:r>
      <w:proofErr w:type="spellStart"/>
      <w:r w:rsidRPr="00F20D2E">
        <w:rPr>
          <w:rFonts w:eastAsia="Arial"/>
        </w:rPr>
        <w:t>Dunlosky</w:t>
      </w:r>
      <w:proofErr w:type="spellEnd"/>
      <w:r w:rsidRPr="00F20D2E">
        <w:rPr>
          <w:rFonts w:eastAsia="Arial"/>
        </w:rPr>
        <w:t>, J. (2017). How beliefs can impact judgments</w:t>
      </w:r>
      <w:r>
        <w:rPr>
          <w:rFonts w:eastAsia="Arial"/>
        </w:rPr>
        <w:t xml:space="preserve"> </w:t>
      </w:r>
      <w:r w:rsidRPr="00F20D2E">
        <w:rPr>
          <w:rFonts w:eastAsia="Arial"/>
        </w:rPr>
        <w:t>of learning: Evaluating analytic processing theory with beliefs about</w:t>
      </w:r>
      <w:r>
        <w:rPr>
          <w:rFonts w:eastAsia="Arial"/>
        </w:rPr>
        <w:t xml:space="preserve"> </w:t>
      </w:r>
      <w:r w:rsidRPr="00F20D2E">
        <w:rPr>
          <w:rFonts w:eastAsia="Arial"/>
        </w:rPr>
        <w:t xml:space="preserve">fluency. </w:t>
      </w:r>
      <w:r w:rsidRPr="00F20D2E">
        <w:rPr>
          <w:rFonts w:eastAsia="Arial"/>
          <w:i/>
          <w:iCs/>
        </w:rPr>
        <w:t>Journal of Memory and Language, 93</w:t>
      </w:r>
      <w:r w:rsidRPr="00F20D2E">
        <w:rPr>
          <w:rFonts w:eastAsia="Arial"/>
        </w:rPr>
        <w:t>, 245–258.</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lastRenderedPageBreak/>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30BE769E"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5D95641" w14:textId="68366684" w:rsidR="00621135" w:rsidRDefault="00621135" w:rsidP="00621135">
      <w:pPr>
        <w:spacing w:line="480" w:lineRule="auto"/>
        <w:ind w:left="720" w:hanging="720"/>
      </w:pPr>
      <w:bookmarkStart w:id="19" w:name="_Hlk71207903"/>
      <w:r>
        <w:t xml:space="preserve">Rhodes, M. G., &amp; Castel, A. D. (2008). Memory predictions are influenced by perceptual information: Evidence for metacognitive illusions: </w:t>
      </w:r>
      <w:r w:rsidRPr="00621135">
        <w:rPr>
          <w:i/>
          <w:iCs/>
        </w:rPr>
        <w:t>Journal of Experimental Psychology: General, 137</w:t>
      </w:r>
      <w:r>
        <w:t>(4), 615-625.</w:t>
      </w:r>
    </w:p>
    <w:bookmarkEnd w:id="19"/>
    <w:p w14:paraId="1F9004CA" w14:textId="77777777" w:rsidR="00965D8C" w:rsidRDefault="00965D8C" w:rsidP="00965D8C">
      <w:pPr>
        <w:spacing w:line="480" w:lineRule="auto"/>
      </w:pPr>
      <w:r>
        <w:t xml:space="preserve">Rowland, C. A. (2014). The effect of testing versus </w:t>
      </w:r>
      <w:proofErr w:type="gramStart"/>
      <w:r>
        <w:t>restudy</w:t>
      </w:r>
      <w:proofErr w:type="gramEnd"/>
      <w:r>
        <w:t xml:space="preserve">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1C2C05F"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075AD7C7" w14:textId="13EB8030" w:rsidR="00AC3720" w:rsidRPr="00AC3720" w:rsidRDefault="00AC3720" w:rsidP="00AC3720">
      <w:pPr>
        <w:spacing w:line="480" w:lineRule="auto"/>
        <w:ind w:left="720" w:hanging="720"/>
        <w:contextualSpacing/>
        <w:rPr>
          <w:rFonts w:eastAsia="Calibri"/>
        </w:rPr>
      </w:pPr>
      <w:proofErr w:type="spellStart"/>
      <w:r w:rsidRPr="00AC3720">
        <w:rPr>
          <w:rFonts w:eastAsia="Calibri"/>
        </w:rPr>
        <w:t>Slamecka</w:t>
      </w:r>
      <w:proofErr w:type="spellEnd"/>
      <w:r w:rsidRPr="00AC3720">
        <w:rPr>
          <w:rFonts w:eastAsia="Calibri"/>
        </w:rPr>
        <w:t xml:space="preserve">, N. J., &amp; Graf, P. (1978). The generation effect: Delineation of a phenomenon. </w:t>
      </w:r>
      <w:r w:rsidRPr="00AC3720">
        <w:rPr>
          <w:rFonts w:eastAsia="Calibri"/>
          <w:i/>
          <w:iCs/>
        </w:rPr>
        <w:t>Journal of Experimental Psychology: Human Learning and Memory, 4</w:t>
      </w:r>
      <w:r w:rsidRPr="00AC3720">
        <w:rPr>
          <w:rFonts w:eastAsia="Calibri"/>
        </w:rPr>
        <w:t>(6), 592-604.</w:t>
      </w:r>
    </w:p>
    <w:p w14:paraId="4D8378B8" w14:textId="6BF48B2C" w:rsidR="00FE6BB2" w:rsidRDefault="00FE6BB2" w:rsidP="00FE6BB2">
      <w:pPr>
        <w:spacing w:line="480" w:lineRule="auto"/>
        <w:ind w:left="720" w:hanging="720"/>
      </w:pPr>
      <w:r>
        <w:t xml:space="preserve">Soderstrom,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1F8C164A" w14:textId="09C6033A" w:rsidR="00CC386C" w:rsidRPr="00CC386C" w:rsidRDefault="00CC386C" w:rsidP="00FE6BB2">
      <w:pPr>
        <w:spacing w:line="480" w:lineRule="auto"/>
        <w:ind w:left="720" w:hanging="720"/>
      </w:pPr>
      <w:proofErr w:type="spellStart"/>
      <w:r>
        <w:t>Sungkhassettee</w:t>
      </w:r>
      <w:proofErr w:type="spellEnd"/>
      <w:r>
        <w:t xml:space="preserve">, V. W., Friedman, M. C., &amp; Castel, A. D. (2011). Memory and metamemory for inverted words: Illusions of competency and desirable difficulties. </w:t>
      </w:r>
      <w:r>
        <w:rPr>
          <w:i/>
          <w:iCs/>
        </w:rPr>
        <w:t>Psychonomic Bulletin &amp; Review, 18</w:t>
      </w:r>
      <w:r>
        <w:t>,</w:t>
      </w:r>
      <w:r w:rsidR="0049571C">
        <w:t xml:space="preserve"> 973-978</w:t>
      </w:r>
      <w:r>
        <w:t>.</w:t>
      </w:r>
    </w:p>
    <w:p w14:paraId="77CB017E" w14:textId="63ED1E8C" w:rsidR="00A07ACB" w:rsidRPr="00A07ACB" w:rsidRDefault="00A07ACB" w:rsidP="00FE6BB2">
      <w:pPr>
        <w:spacing w:line="480" w:lineRule="auto"/>
        <w:ind w:left="720" w:hanging="720"/>
      </w:pPr>
      <w:proofErr w:type="spellStart"/>
      <w:r>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w:t>
      </w:r>
      <w:proofErr w:type="gramStart"/>
      <w:r w:rsidRPr="00B46C4C">
        <w:t>are</w:t>
      </w:r>
      <w:proofErr w:type="gramEnd"/>
      <w:r w:rsidRPr="00B46C4C">
        <w:t xml:space="preserve"> </w:t>
      </w:r>
    </w:p>
    <w:p w14:paraId="5944AD4A" w14:textId="77777777" w:rsidR="00382267" w:rsidRPr="00B46C4C" w:rsidRDefault="00382267" w:rsidP="00382267">
      <w:pPr>
        <w:spacing w:line="480" w:lineRule="auto"/>
        <w:ind w:left="720"/>
      </w:pPr>
      <w:r w:rsidRPr="00B46C4C">
        <w:lastRenderedPageBreak/>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w:t>
      </w:r>
      <w:proofErr w:type="gramStart"/>
      <w:r w:rsidRPr="003F2CE5">
        <w:t>effects</w:t>
      </w:r>
      <w:proofErr w:type="gramEnd"/>
      <w:r w:rsidRPr="003F2CE5">
        <w:t xml:space="preserve">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670E6445" w:rsidR="00382267"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2E299C6F" w14:textId="23282078" w:rsidR="00696C01" w:rsidRPr="00696C01" w:rsidRDefault="00696C01" w:rsidP="00696C01">
      <w:pPr>
        <w:spacing w:line="480" w:lineRule="auto"/>
        <w:ind w:left="720" w:hanging="720"/>
        <w:contextualSpacing/>
      </w:pPr>
      <w:proofErr w:type="spellStart"/>
      <w:r>
        <w:t>Wehr</w:t>
      </w:r>
      <w:proofErr w:type="spellEnd"/>
      <w:r>
        <w:t xml:space="preserve">, T., &amp; </w:t>
      </w:r>
      <w:proofErr w:type="spellStart"/>
      <w:r>
        <w:t>Wippich</w:t>
      </w:r>
      <w:proofErr w:type="spellEnd"/>
      <w:r>
        <w:t xml:space="preserve">, W. (2004). Typography and color: Effects of salience and fluency on conscious recollective experience. </w:t>
      </w:r>
      <w:r>
        <w:rPr>
          <w:i/>
          <w:iCs/>
        </w:rPr>
        <w:t>Psychological Research, 69</w:t>
      </w:r>
      <w:r>
        <w:t>, 138-146.</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0646C1D7" w14:textId="51AC6EB9" w:rsidR="00D54C68" w:rsidRPr="003C53E1" w:rsidRDefault="00D57C0E">
      <w:pPr>
        <w:spacing w:after="160" w:line="259" w:lineRule="auto"/>
        <w:rPr>
          <w:rFonts w:eastAsia="Arial"/>
        </w:rPr>
      </w:pPr>
      <w:r>
        <w:rPr>
          <w:rFonts w:eastAsia="Arial"/>
        </w:rPr>
        <w:br w:type="page"/>
      </w: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4A867EF1"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24C0CB7A" w14:textId="134ADEB1" w:rsidR="00D555E0" w:rsidRDefault="00D555E0">
      <w:pPr>
        <w:spacing w:after="160" w:line="259" w:lineRule="auto"/>
      </w:pPr>
      <w:r>
        <w:br w:type="page"/>
      </w:r>
    </w:p>
    <w:p w14:paraId="050112EC" w14:textId="77777777" w:rsidR="00DB40C1" w:rsidRDefault="00DB40C1" w:rsidP="00E8503C">
      <w:pPr>
        <w:spacing w:after="160" w:line="259" w:lineRule="auto"/>
        <w:jc w:val="center"/>
        <w:rPr>
          <w:i/>
          <w:iCs/>
        </w:rPr>
      </w:pPr>
      <w:r>
        <w:rPr>
          <w:noProof/>
        </w:rPr>
        <w:lastRenderedPageBreak/>
        <w:drawing>
          <wp:inline distT="0" distB="0" distL="0" distR="0" wp14:anchorId="7EDD8E31" wp14:editId="326A7069">
            <wp:extent cx="5057775" cy="1076325"/>
            <wp:effectExtent l="19050" t="19050" r="28575" b="285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stretch>
                      <a:fillRect/>
                    </a:stretch>
                  </pic:blipFill>
                  <pic:spPr>
                    <a:xfrm>
                      <a:off x="0" y="0"/>
                      <a:ext cx="5057775" cy="1076325"/>
                    </a:xfrm>
                    <a:prstGeom prst="rect">
                      <a:avLst/>
                    </a:prstGeom>
                    <a:ln>
                      <a:solidFill>
                        <a:schemeClr val="tx1"/>
                      </a:solidFill>
                    </a:ln>
                  </pic:spPr>
                </pic:pic>
              </a:graphicData>
            </a:graphic>
          </wp:inline>
        </w:drawing>
      </w:r>
    </w:p>
    <w:p w14:paraId="669A00EA" w14:textId="09546DED" w:rsidR="00D555E0" w:rsidRPr="00777601" w:rsidRDefault="00D555E0" w:rsidP="004E5AC5">
      <w:pPr>
        <w:spacing w:after="160" w:line="259" w:lineRule="auto"/>
        <w:rPr>
          <w:color w:val="3494BA" w:themeColor="accent1"/>
        </w:rPr>
      </w:pPr>
      <w:commentRangeStart w:id="20"/>
      <w:r w:rsidRPr="00777601">
        <w:rPr>
          <w:i/>
          <w:iCs/>
          <w:color w:val="3494BA" w:themeColor="accent1"/>
        </w:rPr>
        <w:t>Figure 5</w:t>
      </w:r>
      <w:r w:rsidRPr="00777601">
        <w:rPr>
          <w:color w:val="3494BA" w:themeColor="accent1"/>
        </w:rPr>
        <w:t>.</w:t>
      </w:r>
      <w:commentRangeEnd w:id="20"/>
      <w:r w:rsidR="00DB40C1" w:rsidRPr="00777601">
        <w:rPr>
          <w:rStyle w:val="CommentReference"/>
          <w:color w:val="3494BA" w:themeColor="accent1"/>
        </w:rPr>
        <w:commentReference w:id="20"/>
      </w:r>
      <w:r w:rsidRPr="00777601">
        <w:rPr>
          <w:color w:val="3494BA" w:themeColor="accent1"/>
        </w:rPr>
        <w:t xml:space="preserve"> </w:t>
      </w:r>
      <w:r w:rsidR="00E8503C" w:rsidRPr="00777601">
        <w:rPr>
          <w:color w:val="3494BA" w:themeColor="accent1"/>
        </w:rPr>
        <w:t>Examples of u</w:t>
      </w:r>
      <w:r w:rsidR="00DB40C1" w:rsidRPr="00777601">
        <w:rPr>
          <w:color w:val="3494BA" w:themeColor="accent1"/>
        </w:rPr>
        <w:t>nrelated word pairs presented in</w:t>
      </w:r>
      <w:r w:rsidR="00E8503C" w:rsidRPr="00777601">
        <w:rPr>
          <w:color w:val="3494BA" w:themeColor="accent1"/>
        </w:rPr>
        <w:t xml:space="preserve"> Experiment 3 using</w:t>
      </w:r>
      <w:r w:rsidR="00DB40C1" w:rsidRPr="00777601">
        <w:rPr>
          <w:color w:val="3494BA" w:themeColor="accent1"/>
        </w:rPr>
        <w:t xml:space="preserve"> </w:t>
      </w:r>
      <w:r w:rsidRPr="00777601">
        <w:rPr>
          <w:color w:val="3494BA" w:themeColor="accent1"/>
        </w:rPr>
        <w:t xml:space="preserve">Sans Forgetica font (left) </w:t>
      </w:r>
      <w:r w:rsidR="00E8503C" w:rsidRPr="00777601">
        <w:rPr>
          <w:color w:val="3494BA" w:themeColor="accent1"/>
        </w:rPr>
        <w:t>and</w:t>
      </w:r>
      <w:r w:rsidRPr="00777601">
        <w:rPr>
          <w:color w:val="3494BA" w:themeColor="accent1"/>
        </w:rPr>
        <w:t xml:space="preserve"> Arial font (right)</w:t>
      </w:r>
      <w:r w:rsidR="00E8503C" w:rsidRPr="00777601">
        <w:rPr>
          <w:color w:val="3494BA" w:themeColor="accent1"/>
        </w:rPr>
        <w:t>.</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4874F923" w:rsidR="004E5AC5" w:rsidRDefault="004E5AC5" w:rsidP="004E5AC5">
      <w:pPr>
        <w:spacing w:after="160" w:line="259" w:lineRule="auto"/>
      </w:pPr>
      <w:r>
        <w:rPr>
          <w:i/>
          <w:iCs/>
          <w:color w:val="000000" w:themeColor="text1"/>
          <w:shd w:val="clear" w:color="auto" w:fill="FFFFFF"/>
        </w:rPr>
        <w:t xml:space="preserve">Figure </w:t>
      </w:r>
      <w:r w:rsidR="00D555E0">
        <w:rPr>
          <w:i/>
          <w:iCs/>
          <w:color w:val="000000" w:themeColor="text1"/>
          <w:shd w:val="clear" w:color="auto" w:fill="FFFFFF"/>
        </w:rPr>
        <w:t>6</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2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2" w:name="_Hlk32942520"/>
      <w:bookmarkEnd w:id="2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2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23"/>
    </w:p>
    <w:p w14:paraId="7FAE4986" w14:textId="3E93452D" w:rsidR="004F4584" w:rsidRPr="008E75DA" w:rsidRDefault="004F4584" w:rsidP="004F4584">
      <w:pPr>
        <w:spacing w:line="480" w:lineRule="auto"/>
        <w:contextualSpacing/>
      </w:pPr>
      <w:bookmarkStart w:id="24" w:name="_Hlk78456325"/>
      <w:r w:rsidRPr="008E75DA">
        <w:lastRenderedPageBreak/>
        <w:t xml:space="preserve">Table </w:t>
      </w:r>
      <w:r>
        <w:t>A3</w:t>
      </w:r>
    </w:p>
    <w:p w14:paraId="5C479563" w14:textId="23D88B44" w:rsidR="004F4584" w:rsidRPr="008E75DA" w:rsidRDefault="004F4584" w:rsidP="00790B5B">
      <w:pPr>
        <w:contextualSpacing/>
        <w:rPr>
          <w:i/>
          <w:iCs/>
        </w:rPr>
      </w:pPr>
      <w:r w:rsidRPr="008E75DA">
        <w:rPr>
          <w:i/>
          <w:iCs/>
        </w:rPr>
        <w:t xml:space="preserve">Mean (± 95% CI) JOL Ratings and Correct Recall Percentages as a Function of </w:t>
      </w:r>
      <w:r w:rsidR="00D54C68">
        <w:rPr>
          <w:i/>
          <w:iCs/>
        </w:rPr>
        <w:t>Associative Direction</w:t>
      </w:r>
      <w:r w:rsidRPr="008E75DA">
        <w:rPr>
          <w:i/>
          <w:iCs/>
        </w:rPr>
        <w:t xml:space="preserv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0E343A64" w:rsidR="004F4584" w:rsidRDefault="004F4584" w:rsidP="00BE2FBD">
      <w:pPr>
        <w:tabs>
          <w:tab w:val="left" w:pos="9360"/>
        </w:tabs>
        <w:spacing w:line="480" w:lineRule="auto"/>
        <w:contextualSpacing/>
        <w:rPr>
          <w:u w:val="single"/>
        </w:rPr>
      </w:pPr>
      <w:r w:rsidRPr="008E75DA">
        <w:rPr>
          <w:u w:val="single"/>
        </w:rPr>
        <w:tab/>
      </w:r>
    </w:p>
    <w:p w14:paraId="04B0C94D" w14:textId="77777777" w:rsidR="00A52751" w:rsidRDefault="00A52751" w:rsidP="00BE2FBD">
      <w:pPr>
        <w:tabs>
          <w:tab w:val="left" w:pos="9360"/>
        </w:tabs>
        <w:spacing w:line="480" w:lineRule="auto"/>
        <w:contextualSpacing/>
        <w:rPr>
          <w:rFonts w:eastAsiaTheme="minorHAnsi"/>
        </w:rPr>
      </w:pPr>
    </w:p>
    <w:bookmarkEnd w:id="24"/>
    <w:p w14:paraId="731CBF18" w14:textId="56FCC74A" w:rsidR="003C53E1" w:rsidRPr="00D54C68" w:rsidRDefault="003C53E1" w:rsidP="003C53E1">
      <w:pPr>
        <w:spacing w:line="480" w:lineRule="auto"/>
        <w:contextualSpacing/>
        <w:rPr>
          <w:color w:val="3494BA" w:themeColor="accent1"/>
        </w:rPr>
      </w:pPr>
      <w:commentRangeStart w:id="25"/>
      <w:r w:rsidRPr="00D54C68">
        <w:rPr>
          <w:color w:val="3494BA" w:themeColor="accent1"/>
        </w:rPr>
        <w:lastRenderedPageBreak/>
        <w:t xml:space="preserve">Table </w:t>
      </w:r>
      <w:r>
        <w:rPr>
          <w:color w:val="3494BA" w:themeColor="accent1"/>
        </w:rPr>
        <w:t>A4</w:t>
      </w:r>
      <w:commentRangeEnd w:id="25"/>
      <w:r w:rsidR="00A64579">
        <w:rPr>
          <w:rStyle w:val="CommentReference"/>
        </w:rPr>
        <w:commentReference w:id="25"/>
      </w:r>
    </w:p>
    <w:p w14:paraId="30DBF04F" w14:textId="1CF342D9" w:rsidR="003C53E1" w:rsidRPr="00D54C68" w:rsidRDefault="003C53E1" w:rsidP="003C53E1">
      <w:pPr>
        <w:contextualSpacing/>
        <w:rPr>
          <w:i/>
          <w:iCs/>
          <w:color w:val="3494BA" w:themeColor="accent1"/>
        </w:rPr>
      </w:pPr>
      <w:r w:rsidRPr="00D54C68">
        <w:rPr>
          <w:i/>
          <w:iCs/>
          <w:color w:val="3494BA" w:themeColor="accent1"/>
        </w:rPr>
        <w:t>Mean (± 95% CI) Goodman-Kruskal Gamma Correlations Between JOLs and Recall</w:t>
      </w:r>
      <w:r w:rsidR="001532B7">
        <w:rPr>
          <w:i/>
          <w:iCs/>
          <w:color w:val="3494BA" w:themeColor="accent1"/>
        </w:rPr>
        <w:t xml:space="preserve"> for each Pair Type/Encoding Group</w:t>
      </w:r>
      <w:r w:rsidRPr="00D54C68">
        <w:rPr>
          <w:i/>
          <w:iCs/>
          <w:color w:val="3494BA" w:themeColor="accent1"/>
        </w:rPr>
        <w:t xml:space="preserve"> as a Function of Associative Direction </w:t>
      </w:r>
      <w:r w:rsidR="001532B7">
        <w:rPr>
          <w:i/>
          <w:iCs/>
          <w:color w:val="3494BA" w:themeColor="accent1"/>
        </w:rPr>
        <w:t>in Experiments 1A and 1B and for Unrelated pairs in Experiments 2A, 2B, and 3.</w:t>
      </w:r>
    </w:p>
    <w:p w14:paraId="009ED275" w14:textId="77777777" w:rsidR="003C53E1" w:rsidRPr="00D54C68" w:rsidRDefault="003C53E1" w:rsidP="003C53E1">
      <w:pPr>
        <w:tabs>
          <w:tab w:val="left" w:pos="9360"/>
        </w:tabs>
        <w:rPr>
          <w:color w:val="3494BA" w:themeColor="accent1"/>
          <w:u w:val="single"/>
        </w:rPr>
      </w:pPr>
      <w:r w:rsidRPr="00D54C68">
        <w:rPr>
          <w:color w:val="3494BA" w:themeColor="accent1"/>
          <w:u w:val="single"/>
        </w:rPr>
        <w:tab/>
      </w:r>
    </w:p>
    <w:p w14:paraId="67FC781E" w14:textId="77777777" w:rsidR="003C53E1" w:rsidRPr="00D54C68" w:rsidRDefault="003C53E1" w:rsidP="003C53E1">
      <w:pPr>
        <w:tabs>
          <w:tab w:val="center" w:pos="3240"/>
          <w:tab w:val="center" w:pos="4770"/>
          <w:tab w:val="center" w:pos="6390"/>
          <w:tab w:val="center" w:pos="7920"/>
        </w:tabs>
        <w:contextualSpacing/>
        <w:rPr>
          <w:color w:val="3494BA" w:themeColor="accent1"/>
        </w:rPr>
      </w:pPr>
      <w:r w:rsidRPr="00D54C68">
        <w:rPr>
          <w:color w:val="3494BA" w:themeColor="accent1"/>
        </w:rPr>
        <w:t>Pair Type/Group</w:t>
      </w:r>
      <w:r w:rsidRPr="00D54C68">
        <w:rPr>
          <w:color w:val="3494BA" w:themeColor="accent1"/>
        </w:rPr>
        <w:tab/>
        <w:t>Forward</w:t>
      </w:r>
      <w:r w:rsidRPr="00D54C68">
        <w:rPr>
          <w:color w:val="3494BA" w:themeColor="accent1"/>
        </w:rPr>
        <w:tab/>
        <w:t>Backward</w:t>
      </w:r>
      <w:r w:rsidRPr="00D54C68">
        <w:rPr>
          <w:color w:val="3494BA" w:themeColor="accent1"/>
        </w:rPr>
        <w:tab/>
        <w:t>Symmetrical</w:t>
      </w:r>
      <w:r w:rsidRPr="00D54C68">
        <w:rPr>
          <w:color w:val="3494BA" w:themeColor="accent1"/>
        </w:rPr>
        <w:tab/>
        <w:t>Unrelated</w:t>
      </w:r>
      <w:r w:rsidRPr="00D54C68">
        <w:rPr>
          <w:color w:val="3494BA" w:themeColor="accent1"/>
        </w:rPr>
        <w:tab/>
      </w:r>
    </w:p>
    <w:p w14:paraId="5B98F7C8" w14:textId="77777777" w:rsidR="003C53E1" w:rsidRPr="00D54C68" w:rsidRDefault="003C53E1" w:rsidP="003C53E1">
      <w:pPr>
        <w:tabs>
          <w:tab w:val="left" w:pos="9360"/>
        </w:tabs>
        <w:spacing w:line="480" w:lineRule="auto"/>
        <w:contextualSpacing/>
        <w:rPr>
          <w:color w:val="3494BA" w:themeColor="accent1"/>
          <w:u w:val="single"/>
        </w:rPr>
      </w:pPr>
      <w:r w:rsidRPr="00D54C68">
        <w:rPr>
          <w:color w:val="3494BA" w:themeColor="accent1"/>
          <w:u w:val="single"/>
        </w:rPr>
        <w:tab/>
      </w:r>
    </w:p>
    <w:p w14:paraId="7CC0B3D7" w14:textId="7D3AE9AC" w:rsidR="003C53E1" w:rsidRDefault="00451E9B" w:rsidP="007B4963">
      <w:pPr>
        <w:tabs>
          <w:tab w:val="left" w:pos="5220"/>
          <w:tab w:val="center" w:pos="5310"/>
          <w:tab w:val="center" w:pos="6390"/>
          <w:tab w:val="center" w:pos="7920"/>
        </w:tabs>
        <w:spacing w:line="360" w:lineRule="auto"/>
        <w:ind w:left="1440"/>
        <w:jc w:val="center"/>
        <w:rPr>
          <w:color w:val="3494BA" w:themeColor="accent1"/>
        </w:rPr>
      </w:pPr>
      <w:r>
        <w:rPr>
          <w:color w:val="3494BA" w:themeColor="accent1"/>
        </w:rPr>
        <w:t xml:space="preserve">   </w:t>
      </w:r>
      <w:r w:rsidR="003C53E1">
        <w:rPr>
          <w:color w:val="3494BA" w:themeColor="accent1"/>
        </w:rPr>
        <w:t>Experiment 1</w:t>
      </w:r>
    </w:p>
    <w:p w14:paraId="166693A4" w14:textId="7AF03EBB" w:rsidR="003C53E1" w:rsidRPr="00D54C68" w:rsidRDefault="003C53E1" w:rsidP="00A97BF0">
      <w:pPr>
        <w:tabs>
          <w:tab w:val="center" w:pos="3240"/>
          <w:tab w:val="center" w:pos="4770"/>
          <w:tab w:val="center" w:pos="6390"/>
          <w:tab w:val="center" w:pos="7920"/>
        </w:tabs>
        <w:spacing w:line="360" w:lineRule="auto"/>
        <w:contextualSpacing/>
        <w:rPr>
          <w:color w:val="3494BA" w:themeColor="accent1"/>
        </w:rPr>
      </w:pPr>
      <w:r w:rsidRPr="00D54C68">
        <w:rPr>
          <w:color w:val="3494BA" w:themeColor="accent1"/>
        </w:rPr>
        <w:t>Control Group</w:t>
      </w:r>
      <w:r w:rsidRPr="00D54C68">
        <w:rPr>
          <w:color w:val="3494BA" w:themeColor="accent1"/>
        </w:rPr>
        <w:tab/>
      </w:r>
      <w:bookmarkStart w:id="26" w:name="_Hlk78457593"/>
      <w:r w:rsidR="00B62850">
        <w:rPr>
          <w:color w:val="3494BA" w:themeColor="accent1"/>
        </w:rPr>
        <w:t>.25 (.08)</w:t>
      </w:r>
      <w:r w:rsidRPr="00D54C68">
        <w:rPr>
          <w:color w:val="3494BA" w:themeColor="accent1"/>
        </w:rPr>
        <w:tab/>
      </w:r>
      <w:r w:rsidR="00B62850">
        <w:rPr>
          <w:color w:val="3494BA" w:themeColor="accent1"/>
        </w:rPr>
        <w:t>.19 (.08)</w:t>
      </w:r>
      <w:r w:rsidRPr="00D54C68">
        <w:rPr>
          <w:color w:val="3494BA" w:themeColor="accent1"/>
        </w:rPr>
        <w:tab/>
      </w:r>
      <w:r w:rsidR="00B62850">
        <w:rPr>
          <w:color w:val="3494BA" w:themeColor="accent1"/>
        </w:rPr>
        <w:t>.20 (.07)</w:t>
      </w:r>
      <w:r w:rsidRPr="00D54C68">
        <w:rPr>
          <w:color w:val="3494BA" w:themeColor="accent1"/>
        </w:rPr>
        <w:tab/>
      </w:r>
      <w:r w:rsidR="00B62850">
        <w:rPr>
          <w:color w:val="3494BA" w:themeColor="accent1"/>
        </w:rPr>
        <w:t>-.01 (.17)</w:t>
      </w:r>
    </w:p>
    <w:bookmarkEnd w:id="26"/>
    <w:p w14:paraId="783AC833" w14:textId="77777777" w:rsidR="003C53E1" w:rsidRPr="00D54C68" w:rsidRDefault="003C53E1" w:rsidP="003C53E1">
      <w:pPr>
        <w:tabs>
          <w:tab w:val="center" w:pos="3240"/>
          <w:tab w:val="center" w:pos="4770"/>
          <w:tab w:val="center" w:pos="6390"/>
          <w:tab w:val="center" w:pos="7920"/>
        </w:tabs>
        <w:contextualSpacing/>
        <w:rPr>
          <w:color w:val="3494BA" w:themeColor="accent1"/>
        </w:rPr>
      </w:pPr>
      <w:r w:rsidRPr="00D54C68">
        <w:rPr>
          <w:color w:val="3494BA" w:themeColor="accent1"/>
        </w:rPr>
        <w:t>Font Size Group</w:t>
      </w:r>
      <w:r w:rsidRPr="00D54C68">
        <w:rPr>
          <w:color w:val="3494BA" w:themeColor="accent1"/>
        </w:rPr>
        <w:tab/>
      </w:r>
    </w:p>
    <w:p w14:paraId="021F53A1" w14:textId="06BD5261" w:rsidR="003C53E1" w:rsidRPr="00D54C68" w:rsidRDefault="003C53E1" w:rsidP="00B62850">
      <w:pPr>
        <w:tabs>
          <w:tab w:val="center" w:pos="3240"/>
          <w:tab w:val="center" w:pos="4770"/>
          <w:tab w:val="center" w:pos="6390"/>
          <w:tab w:val="center" w:pos="7920"/>
        </w:tabs>
        <w:ind w:firstLine="180"/>
        <w:contextualSpacing/>
        <w:rPr>
          <w:color w:val="3494BA" w:themeColor="accent1"/>
        </w:rPr>
      </w:pPr>
      <w:r w:rsidRPr="00D54C68">
        <w:rPr>
          <w:color w:val="3494BA" w:themeColor="accent1"/>
        </w:rPr>
        <w:t>Large Items</w:t>
      </w:r>
      <w:r w:rsidRPr="00D54C68">
        <w:rPr>
          <w:color w:val="3494BA" w:themeColor="accent1"/>
        </w:rPr>
        <w:tab/>
      </w:r>
      <w:r w:rsidR="00B62850">
        <w:rPr>
          <w:color w:val="3494BA" w:themeColor="accent1"/>
        </w:rPr>
        <w:t>.21 (.11)</w:t>
      </w:r>
      <w:r w:rsidRPr="00D54C68">
        <w:rPr>
          <w:color w:val="3494BA" w:themeColor="accent1"/>
        </w:rPr>
        <w:tab/>
      </w:r>
      <w:r w:rsidR="00B62850">
        <w:rPr>
          <w:color w:val="3494BA" w:themeColor="accent1"/>
        </w:rPr>
        <w:t>.17 (.14)</w:t>
      </w:r>
      <w:r w:rsidRPr="00D54C68">
        <w:rPr>
          <w:color w:val="3494BA" w:themeColor="accent1"/>
        </w:rPr>
        <w:tab/>
      </w:r>
      <w:r w:rsidR="00B62850">
        <w:rPr>
          <w:color w:val="3494BA" w:themeColor="accent1"/>
        </w:rPr>
        <w:t>.29 (.11)</w:t>
      </w:r>
      <w:r w:rsidRPr="00D54C68">
        <w:rPr>
          <w:color w:val="3494BA" w:themeColor="accent1"/>
        </w:rPr>
        <w:tab/>
      </w:r>
      <w:commentRangeStart w:id="27"/>
      <w:r w:rsidR="00B62850">
        <w:rPr>
          <w:color w:val="3494BA" w:themeColor="accent1"/>
        </w:rPr>
        <w:t>.27 (.20)</w:t>
      </w:r>
      <w:commentRangeEnd w:id="27"/>
      <w:r w:rsidR="003E6155">
        <w:rPr>
          <w:rStyle w:val="CommentReference"/>
        </w:rPr>
        <w:commentReference w:id="27"/>
      </w:r>
      <w:r w:rsidRPr="00D54C68">
        <w:rPr>
          <w:color w:val="3494BA" w:themeColor="accent1"/>
        </w:rPr>
        <w:tab/>
      </w:r>
    </w:p>
    <w:p w14:paraId="06D7E7C9" w14:textId="26735FE5" w:rsidR="003C53E1" w:rsidRPr="00D54C68" w:rsidRDefault="003C53E1" w:rsidP="00A97BF0">
      <w:pPr>
        <w:tabs>
          <w:tab w:val="center" w:pos="3240"/>
          <w:tab w:val="center" w:pos="4770"/>
          <w:tab w:val="center" w:pos="6390"/>
          <w:tab w:val="center" w:pos="7920"/>
        </w:tabs>
        <w:spacing w:line="360" w:lineRule="auto"/>
        <w:ind w:firstLine="187"/>
        <w:contextualSpacing/>
        <w:rPr>
          <w:color w:val="3494BA" w:themeColor="accent1"/>
        </w:rPr>
      </w:pPr>
      <w:r w:rsidRPr="00D54C68">
        <w:rPr>
          <w:color w:val="3494BA" w:themeColor="accent1"/>
        </w:rPr>
        <w:t>Small Items</w:t>
      </w:r>
      <w:r w:rsidRPr="00D54C68">
        <w:rPr>
          <w:color w:val="3494BA" w:themeColor="accent1"/>
        </w:rPr>
        <w:tab/>
      </w:r>
      <w:r w:rsidR="00535DB5">
        <w:rPr>
          <w:color w:val="3494BA" w:themeColor="accent1"/>
        </w:rPr>
        <w:t>.16 (.13)</w:t>
      </w:r>
      <w:r w:rsidRPr="00D54C68">
        <w:rPr>
          <w:color w:val="3494BA" w:themeColor="accent1"/>
        </w:rPr>
        <w:tab/>
      </w:r>
      <w:r w:rsidR="00535DB5">
        <w:rPr>
          <w:color w:val="3494BA" w:themeColor="accent1"/>
        </w:rPr>
        <w:t>.23 (.12)</w:t>
      </w:r>
      <w:r w:rsidRPr="00D54C68">
        <w:rPr>
          <w:color w:val="3494BA" w:themeColor="accent1"/>
        </w:rPr>
        <w:tab/>
      </w:r>
      <w:r w:rsidR="00535DB5">
        <w:rPr>
          <w:color w:val="3494BA" w:themeColor="accent1"/>
        </w:rPr>
        <w:t>.29 (.11)</w:t>
      </w:r>
      <w:r w:rsidRPr="00D54C68">
        <w:rPr>
          <w:color w:val="3494BA" w:themeColor="accent1"/>
        </w:rPr>
        <w:tab/>
      </w:r>
      <w:r w:rsidR="00535DB5">
        <w:rPr>
          <w:color w:val="3494BA" w:themeColor="accent1"/>
        </w:rPr>
        <w:t>.12 (.22)</w:t>
      </w:r>
      <w:r w:rsidRPr="00D54C68">
        <w:rPr>
          <w:color w:val="3494BA" w:themeColor="accent1"/>
        </w:rPr>
        <w:tab/>
      </w:r>
    </w:p>
    <w:p w14:paraId="23E3C884" w14:textId="77777777" w:rsidR="003C53E1" w:rsidRPr="00D54C68" w:rsidRDefault="003C53E1" w:rsidP="003C53E1">
      <w:pPr>
        <w:tabs>
          <w:tab w:val="center" w:pos="3240"/>
          <w:tab w:val="center" w:pos="4770"/>
          <w:tab w:val="center" w:pos="6390"/>
          <w:tab w:val="center" w:pos="7920"/>
        </w:tabs>
        <w:contextualSpacing/>
        <w:rPr>
          <w:color w:val="3494BA" w:themeColor="accent1"/>
        </w:rPr>
      </w:pPr>
      <w:r w:rsidRPr="00D54C68">
        <w:rPr>
          <w:color w:val="3494BA" w:themeColor="accent1"/>
        </w:rPr>
        <w:t>Highlight Group</w:t>
      </w:r>
      <w:r w:rsidRPr="00D54C68">
        <w:rPr>
          <w:color w:val="3494BA" w:themeColor="accent1"/>
        </w:rPr>
        <w:tab/>
      </w:r>
    </w:p>
    <w:p w14:paraId="749026CA" w14:textId="78E18F7B" w:rsidR="003C53E1" w:rsidRPr="00D54C68" w:rsidRDefault="003C53E1" w:rsidP="003C53E1">
      <w:pPr>
        <w:tabs>
          <w:tab w:val="center" w:pos="3240"/>
          <w:tab w:val="center" w:pos="4770"/>
          <w:tab w:val="center" w:pos="6390"/>
          <w:tab w:val="center" w:pos="7920"/>
        </w:tabs>
        <w:ind w:firstLine="180"/>
        <w:contextualSpacing/>
        <w:rPr>
          <w:color w:val="3494BA" w:themeColor="accent1"/>
        </w:rPr>
      </w:pPr>
      <w:r w:rsidRPr="00D54C68">
        <w:rPr>
          <w:color w:val="3494BA" w:themeColor="accent1"/>
        </w:rPr>
        <w:t>Highlight Items</w:t>
      </w:r>
      <w:r w:rsidRPr="00D54C68">
        <w:rPr>
          <w:color w:val="3494BA" w:themeColor="accent1"/>
        </w:rPr>
        <w:tab/>
      </w:r>
      <w:bookmarkStart w:id="28" w:name="_Hlk78464328"/>
      <w:r w:rsidR="00535DB5">
        <w:rPr>
          <w:color w:val="3494BA" w:themeColor="accent1"/>
        </w:rPr>
        <w:t>.26 (.14)</w:t>
      </w:r>
      <w:r w:rsidRPr="00D54C68">
        <w:rPr>
          <w:color w:val="3494BA" w:themeColor="accent1"/>
        </w:rPr>
        <w:tab/>
      </w:r>
      <w:r w:rsidR="00535DB5">
        <w:rPr>
          <w:color w:val="3494BA" w:themeColor="accent1"/>
        </w:rPr>
        <w:t>.25 (.13)</w:t>
      </w:r>
      <w:r w:rsidRPr="00D54C68">
        <w:rPr>
          <w:color w:val="3494BA" w:themeColor="accent1"/>
        </w:rPr>
        <w:tab/>
      </w:r>
      <w:r w:rsidR="00535DB5">
        <w:rPr>
          <w:color w:val="3494BA" w:themeColor="accent1"/>
        </w:rPr>
        <w:t>.21 (.13)</w:t>
      </w:r>
      <w:r w:rsidRPr="00D54C68">
        <w:rPr>
          <w:color w:val="3494BA" w:themeColor="accent1"/>
        </w:rPr>
        <w:tab/>
      </w:r>
      <w:r w:rsidR="00535DB5">
        <w:rPr>
          <w:color w:val="3494BA" w:themeColor="accent1"/>
        </w:rPr>
        <w:t>.26 (.16)</w:t>
      </w:r>
      <w:bookmarkEnd w:id="28"/>
      <w:r w:rsidRPr="00D54C68">
        <w:rPr>
          <w:color w:val="3494BA" w:themeColor="accent1"/>
        </w:rPr>
        <w:tab/>
      </w:r>
    </w:p>
    <w:p w14:paraId="55A3C814" w14:textId="549607B7" w:rsidR="003C53E1" w:rsidRDefault="003C53E1" w:rsidP="00FB25EF">
      <w:pPr>
        <w:tabs>
          <w:tab w:val="center" w:pos="3240"/>
          <w:tab w:val="center" w:pos="4770"/>
          <w:tab w:val="center" w:pos="6390"/>
          <w:tab w:val="center" w:pos="7920"/>
        </w:tabs>
        <w:spacing w:line="480" w:lineRule="auto"/>
        <w:ind w:firstLine="187"/>
        <w:contextualSpacing/>
        <w:rPr>
          <w:color w:val="3494BA" w:themeColor="accent1"/>
        </w:rPr>
      </w:pPr>
      <w:r w:rsidRPr="00D54C68">
        <w:rPr>
          <w:color w:val="3494BA" w:themeColor="accent1"/>
        </w:rPr>
        <w:t>No Highlight Items</w:t>
      </w:r>
      <w:r w:rsidR="00535DB5">
        <w:rPr>
          <w:color w:val="3494BA" w:themeColor="accent1"/>
        </w:rPr>
        <w:tab/>
        <w:t>.</w:t>
      </w:r>
      <w:r w:rsidR="00535DB5">
        <w:rPr>
          <w:color w:val="3494BA" w:themeColor="accent1"/>
        </w:rPr>
        <w:t>26 (.</w:t>
      </w:r>
      <w:r w:rsidR="00535DB5">
        <w:rPr>
          <w:color w:val="3494BA" w:themeColor="accent1"/>
        </w:rPr>
        <w:t>10</w:t>
      </w:r>
      <w:r w:rsidR="00535DB5">
        <w:rPr>
          <w:color w:val="3494BA" w:themeColor="accent1"/>
        </w:rPr>
        <w:t>)</w:t>
      </w:r>
      <w:r w:rsidR="00535DB5" w:rsidRPr="00D54C68">
        <w:rPr>
          <w:color w:val="3494BA" w:themeColor="accent1"/>
        </w:rPr>
        <w:tab/>
      </w:r>
      <w:r w:rsidR="00535DB5">
        <w:rPr>
          <w:color w:val="3494BA" w:themeColor="accent1"/>
        </w:rPr>
        <w:t>.</w:t>
      </w:r>
      <w:r w:rsidR="00535DB5">
        <w:rPr>
          <w:color w:val="3494BA" w:themeColor="accent1"/>
        </w:rPr>
        <w:t>32</w:t>
      </w:r>
      <w:r w:rsidR="00535DB5">
        <w:rPr>
          <w:color w:val="3494BA" w:themeColor="accent1"/>
        </w:rPr>
        <w:t xml:space="preserve"> (.1</w:t>
      </w:r>
      <w:r w:rsidR="00535DB5">
        <w:rPr>
          <w:color w:val="3494BA" w:themeColor="accent1"/>
        </w:rPr>
        <w:t>2</w:t>
      </w:r>
      <w:r w:rsidR="00535DB5">
        <w:rPr>
          <w:color w:val="3494BA" w:themeColor="accent1"/>
        </w:rPr>
        <w:t>)</w:t>
      </w:r>
      <w:r w:rsidR="00535DB5" w:rsidRPr="00D54C68">
        <w:rPr>
          <w:color w:val="3494BA" w:themeColor="accent1"/>
        </w:rPr>
        <w:tab/>
      </w:r>
      <w:r w:rsidR="00535DB5">
        <w:rPr>
          <w:color w:val="3494BA" w:themeColor="accent1"/>
        </w:rPr>
        <w:t>.2</w:t>
      </w:r>
      <w:r w:rsidR="00535DB5">
        <w:rPr>
          <w:color w:val="3494BA" w:themeColor="accent1"/>
        </w:rPr>
        <w:t>4</w:t>
      </w:r>
      <w:r w:rsidR="00535DB5">
        <w:rPr>
          <w:color w:val="3494BA" w:themeColor="accent1"/>
        </w:rPr>
        <w:t xml:space="preserve"> (.1</w:t>
      </w:r>
      <w:r w:rsidR="00535DB5">
        <w:rPr>
          <w:color w:val="3494BA" w:themeColor="accent1"/>
        </w:rPr>
        <w:t>0</w:t>
      </w:r>
      <w:r w:rsidR="00535DB5">
        <w:rPr>
          <w:color w:val="3494BA" w:themeColor="accent1"/>
        </w:rPr>
        <w:t>)</w:t>
      </w:r>
      <w:r w:rsidR="00535DB5" w:rsidRPr="00D54C68">
        <w:rPr>
          <w:color w:val="3494BA" w:themeColor="accent1"/>
        </w:rPr>
        <w:tab/>
      </w:r>
      <w:r w:rsidR="00535DB5">
        <w:rPr>
          <w:color w:val="3494BA" w:themeColor="accent1"/>
        </w:rPr>
        <w:t>-</w:t>
      </w:r>
      <w:r w:rsidR="00535DB5">
        <w:rPr>
          <w:color w:val="3494BA" w:themeColor="accent1"/>
        </w:rPr>
        <w:t>.</w:t>
      </w:r>
      <w:r w:rsidR="00535DB5">
        <w:rPr>
          <w:color w:val="3494BA" w:themeColor="accent1"/>
        </w:rPr>
        <w:t>16</w:t>
      </w:r>
      <w:r w:rsidR="00535DB5">
        <w:rPr>
          <w:color w:val="3494BA" w:themeColor="accent1"/>
        </w:rPr>
        <w:t xml:space="preserve"> (.16)</w:t>
      </w:r>
    </w:p>
    <w:p w14:paraId="592D02D6" w14:textId="43FC1219" w:rsidR="003C53E1" w:rsidRDefault="00451E9B" w:rsidP="007B4963">
      <w:pPr>
        <w:tabs>
          <w:tab w:val="center" w:pos="3240"/>
          <w:tab w:val="center" w:pos="4770"/>
          <w:tab w:val="center" w:pos="6390"/>
          <w:tab w:val="center" w:pos="7920"/>
        </w:tabs>
        <w:spacing w:line="360" w:lineRule="auto"/>
        <w:ind w:left="1440" w:firstLine="187"/>
        <w:contextualSpacing/>
        <w:jc w:val="center"/>
        <w:rPr>
          <w:color w:val="3494BA" w:themeColor="accent1"/>
        </w:rPr>
      </w:pPr>
      <w:bookmarkStart w:id="29" w:name="_Hlk78457804"/>
      <w:r>
        <w:rPr>
          <w:color w:val="3494BA" w:themeColor="accent1"/>
        </w:rPr>
        <w:t xml:space="preserve">   </w:t>
      </w:r>
      <w:r w:rsidR="003C53E1">
        <w:rPr>
          <w:color w:val="3494BA" w:themeColor="accent1"/>
        </w:rPr>
        <w:t>Experiment 2</w:t>
      </w:r>
    </w:p>
    <w:p w14:paraId="034D6E88" w14:textId="1EB3E5DC" w:rsidR="003C53E1" w:rsidRPr="00D54C68" w:rsidRDefault="003C53E1" w:rsidP="00A97BF0">
      <w:pPr>
        <w:tabs>
          <w:tab w:val="center" w:pos="3240"/>
          <w:tab w:val="center" w:pos="4770"/>
          <w:tab w:val="center" w:pos="6390"/>
          <w:tab w:val="center" w:pos="7920"/>
        </w:tabs>
        <w:spacing w:after="120" w:line="360" w:lineRule="auto"/>
        <w:contextualSpacing/>
        <w:rPr>
          <w:color w:val="3494BA" w:themeColor="accent1"/>
        </w:rPr>
      </w:pPr>
      <w:r w:rsidRPr="00D54C68">
        <w:rPr>
          <w:color w:val="3494BA" w:themeColor="accent1"/>
        </w:rPr>
        <w:t>Control Group</w:t>
      </w:r>
      <w:r w:rsidRPr="00D54C68">
        <w:rPr>
          <w:color w:val="3494BA" w:themeColor="accent1"/>
        </w:rPr>
        <w:tab/>
      </w:r>
      <w:bookmarkStart w:id="30" w:name="_Hlk78457670"/>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0D4E29">
        <w:rPr>
          <w:color w:val="3494BA" w:themeColor="accent1"/>
        </w:rPr>
        <w:t>.38 (.08)</w:t>
      </w:r>
    </w:p>
    <w:bookmarkEnd w:id="30"/>
    <w:p w14:paraId="4C95FB26" w14:textId="77777777" w:rsidR="003C53E1" w:rsidRPr="00D54C68" w:rsidRDefault="003C53E1" w:rsidP="00A97BF0">
      <w:pPr>
        <w:tabs>
          <w:tab w:val="center" w:pos="3240"/>
          <w:tab w:val="center" w:pos="4770"/>
          <w:tab w:val="center" w:pos="6390"/>
          <w:tab w:val="center" w:pos="7920"/>
        </w:tabs>
        <w:spacing w:before="120"/>
        <w:contextualSpacing/>
        <w:rPr>
          <w:color w:val="3494BA" w:themeColor="accent1"/>
        </w:rPr>
      </w:pPr>
      <w:r w:rsidRPr="00D54C68">
        <w:rPr>
          <w:color w:val="3494BA" w:themeColor="accent1"/>
        </w:rPr>
        <w:t>Font Size Group</w:t>
      </w:r>
      <w:r w:rsidRPr="00D54C68">
        <w:rPr>
          <w:color w:val="3494BA" w:themeColor="accent1"/>
        </w:rPr>
        <w:tab/>
      </w:r>
    </w:p>
    <w:p w14:paraId="30D0ACEF" w14:textId="41520C26" w:rsidR="003C53E1" w:rsidRPr="00D54C68" w:rsidRDefault="003C53E1" w:rsidP="003C53E1">
      <w:pPr>
        <w:tabs>
          <w:tab w:val="center" w:pos="3240"/>
          <w:tab w:val="center" w:pos="4770"/>
          <w:tab w:val="center" w:pos="6390"/>
          <w:tab w:val="center" w:pos="7920"/>
        </w:tabs>
        <w:ind w:firstLine="180"/>
        <w:contextualSpacing/>
        <w:rPr>
          <w:color w:val="3494BA" w:themeColor="accent1"/>
        </w:rPr>
      </w:pPr>
      <w:r w:rsidRPr="00D54C68">
        <w:rPr>
          <w:color w:val="3494BA" w:themeColor="accent1"/>
        </w:rPr>
        <w:t>Large Items</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9021B4">
        <w:rPr>
          <w:color w:val="3494BA" w:themeColor="accent1"/>
        </w:rPr>
        <w:t>.</w:t>
      </w:r>
      <w:commentRangeStart w:id="31"/>
      <w:r w:rsidR="009021B4">
        <w:rPr>
          <w:color w:val="3494BA" w:themeColor="accent1"/>
        </w:rPr>
        <w:t>30 (.11)</w:t>
      </w:r>
      <w:commentRangeEnd w:id="31"/>
      <w:r w:rsidR="001E729E">
        <w:rPr>
          <w:rStyle w:val="CommentReference"/>
        </w:rPr>
        <w:commentReference w:id="31"/>
      </w:r>
      <w:r w:rsidRPr="00D54C68">
        <w:rPr>
          <w:color w:val="3494BA" w:themeColor="accent1"/>
        </w:rPr>
        <w:tab/>
      </w:r>
    </w:p>
    <w:p w14:paraId="50872C48" w14:textId="4130E142" w:rsidR="003C53E1" w:rsidRPr="00D54C68" w:rsidRDefault="003C53E1" w:rsidP="00A97BF0">
      <w:pPr>
        <w:tabs>
          <w:tab w:val="center" w:pos="3240"/>
          <w:tab w:val="center" w:pos="4770"/>
          <w:tab w:val="center" w:pos="6390"/>
          <w:tab w:val="center" w:pos="7920"/>
        </w:tabs>
        <w:spacing w:line="360" w:lineRule="auto"/>
        <w:ind w:firstLine="187"/>
        <w:contextualSpacing/>
        <w:rPr>
          <w:color w:val="3494BA" w:themeColor="accent1"/>
        </w:rPr>
      </w:pPr>
      <w:r w:rsidRPr="00D54C68">
        <w:rPr>
          <w:color w:val="3494BA" w:themeColor="accent1"/>
        </w:rPr>
        <w:t>Small Items</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9021B4">
        <w:rPr>
          <w:color w:val="3494BA" w:themeColor="accent1"/>
        </w:rPr>
        <w:t>.37 (.09)</w:t>
      </w:r>
      <w:r w:rsidRPr="00D54C68">
        <w:rPr>
          <w:color w:val="3494BA" w:themeColor="accent1"/>
        </w:rPr>
        <w:tab/>
      </w:r>
    </w:p>
    <w:bookmarkEnd w:id="29"/>
    <w:p w14:paraId="6CBAAFBA" w14:textId="77777777" w:rsidR="003C53E1" w:rsidRPr="00D54C68" w:rsidRDefault="003C53E1" w:rsidP="003C53E1">
      <w:pPr>
        <w:tabs>
          <w:tab w:val="center" w:pos="3240"/>
          <w:tab w:val="center" w:pos="4770"/>
          <w:tab w:val="center" w:pos="6390"/>
          <w:tab w:val="center" w:pos="7920"/>
        </w:tabs>
        <w:contextualSpacing/>
        <w:rPr>
          <w:color w:val="3494BA" w:themeColor="accent1"/>
        </w:rPr>
      </w:pPr>
      <w:r w:rsidRPr="00D54C68">
        <w:rPr>
          <w:color w:val="3494BA" w:themeColor="accent1"/>
        </w:rPr>
        <w:t>Highlight Group</w:t>
      </w:r>
      <w:r w:rsidRPr="00D54C68">
        <w:rPr>
          <w:color w:val="3494BA" w:themeColor="accent1"/>
        </w:rPr>
        <w:tab/>
      </w:r>
    </w:p>
    <w:p w14:paraId="50F47026" w14:textId="31F3B1EA" w:rsidR="003C53E1" w:rsidRPr="00D54C68" w:rsidRDefault="003C53E1" w:rsidP="003C53E1">
      <w:pPr>
        <w:tabs>
          <w:tab w:val="center" w:pos="3240"/>
          <w:tab w:val="center" w:pos="4770"/>
          <w:tab w:val="center" w:pos="6390"/>
          <w:tab w:val="center" w:pos="7920"/>
        </w:tabs>
        <w:ind w:firstLine="180"/>
        <w:contextualSpacing/>
        <w:rPr>
          <w:color w:val="3494BA" w:themeColor="accent1"/>
        </w:rPr>
      </w:pPr>
      <w:r w:rsidRPr="00D54C68">
        <w:rPr>
          <w:color w:val="3494BA" w:themeColor="accent1"/>
        </w:rPr>
        <w:t>Highlight Items</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1E729E">
        <w:rPr>
          <w:color w:val="3494BA" w:themeColor="accent1"/>
        </w:rPr>
        <w:t>.12 (.15)</w:t>
      </w:r>
      <w:r w:rsidRPr="00D54C68">
        <w:rPr>
          <w:color w:val="3494BA" w:themeColor="accent1"/>
        </w:rPr>
        <w:tab/>
      </w:r>
    </w:p>
    <w:p w14:paraId="4C7F4C21" w14:textId="7F0CC9F1" w:rsidR="003C53E1" w:rsidRDefault="003C53E1" w:rsidP="00FB25EF">
      <w:pPr>
        <w:tabs>
          <w:tab w:val="center" w:pos="3240"/>
          <w:tab w:val="center" w:pos="4770"/>
          <w:tab w:val="center" w:pos="6390"/>
          <w:tab w:val="center" w:pos="7920"/>
        </w:tabs>
        <w:spacing w:line="480" w:lineRule="auto"/>
        <w:ind w:firstLine="187"/>
        <w:contextualSpacing/>
        <w:rPr>
          <w:color w:val="3494BA" w:themeColor="accent1"/>
        </w:rPr>
      </w:pPr>
      <w:r w:rsidRPr="00D54C68">
        <w:rPr>
          <w:color w:val="3494BA" w:themeColor="accent1"/>
        </w:rPr>
        <w:t>No Highlight Items</w:t>
      </w:r>
      <w:r w:rsidR="00A97BF0">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1E729E">
        <w:rPr>
          <w:color w:val="3494BA" w:themeColor="accent1"/>
        </w:rPr>
        <w:t>.28 (.13)</w:t>
      </w:r>
    </w:p>
    <w:p w14:paraId="288F8BBC" w14:textId="1D6A3918" w:rsidR="00A97BF0" w:rsidRDefault="00451E9B" w:rsidP="007B4963">
      <w:pPr>
        <w:tabs>
          <w:tab w:val="center" w:pos="3240"/>
          <w:tab w:val="center" w:pos="4770"/>
          <w:tab w:val="center" w:pos="6390"/>
          <w:tab w:val="center" w:pos="7920"/>
        </w:tabs>
        <w:spacing w:line="360" w:lineRule="auto"/>
        <w:ind w:left="1440" w:firstLine="187"/>
        <w:contextualSpacing/>
        <w:jc w:val="center"/>
        <w:rPr>
          <w:color w:val="3494BA" w:themeColor="accent1"/>
        </w:rPr>
      </w:pPr>
      <w:r>
        <w:rPr>
          <w:color w:val="3494BA" w:themeColor="accent1"/>
        </w:rPr>
        <w:t xml:space="preserve">   </w:t>
      </w:r>
      <w:r w:rsidR="00A97BF0">
        <w:rPr>
          <w:color w:val="3494BA" w:themeColor="accent1"/>
        </w:rPr>
        <w:t xml:space="preserve">Experiment </w:t>
      </w:r>
      <w:r w:rsidR="00A97BF0">
        <w:rPr>
          <w:color w:val="3494BA" w:themeColor="accent1"/>
        </w:rPr>
        <w:t>3</w:t>
      </w:r>
    </w:p>
    <w:p w14:paraId="4755E4B2" w14:textId="03883613" w:rsidR="00576B0D" w:rsidRPr="00D54C68" w:rsidRDefault="00A97BF0" w:rsidP="00A97BF0">
      <w:pPr>
        <w:tabs>
          <w:tab w:val="center" w:pos="3240"/>
          <w:tab w:val="center" w:pos="4770"/>
          <w:tab w:val="center" w:pos="6390"/>
          <w:tab w:val="center" w:pos="7920"/>
        </w:tabs>
        <w:spacing w:after="120" w:line="360" w:lineRule="auto"/>
        <w:contextualSpacing/>
        <w:rPr>
          <w:color w:val="3494BA" w:themeColor="accent1"/>
        </w:rPr>
      </w:pPr>
      <w:r w:rsidRPr="00D54C68">
        <w:rPr>
          <w:color w:val="3494BA" w:themeColor="accent1"/>
        </w:rPr>
        <w:t>Control Group</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576B0D">
        <w:rPr>
          <w:color w:val="3494BA" w:themeColor="accent1"/>
        </w:rPr>
        <w:t>.34 (.07)</w:t>
      </w:r>
    </w:p>
    <w:p w14:paraId="1698083E" w14:textId="74E464A3" w:rsidR="00A97BF0" w:rsidRPr="00D54C68" w:rsidRDefault="00A97BF0" w:rsidP="00A97BF0">
      <w:pPr>
        <w:tabs>
          <w:tab w:val="center" w:pos="3240"/>
          <w:tab w:val="center" w:pos="4770"/>
          <w:tab w:val="center" w:pos="6390"/>
          <w:tab w:val="center" w:pos="7920"/>
        </w:tabs>
        <w:spacing w:before="120"/>
        <w:contextualSpacing/>
        <w:rPr>
          <w:color w:val="3494BA" w:themeColor="accent1"/>
        </w:rPr>
      </w:pPr>
      <w:r>
        <w:rPr>
          <w:color w:val="3494BA" w:themeColor="accent1"/>
        </w:rPr>
        <w:t>Sans Forgetica</w:t>
      </w:r>
      <w:r w:rsidRPr="00D54C68">
        <w:rPr>
          <w:color w:val="3494BA" w:themeColor="accent1"/>
        </w:rPr>
        <w:t xml:space="preserve"> Group</w:t>
      </w:r>
      <w:r w:rsidRPr="00D54C68">
        <w:rPr>
          <w:color w:val="3494BA" w:themeColor="accent1"/>
        </w:rPr>
        <w:tab/>
      </w:r>
    </w:p>
    <w:p w14:paraId="61810026" w14:textId="35E0A1AE" w:rsidR="00A97BF0" w:rsidRPr="00D54C68" w:rsidRDefault="00A97BF0" w:rsidP="00A97BF0">
      <w:pPr>
        <w:tabs>
          <w:tab w:val="center" w:pos="3240"/>
          <w:tab w:val="center" w:pos="4770"/>
          <w:tab w:val="center" w:pos="6390"/>
          <w:tab w:val="center" w:pos="7920"/>
        </w:tabs>
        <w:ind w:firstLine="180"/>
        <w:contextualSpacing/>
        <w:rPr>
          <w:color w:val="3494BA" w:themeColor="accent1"/>
        </w:rPr>
      </w:pPr>
      <w:r>
        <w:rPr>
          <w:color w:val="3494BA" w:themeColor="accent1"/>
        </w:rPr>
        <w:t>Sans Forgetica Font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commentRangeStart w:id="32"/>
      <w:r w:rsidR="00576B0D">
        <w:rPr>
          <w:color w:val="3494BA" w:themeColor="accent1"/>
        </w:rPr>
        <w:t>.33 (.12)</w:t>
      </w:r>
      <w:commentRangeEnd w:id="32"/>
      <w:r w:rsidR="00576B0D">
        <w:rPr>
          <w:rStyle w:val="CommentReference"/>
        </w:rPr>
        <w:commentReference w:id="32"/>
      </w:r>
      <w:r w:rsidRPr="00D54C68">
        <w:rPr>
          <w:color w:val="3494BA" w:themeColor="accent1"/>
        </w:rPr>
        <w:tab/>
      </w:r>
    </w:p>
    <w:p w14:paraId="55E66D85" w14:textId="2FB92DA4" w:rsidR="00A97BF0" w:rsidRDefault="00A97BF0" w:rsidP="00A97BF0">
      <w:pPr>
        <w:tabs>
          <w:tab w:val="center" w:pos="3240"/>
          <w:tab w:val="center" w:pos="4770"/>
          <w:tab w:val="center" w:pos="6390"/>
          <w:tab w:val="center" w:pos="7920"/>
        </w:tabs>
        <w:spacing w:line="360" w:lineRule="auto"/>
        <w:ind w:firstLine="187"/>
        <w:contextualSpacing/>
        <w:rPr>
          <w:color w:val="3494BA" w:themeColor="accent1"/>
        </w:rPr>
      </w:pPr>
      <w:r>
        <w:rPr>
          <w:color w:val="3494BA" w:themeColor="accent1"/>
        </w:rPr>
        <w:t>Standard Font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Pr>
          <w:color w:val="3494BA" w:themeColor="accent1"/>
        </w:rPr>
        <w:t>--</w:t>
      </w:r>
      <w:r w:rsidRPr="00D54C68">
        <w:rPr>
          <w:color w:val="3494BA" w:themeColor="accent1"/>
        </w:rPr>
        <w:tab/>
      </w:r>
      <w:r w:rsidR="00576B0D">
        <w:rPr>
          <w:color w:val="3494BA" w:themeColor="accent1"/>
        </w:rPr>
        <w:t>.28 (.11)</w:t>
      </w:r>
      <w:r w:rsidRPr="00D54C68">
        <w:rPr>
          <w:color w:val="3494BA" w:themeColor="accent1"/>
        </w:rPr>
        <w:tab/>
      </w:r>
    </w:p>
    <w:p w14:paraId="2ED2C01B" w14:textId="63635FA2" w:rsidR="003C53E1" w:rsidRDefault="003C53E1" w:rsidP="003C53E1">
      <w:pPr>
        <w:tabs>
          <w:tab w:val="left" w:pos="9360"/>
        </w:tabs>
        <w:contextualSpacing/>
        <w:rPr>
          <w:color w:val="3494BA" w:themeColor="accent1"/>
          <w:u w:val="single"/>
        </w:rPr>
      </w:pPr>
      <w:r w:rsidRPr="00D54C68">
        <w:rPr>
          <w:color w:val="3494BA" w:themeColor="accent1"/>
          <w:u w:val="single"/>
        </w:rPr>
        <w:tab/>
      </w:r>
    </w:p>
    <w:p w14:paraId="3614AEDA" w14:textId="0358F832" w:rsidR="003C53E1" w:rsidRDefault="003C53E1" w:rsidP="003C53E1">
      <w:pPr>
        <w:tabs>
          <w:tab w:val="center" w:pos="3600"/>
          <w:tab w:val="center" w:pos="5040"/>
          <w:tab w:val="center" w:pos="6480"/>
          <w:tab w:val="center" w:pos="7920"/>
        </w:tabs>
        <w:contextualSpacing/>
      </w:pPr>
      <w:r w:rsidRPr="003C53E1">
        <w:rPr>
          <w:i/>
          <w:iCs/>
          <w:color w:val="3494BA" w:themeColor="accent1"/>
        </w:rPr>
        <w:t>Note.</w:t>
      </w:r>
      <w:r w:rsidRPr="003C53E1">
        <w:rPr>
          <w:color w:val="3494BA" w:themeColor="accent1"/>
        </w:rPr>
        <w:t xml:space="preserve"> All study/test items were unrelate</w:t>
      </w:r>
      <w:r>
        <w:rPr>
          <w:color w:val="3494BA" w:themeColor="accent1"/>
        </w:rPr>
        <w:t>d in Experiments 2 and 3.</w:t>
      </w:r>
    </w:p>
    <w:p w14:paraId="7658A4BD" w14:textId="2BF9F05F" w:rsidR="003C53E1" w:rsidRPr="00D54C68" w:rsidRDefault="003C53E1" w:rsidP="003C53E1">
      <w:pPr>
        <w:tabs>
          <w:tab w:val="left" w:pos="9360"/>
        </w:tabs>
        <w:contextualSpacing/>
        <w:rPr>
          <w:color w:val="3494BA" w:themeColor="accent1"/>
          <w:u w:val="single"/>
        </w:rPr>
      </w:pPr>
    </w:p>
    <w:p w14:paraId="4F6AC5E2" w14:textId="3A7640F8" w:rsidR="003C53E1" w:rsidRDefault="003C53E1">
      <w:pPr>
        <w:spacing w:after="160" w:line="259" w:lineRule="auto"/>
        <w:rPr>
          <w:rFonts w:eastAsiaTheme="minorHAnsi"/>
        </w:rPr>
      </w:pPr>
      <w:r>
        <w:rPr>
          <w:rFonts w:eastAsiaTheme="minorHAnsi"/>
        </w:rPr>
        <w:br w:type="page"/>
      </w:r>
    </w:p>
    <w:p w14:paraId="34502E92" w14:textId="2D6166BA" w:rsidR="00BF7193" w:rsidRPr="00E57E8C" w:rsidRDefault="00BF7193" w:rsidP="003C53E1">
      <w:pPr>
        <w:spacing w:after="160" w:line="480" w:lineRule="auto"/>
        <w:contextualSpacing/>
        <w:rPr>
          <w:rFonts w:eastAsiaTheme="minorHAnsi"/>
        </w:rPr>
      </w:pPr>
      <w:r w:rsidRPr="00E57E8C">
        <w:rPr>
          <w:rFonts w:eastAsiaTheme="minorHAnsi"/>
        </w:rPr>
        <w:lastRenderedPageBreak/>
        <w:t xml:space="preserve">Table </w:t>
      </w:r>
      <w:r w:rsidR="004F4584" w:rsidRPr="00E57E8C">
        <w:rPr>
          <w:rFonts w:eastAsiaTheme="minorHAnsi"/>
        </w:rPr>
        <w:t>A</w:t>
      </w:r>
      <w:r w:rsidR="003C53E1">
        <w:rPr>
          <w:rFonts w:eastAsiaTheme="minorHAnsi"/>
        </w:rPr>
        <w:t>5</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33"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33"/>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2E87248F" w:rsidR="00BF7193" w:rsidRDefault="00BF7193" w:rsidP="00BF7193">
      <w:pPr>
        <w:spacing w:after="160"/>
        <w:rPr>
          <w:rFonts w:eastAsiaTheme="minorHAnsi"/>
        </w:rPr>
      </w:pPr>
      <w:r w:rsidRPr="00E57E8C">
        <w:rPr>
          <w:rFonts w:eastAsiaTheme="minorHAnsi"/>
          <w:i/>
          <w:iCs/>
        </w:rPr>
        <w:t>Note.</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17765F6C" w:rsidR="004F4584" w:rsidRPr="008E75DA" w:rsidRDefault="004F4584" w:rsidP="004F4584">
      <w:pPr>
        <w:spacing w:line="480" w:lineRule="auto"/>
        <w:contextualSpacing/>
      </w:pPr>
      <w:commentRangeStart w:id="34"/>
      <w:r w:rsidRPr="008E75DA">
        <w:lastRenderedPageBreak/>
        <w:t xml:space="preserve">Table </w:t>
      </w:r>
      <w:r>
        <w:t>A</w:t>
      </w:r>
      <w:r w:rsidR="003C53E1">
        <w:t>6</w:t>
      </w:r>
      <w:commentRangeEnd w:id="34"/>
      <w:r w:rsidR="004E1028">
        <w:rPr>
          <w:rStyle w:val="CommentReference"/>
        </w:rPr>
        <w:commentReference w:id="34"/>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0FD7E2E1" w:rsidR="004F4584" w:rsidRPr="008E75DA" w:rsidRDefault="004F4584" w:rsidP="004F4584">
      <w:pPr>
        <w:tabs>
          <w:tab w:val="center" w:pos="4050"/>
          <w:tab w:val="center" w:pos="7200"/>
        </w:tabs>
        <w:spacing w:line="480" w:lineRule="auto"/>
        <w:contextualSpacing/>
      </w:pPr>
      <w:r w:rsidRPr="008E75DA">
        <w:t>Control</w:t>
      </w:r>
      <w:r w:rsidRPr="008E75DA">
        <w:tab/>
      </w:r>
      <w:r w:rsidR="00CA5C9F">
        <w:rPr>
          <w:color w:val="000000"/>
        </w:rPr>
        <w:t>24.76</w:t>
      </w:r>
      <w:r w:rsidRPr="008E75DA">
        <w:rPr>
          <w:color w:val="000000"/>
        </w:rPr>
        <w:t xml:space="preserve"> (</w:t>
      </w:r>
      <w:r w:rsidR="00CA5C9F">
        <w:rPr>
          <w:color w:val="000000"/>
        </w:rPr>
        <w:t>5.05</w:t>
      </w:r>
      <w:r w:rsidRPr="008E75DA">
        <w:rPr>
          <w:color w:val="000000"/>
        </w:rPr>
        <w:t>)</w:t>
      </w:r>
      <w:r w:rsidRPr="008E75DA">
        <w:tab/>
      </w:r>
      <w:r w:rsidR="00CA5C9F">
        <w:rPr>
          <w:color w:val="000000"/>
        </w:rPr>
        <w:t>19.09</w:t>
      </w:r>
      <w:r w:rsidRPr="008E75DA">
        <w:rPr>
          <w:color w:val="000000"/>
        </w:rPr>
        <w:t xml:space="preserve"> (4.</w:t>
      </w:r>
      <w:r w:rsidR="00CA5C9F">
        <w:rPr>
          <w:color w:val="000000"/>
        </w:rPr>
        <w:t>95</w:t>
      </w:r>
      <w:r w:rsidRPr="008E75DA">
        <w:rPr>
          <w:color w:val="000000"/>
        </w:rPr>
        <w:t>)</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4661062D"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w:t>
      </w:r>
      <w:r w:rsidR="00CA5C9F">
        <w:rPr>
          <w:color w:val="000000"/>
        </w:rPr>
        <w:t>9</w:t>
      </w:r>
      <w:r w:rsidRPr="008E75DA">
        <w:rPr>
          <w:color w:val="000000"/>
        </w:rPr>
        <w:t>.</w:t>
      </w:r>
      <w:r w:rsidR="00CA5C9F">
        <w:rPr>
          <w:color w:val="000000"/>
        </w:rPr>
        <w:t>27</w:t>
      </w:r>
      <w:r w:rsidRPr="008E75DA">
        <w:rPr>
          <w:color w:val="000000"/>
        </w:rPr>
        <w:t xml:space="preserve"> (</w:t>
      </w:r>
      <w:r w:rsidR="00CA5C9F">
        <w:rPr>
          <w:color w:val="000000"/>
        </w:rPr>
        <w:t>4.89</w:t>
      </w:r>
      <w:r w:rsidRPr="008E75DA">
        <w:rPr>
          <w:color w:val="000000"/>
        </w:rPr>
        <w:t>)</w:t>
      </w:r>
      <w:r w:rsidRPr="008E75DA">
        <w:tab/>
      </w:r>
      <w:r w:rsidR="00CA5C9F">
        <w:rPr>
          <w:color w:val="000000"/>
        </w:rPr>
        <w:t>24.72</w:t>
      </w:r>
      <w:r w:rsidRPr="008E75DA">
        <w:rPr>
          <w:color w:val="000000"/>
        </w:rPr>
        <w:t xml:space="preserve"> (5.2</w:t>
      </w:r>
      <w:r w:rsidR="00CA5C9F">
        <w:rPr>
          <w:color w:val="000000"/>
        </w:rPr>
        <w:t>5</w:t>
      </w:r>
      <w:r w:rsidRPr="008E75DA">
        <w:rPr>
          <w:color w:val="000000"/>
        </w:rPr>
        <w:t>)</w:t>
      </w:r>
      <w:r w:rsidRPr="008E75DA">
        <w:tab/>
      </w:r>
    </w:p>
    <w:p w14:paraId="6B0C18BE" w14:textId="3405E51E" w:rsidR="004F4584" w:rsidRDefault="004F4584" w:rsidP="004F4584">
      <w:pPr>
        <w:tabs>
          <w:tab w:val="center" w:pos="4050"/>
          <w:tab w:val="center" w:pos="7200"/>
        </w:tabs>
        <w:spacing w:line="480" w:lineRule="auto"/>
        <w:ind w:firstLine="274"/>
        <w:contextualSpacing/>
      </w:pPr>
      <w:r w:rsidRPr="008E75DA">
        <w:t>Small</w:t>
      </w:r>
      <w:r w:rsidRPr="008E75DA">
        <w:tab/>
      </w:r>
      <w:r w:rsidR="00CA5C9F">
        <w:rPr>
          <w:color w:val="000000"/>
        </w:rPr>
        <w:t>26.72</w:t>
      </w:r>
      <w:r w:rsidRPr="008E75DA">
        <w:rPr>
          <w:color w:val="000000"/>
        </w:rPr>
        <w:t xml:space="preserve"> (4.</w:t>
      </w:r>
      <w:r w:rsidR="00CA5C9F">
        <w:rPr>
          <w:color w:val="000000"/>
        </w:rPr>
        <w:t>42</w:t>
      </w:r>
      <w:r w:rsidRPr="008E75DA">
        <w:rPr>
          <w:color w:val="000000"/>
        </w:rPr>
        <w:t>)</w:t>
      </w:r>
      <w:r w:rsidRPr="008E75DA">
        <w:tab/>
      </w:r>
      <w:r w:rsidR="00CA5C9F">
        <w:rPr>
          <w:color w:val="000000"/>
        </w:rPr>
        <w:t>21.86</w:t>
      </w:r>
      <w:r w:rsidRPr="008E75DA">
        <w:rPr>
          <w:color w:val="000000"/>
        </w:rPr>
        <w:t xml:space="preserve"> (</w:t>
      </w:r>
      <w:r w:rsidR="00CA5C9F">
        <w:rPr>
          <w:color w:val="000000"/>
        </w:rPr>
        <w:t>4.94</w:t>
      </w:r>
      <w:r w:rsidRPr="008E75DA">
        <w:rPr>
          <w:color w:val="000000"/>
        </w:rPr>
        <w:t>)</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1AB55FDE"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w:t>
      </w:r>
      <w:r w:rsidR="00CA5C9F">
        <w:rPr>
          <w:color w:val="000000"/>
        </w:rPr>
        <w:t>42</w:t>
      </w:r>
      <w:r w:rsidRPr="008E75DA">
        <w:rPr>
          <w:color w:val="000000"/>
        </w:rPr>
        <w:t xml:space="preserve"> (5.</w:t>
      </w:r>
      <w:r w:rsidR="00CA5C9F">
        <w:rPr>
          <w:color w:val="000000"/>
        </w:rPr>
        <w:t>40</w:t>
      </w:r>
      <w:r w:rsidRPr="008E75DA">
        <w:rPr>
          <w:color w:val="000000"/>
        </w:rPr>
        <w:t>)</w:t>
      </w:r>
      <w:r w:rsidRPr="008E75DA">
        <w:tab/>
      </w:r>
      <w:r w:rsidR="00CA5C9F">
        <w:rPr>
          <w:color w:val="000000"/>
        </w:rPr>
        <w:t>21.60</w:t>
      </w:r>
      <w:r w:rsidRPr="008E75DA">
        <w:rPr>
          <w:color w:val="000000"/>
        </w:rPr>
        <w:t xml:space="preserve"> (</w:t>
      </w:r>
      <w:r w:rsidR="00CA5C9F">
        <w:rPr>
          <w:color w:val="000000"/>
        </w:rPr>
        <w:t>5.05</w:t>
      </w:r>
      <w:r w:rsidRPr="008E75DA">
        <w:rPr>
          <w:color w:val="000000"/>
        </w:rPr>
        <w:t>)</w:t>
      </w:r>
      <w:r w:rsidRPr="008E75DA">
        <w:tab/>
      </w:r>
    </w:p>
    <w:p w14:paraId="0765655E" w14:textId="2B7CE812"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w:t>
      </w:r>
      <w:r w:rsidR="00CA5C9F">
        <w:rPr>
          <w:color w:val="000000"/>
        </w:rPr>
        <w:t>39</w:t>
      </w:r>
      <w:r w:rsidRPr="008E75DA">
        <w:rPr>
          <w:color w:val="000000"/>
        </w:rPr>
        <w:t xml:space="preserve"> (5.</w:t>
      </w:r>
      <w:r w:rsidR="00CA5C9F">
        <w:rPr>
          <w:color w:val="000000"/>
        </w:rPr>
        <w:t>57</w:t>
      </w:r>
      <w:r w:rsidRPr="008E75DA">
        <w:rPr>
          <w:color w:val="000000"/>
        </w:rPr>
        <w:t>)</w:t>
      </w:r>
      <w:r w:rsidRPr="008E75DA">
        <w:tab/>
      </w:r>
      <w:r w:rsidR="00CA5C9F">
        <w:rPr>
          <w:color w:val="000000"/>
        </w:rPr>
        <w:t>20.35</w:t>
      </w:r>
      <w:r w:rsidRPr="008E75DA">
        <w:rPr>
          <w:color w:val="000000"/>
        </w:rPr>
        <w:t xml:space="preserve"> (5.</w:t>
      </w:r>
      <w:r w:rsidR="00CA5C9F">
        <w:rPr>
          <w:color w:val="000000"/>
        </w:rPr>
        <w:t>63</w:t>
      </w:r>
      <w:r w:rsidRPr="008E75DA">
        <w:rPr>
          <w:color w:val="000000"/>
        </w:rPr>
        <w:t>)</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36D58F0" w:rsidR="004F4584" w:rsidRPr="006A1B30" w:rsidRDefault="004F4584" w:rsidP="004F4584">
      <w:pPr>
        <w:spacing w:line="480" w:lineRule="auto"/>
        <w:contextualSpacing/>
      </w:pPr>
      <w:commentRangeStart w:id="35"/>
      <w:r w:rsidRPr="006A1B30">
        <w:lastRenderedPageBreak/>
        <w:t xml:space="preserve">Table </w:t>
      </w:r>
      <w:r>
        <w:t>A</w:t>
      </w:r>
      <w:r w:rsidR="003C53E1">
        <w:t>7</w:t>
      </w:r>
      <w:commentRangeEnd w:id="35"/>
      <w:r w:rsidR="004E1028">
        <w:rPr>
          <w:rStyle w:val="CommentReference"/>
        </w:rPr>
        <w:commentReference w:id="35"/>
      </w:r>
    </w:p>
    <w:p w14:paraId="5F7DD490" w14:textId="396B6708" w:rsidR="004F4584" w:rsidRPr="006A1B30" w:rsidRDefault="004F4584" w:rsidP="00790B5B">
      <w:pPr>
        <w:contextualSpacing/>
        <w:rPr>
          <w:i/>
          <w:iCs/>
        </w:rPr>
      </w:pPr>
      <w:r w:rsidRPr="006A1B30">
        <w:rPr>
          <w:i/>
          <w:iCs/>
        </w:rPr>
        <w:t>Mean (± 95% CI) JOL Ratings and Correct Recall Percentages for the Contro</w:t>
      </w:r>
      <w:r w:rsidR="003C53E1">
        <w:rPr>
          <w:i/>
          <w:iCs/>
        </w:rPr>
        <w:t>l</w:t>
      </w:r>
      <w:r w:rsidRPr="006A1B30">
        <w:rPr>
          <w:i/>
          <w:iCs/>
        </w:rPr>
        <w:t xml:space="preserve">, and </w:t>
      </w:r>
      <w:r w:rsidR="003C53E1">
        <w:rPr>
          <w:i/>
          <w:iCs/>
        </w:rPr>
        <w:t>Sans Forgetica</w:t>
      </w:r>
      <w:r w:rsidRPr="006A1B30">
        <w:rPr>
          <w:i/>
          <w:iCs/>
        </w:rPr>
        <w:t xml:space="preserv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2EBF9DD1"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w:t>
      </w:r>
      <w:r w:rsidR="0061551C">
        <w:rPr>
          <w:color w:val="000000"/>
        </w:rPr>
        <w:t>4.59</w:t>
      </w:r>
      <w:r w:rsidRPr="006A1B30">
        <w:rPr>
          <w:color w:val="000000"/>
        </w:rPr>
        <w:t>)</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7-28T10:19:00Z" w:initials="NM">
    <w:p w14:paraId="4CEB87D2" w14:textId="431611BD" w:rsidR="00006CD4" w:rsidRDefault="00006CD4">
      <w:pPr>
        <w:pStyle w:val="CommentText"/>
      </w:pPr>
      <w:r>
        <w:rPr>
          <w:rStyle w:val="CommentReference"/>
        </w:rPr>
        <w:annotationRef/>
      </w:r>
      <w:r>
        <w:t xml:space="preserve">R1 </w:t>
      </w:r>
      <w:proofErr w:type="gramStart"/>
      <w:r>
        <w:t>didn’t</w:t>
      </w:r>
      <w:proofErr w:type="gramEnd"/>
      <w:r>
        <w:t xml:space="preserve"> like us referring to JOLs as a “task”</w:t>
      </w:r>
      <w:r w:rsidR="00C941A7">
        <w:t>. Updated the language here accordingly.</w:t>
      </w:r>
    </w:p>
  </w:comment>
  <w:comment w:id="1" w:author="Nick Maxwell" w:date="2021-07-29T10:25:00Z" w:initials="NM">
    <w:p w14:paraId="2BEF6456" w14:textId="09EB623E" w:rsidR="00FD526F" w:rsidRDefault="00FD526F">
      <w:pPr>
        <w:pStyle w:val="CommentText"/>
      </w:pPr>
      <w:r>
        <w:rPr>
          <w:rStyle w:val="CommentReference"/>
        </w:rPr>
        <w:annotationRef/>
      </w:r>
      <w:r>
        <w:t xml:space="preserve">Feel free to move this around or delete. Our action editor suggested we mention this </w:t>
      </w:r>
      <w:proofErr w:type="gramStart"/>
      <w:r>
        <w:t>paper</w:t>
      </w:r>
      <w:proofErr w:type="gramEnd"/>
      <w:r>
        <w:t xml:space="preserve"> and this seemed like a good place to stick it.</w:t>
      </w:r>
      <w:r w:rsidR="00F20D2E">
        <w:t xml:space="preserve"> Came across the </w:t>
      </w:r>
      <w:proofErr w:type="spellStart"/>
      <w:r w:rsidR="00F20D2E">
        <w:t>mueller</w:t>
      </w:r>
      <w:proofErr w:type="spellEnd"/>
      <w:r w:rsidR="00F20D2E">
        <w:t xml:space="preserve"> </w:t>
      </w:r>
      <w:proofErr w:type="spellStart"/>
      <w:r w:rsidR="00F20D2E">
        <w:t>dunlosky</w:t>
      </w:r>
      <w:proofErr w:type="spellEnd"/>
      <w:r w:rsidR="00F20D2E">
        <w:t xml:space="preserve"> part when reading the </w:t>
      </w:r>
      <w:proofErr w:type="spellStart"/>
      <w:r w:rsidR="00F20D2E">
        <w:t>jemstedt</w:t>
      </w:r>
      <w:proofErr w:type="spellEnd"/>
      <w:r w:rsidR="00F20D2E">
        <w:t xml:space="preserve"> paper and thought it fit nicely.</w:t>
      </w:r>
    </w:p>
  </w:comment>
  <w:comment w:id="2" w:author="Nick Maxwell" w:date="2021-07-28T15:09:00Z" w:initials="NM">
    <w:p w14:paraId="3BEE2FB7" w14:textId="6B6FFD17" w:rsidR="00CB0B70" w:rsidRDefault="00CB0B70">
      <w:pPr>
        <w:pStyle w:val="CommentText"/>
      </w:pPr>
      <w:r>
        <w:rPr>
          <w:rStyle w:val="CommentReference"/>
        </w:rPr>
        <w:annotationRef/>
      </w:r>
      <w:r>
        <w:t>One of the reviewers wanted more information about our sample.</w:t>
      </w:r>
    </w:p>
  </w:comment>
  <w:comment w:id="3" w:author="Nick Maxwell" w:date="2021-07-27T12:43:00Z" w:initials="NM">
    <w:p w14:paraId="4FEE94DB" w14:textId="75900660" w:rsidR="006A7273" w:rsidRDefault="006A7273">
      <w:pPr>
        <w:pStyle w:val="CommentText"/>
      </w:pPr>
      <w:r>
        <w:rPr>
          <w:rStyle w:val="CommentReference"/>
        </w:rPr>
        <w:annotationRef/>
      </w:r>
      <w:r>
        <w:t>Dr. Huff, I might need your help figuring out how to do this</w:t>
      </w:r>
      <w:r w:rsidR="002C0B92">
        <w:t xml:space="preserve"> in g*power</w:t>
      </w:r>
      <w:r>
        <w:t xml:space="preserve"> for a 3-way interaction design.</w:t>
      </w:r>
    </w:p>
  </w:comment>
  <w:comment w:id="4" w:author="Nick Maxwell" w:date="2021-07-28T10:29:00Z" w:initials="NM">
    <w:p w14:paraId="24D745EA" w14:textId="385E4CC6" w:rsidR="00007304" w:rsidRDefault="00007304">
      <w:pPr>
        <w:pStyle w:val="CommentText"/>
      </w:pPr>
      <w:r>
        <w:rPr>
          <w:rStyle w:val="CommentReference"/>
        </w:rPr>
        <w:annotationRef/>
      </w:r>
      <w:proofErr w:type="gramStart"/>
      <w:r>
        <w:t>Wasn’t</w:t>
      </w:r>
      <w:proofErr w:type="gramEnd"/>
      <w:r>
        <w:t xml:space="preserve"> sure the best place to stick this.</w:t>
      </w:r>
    </w:p>
  </w:comment>
  <w:comment w:id="6" w:author="Nick Maxwell" w:date="2021-07-27T09:50:00Z" w:initials="NM">
    <w:p w14:paraId="13FB4584" w14:textId="4B9AFC4D" w:rsidR="006C7C11" w:rsidRDefault="006C7C11">
      <w:pPr>
        <w:pStyle w:val="CommentText"/>
      </w:pPr>
      <w:r>
        <w:rPr>
          <w:rStyle w:val="CommentReference"/>
        </w:rPr>
        <w:annotationRef/>
      </w:r>
      <w:r>
        <w:t>Trying to clarify illusions of competence for the reviewers.</w:t>
      </w:r>
    </w:p>
  </w:comment>
  <w:comment w:id="7" w:author="Nick Maxwell" w:date="2021-07-27T10:03:00Z" w:initials="NM">
    <w:p w14:paraId="26E56F8D" w14:textId="00F58C27" w:rsidR="002501BC" w:rsidRDefault="002501BC">
      <w:pPr>
        <w:pStyle w:val="CommentText"/>
      </w:pPr>
      <w:r>
        <w:rPr>
          <w:rStyle w:val="CommentReference"/>
        </w:rPr>
        <w:annotationRef/>
      </w:r>
      <w:r w:rsidR="00696C01">
        <w:t>Trying to address R2’s comment about bolding decreasing JOLs and recall in that one study.</w:t>
      </w:r>
    </w:p>
  </w:comment>
  <w:comment w:id="8" w:author="Nick Maxwell" w:date="2021-07-27T09:54:00Z" w:initials="NM">
    <w:p w14:paraId="51F1F2D8" w14:textId="1CC92B3D" w:rsidR="006C7C11" w:rsidRDefault="006C7C11">
      <w:pPr>
        <w:pStyle w:val="CommentText"/>
      </w:pPr>
      <w:r>
        <w:rPr>
          <w:rStyle w:val="CommentReference"/>
        </w:rPr>
        <w:annotationRef/>
      </w:r>
      <w:r>
        <w:t>Any additional demographics added to 1A need to be added in here.</w:t>
      </w:r>
    </w:p>
  </w:comment>
  <w:comment w:id="9" w:author="Nick Maxwell" w:date="2021-07-28T15:45:00Z" w:initials="NM">
    <w:p w14:paraId="1845AF6D" w14:textId="121FD62A" w:rsidR="00E540FF" w:rsidRDefault="00E540FF">
      <w:pPr>
        <w:pStyle w:val="CommentText"/>
      </w:pPr>
      <w:r>
        <w:rPr>
          <w:rStyle w:val="CommentReference"/>
        </w:rPr>
        <w:annotationRef/>
      </w:r>
      <w:r>
        <w:t>Adding this for clarity – When I first read through this paper after not looking at it for a few months I had to remind myself that the control comparisons were a separate set of analyses than the highlight/no-highlight (or the large-small in the A experiments). Just trying to make this as easy to follow as possible.</w:t>
      </w:r>
    </w:p>
  </w:comment>
  <w:comment w:id="10" w:author="Nick Maxwell" w:date="2021-07-27T12:06:00Z" w:initials="NM">
    <w:p w14:paraId="16CBB241" w14:textId="107C972D" w:rsidR="00CD5871" w:rsidRDefault="00CD5871">
      <w:pPr>
        <w:pStyle w:val="CommentText"/>
      </w:pPr>
      <w:r>
        <w:rPr>
          <w:rStyle w:val="CommentReference"/>
        </w:rPr>
        <w:annotationRef/>
      </w:r>
      <w:r>
        <w:t>Okay, trying to use this discussion to hit on R2’s point that even though we technically did not replicate the font-size effect as reported by Rhodes and Castel, large font still increased JOLs.</w:t>
      </w:r>
    </w:p>
  </w:comment>
  <w:comment w:id="11" w:author="Nick Maxwell" w:date="2021-07-29T19:09:00Z" w:initials="NM">
    <w:p w14:paraId="5A112227" w14:textId="6865F23D" w:rsidR="000D4E29" w:rsidRDefault="000D4E29">
      <w:pPr>
        <w:pStyle w:val="CommentText"/>
      </w:pPr>
      <w:r>
        <w:rPr>
          <w:rStyle w:val="CommentReference"/>
        </w:rPr>
        <w:annotationRef/>
      </w:r>
      <w:r>
        <w:t>Noticed that we never mentioned outliers in this section (originally just said we recruited 37)</w:t>
      </w:r>
    </w:p>
  </w:comment>
  <w:comment w:id="12" w:author="Nick Maxwell" w:date="2021-07-28T15:29:00Z" w:initials="NM">
    <w:p w14:paraId="5330692C" w14:textId="6AC35977" w:rsidR="00A81486" w:rsidRDefault="00A81486">
      <w:pPr>
        <w:pStyle w:val="CommentText"/>
      </w:pPr>
      <w:r>
        <w:rPr>
          <w:rStyle w:val="CommentReference"/>
        </w:rPr>
        <w:annotationRef/>
      </w:r>
      <w:r>
        <w:t xml:space="preserve">Again, just trying to make it clear that these are separate analyses from the preceding </w:t>
      </w:r>
      <w:proofErr w:type="gramStart"/>
      <w:r>
        <w:t>paragraph</w:t>
      </w:r>
      <w:proofErr w:type="gramEnd"/>
    </w:p>
  </w:comment>
  <w:comment w:id="13" w:author="Nick Maxwell" w:date="2021-07-28T19:51:00Z" w:initials="NM">
    <w:p w14:paraId="58BF30C1" w14:textId="6ECD7D56" w:rsidR="005E389A" w:rsidRDefault="005E389A">
      <w:pPr>
        <w:pStyle w:val="CommentText"/>
      </w:pPr>
      <w:r>
        <w:rPr>
          <w:rStyle w:val="CommentReference"/>
        </w:rPr>
        <w:annotationRef/>
      </w:r>
      <w:r>
        <w:t>This section has been completely reworked.</w:t>
      </w:r>
    </w:p>
  </w:comment>
  <w:comment w:id="14" w:author="Nick Maxwell" w:date="2021-07-28T10:14:00Z" w:initials="NM">
    <w:p w14:paraId="50E4B708" w14:textId="3E03FB9B" w:rsidR="00DC0C13" w:rsidRDefault="00DC0C13">
      <w:pPr>
        <w:pStyle w:val="CommentText"/>
      </w:pPr>
      <w:r>
        <w:rPr>
          <w:rStyle w:val="CommentReference"/>
        </w:rPr>
        <w:annotationRef/>
      </w:r>
      <w:r>
        <w:t>Action editor requested some history on the development of SF</w:t>
      </w:r>
      <w:r w:rsidR="00E93B3D">
        <w:t>. I modeled this bit after Taylor et al. (2020)</w:t>
      </w:r>
    </w:p>
  </w:comment>
  <w:comment w:id="15" w:author="Nick Maxwell" w:date="2021-07-27T15:27:00Z" w:initials="NM">
    <w:p w14:paraId="6128D29F" w14:textId="77777777" w:rsidR="00C67D7C" w:rsidRDefault="00C67D7C" w:rsidP="00C67D7C">
      <w:pPr>
        <w:pStyle w:val="CommentText"/>
      </w:pPr>
      <w:r>
        <w:rPr>
          <w:rStyle w:val="CommentReference"/>
        </w:rPr>
        <w:annotationRef/>
      </w:r>
      <w:r>
        <w:t xml:space="preserve">Trying to tie in R2’s point about desirable difficulties resulting in low </w:t>
      </w:r>
      <w:proofErr w:type="gramStart"/>
      <w:r>
        <w:t>JOLs</w:t>
      </w:r>
      <w:proofErr w:type="gramEnd"/>
    </w:p>
  </w:comment>
  <w:comment w:id="16" w:author="Nick Maxwell" w:date="2021-07-28T19:59:00Z" w:initials="NM">
    <w:p w14:paraId="3EC64F15" w14:textId="32285B60" w:rsidR="00EF57A5" w:rsidRDefault="00EF57A5">
      <w:pPr>
        <w:pStyle w:val="CommentText"/>
      </w:pPr>
      <w:r>
        <w:rPr>
          <w:rStyle w:val="CommentReference"/>
        </w:rPr>
        <w:annotationRef/>
      </w:r>
      <w:r>
        <w:t>Tried bringing the predictions for Ex 3 in line with the previous section.</w:t>
      </w:r>
    </w:p>
  </w:comment>
  <w:comment w:id="17" w:author="Nick Maxwell" w:date="2021-07-28T15:23:00Z" w:initials="NM">
    <w:p w14:paraId="066DBEC7" w14:textId="1096C1A2" w:rsidR="00953F5E" w:rsidRDefault="00953F5E">
      <w:pPr>
        <w:pStyle w:val="CommentText"/>
      </w:pPr>
      <w:r>
        <w:rPr>
          <w:rStyle w:val="CommentReference"/>
        </w:rPr>
        <w:annotationRef/>
      </w:r>
      <w:r>
        <w:t>Trying to make the analyses a little easier to follow.</w:t>
      </w:r>
    </w:p>
  </w:comment>
  <w:comment w:id="20" w:author="Nick Maxwell" w:date="2021-07-27T12:38:00Z" w:initials="NM">
    <w:p w14:paraId="002EABAF" w14:textId="1EF6A27A" w:rsidR="00DB40C1" w:rsidRDefault="00DB40C1">
      <w:pPr>
        <w:pStyle w:val="CommentText"/>
      </w:pPr>
      <w:r>
        <w:rPr>
          <w:rStyle w:val="CommentReference"/>
        </w:rPr>
        <w:annotationRef/>
      </w:r>
      <w:r>
        <w:t>You think this is good for the SF vs Arial example fig?</w:t>
      </w:r>
    </w:p>
  </w:comment>
  <w:comment w:id="25" w:author="Nick Maxwell" w:date="2021-07-29T13:36:00Z" w:initials="NM">
    <w:p w14:paraId="2D743010" w14:textId="3BD5D968" w:rsidR="00D34F3D" w:rsidRDefault="00A64579">
      <w:pPr>
        <w:pStyle w:val="CommentText"/>
      </w:pPr>
      <w:r>
        <w:rPr>
          <w:rStyle w:val="CommentReference"/>
        </w:rPr>
        <w:annotationRef/>
      </w:r>
      <w:r w:rsidR="00D34F3D">
        <w:t xml:space="preserve">I ran the gammas using the same method I used for Emily’s stuff (which ended up matching what you sent me earlier this week btw). </w:t>
      </w:r>
      <w:proofErr w:type="gramStart"/>
      <w:r w:rsidR="00D34F3D">
        <w:t>So</w:t>
      </w:r>
      <w:proofErr w:type="gramEnd"/>
      <w:r w:rsidR="00D34F3D">
        <w:t xml:space="preserve"> these should be computed correctly.</w:t>
      </w:r>
    </w:p>
    <w:p w14:paraId="760D60E1" w14:textId="77777777" w:rsidR="00D34F3D" w:rsidRDefault="00D34F3D">
      <w:pPr>
        <w:pStyle w:val="CommentText"/>
      </w:pPr>
    </w:p>
    <w:p w14:paraId="62A4923C" w14:textId="5D6490A1" w:rsidR="00A64579" w:rsidRDefault="00A64579">
      <w:pPr>
        <w:pStyle w:val="CommentText"/>
      </w:pPr>
      <w:r>
        <w:t>Was not sure of the best way to report these, but I ended up settling on a giant table in the Appendix modeled after the mean tables. Was originally going to do separate tables per experiment but decided to combine to save space. We can separate these out if you think that would look better.</w:t>
      </w:r>
    </w:p>
    <w:p w14:paraId="7929401C" w14:textId="3E8D6842" w:rsidR="00D34F3D" w:rsidRDefault="00D34F3D">
      <w:pPr>
        <w:pStyle w:val="CommentText"/>
      </w:pPr>
    </w:p>
    <w:p w14:paraId="51E59001" w14:textId="00622A64" w:rsidR="00D34F3D" w:rsidRDefault="00D34F3D">
      <w:pPr>
        <w:pStyle w:val="CommentText"/>
      </w:pPr>
      <w:proofErr w:type="gramStart"/>
      <w:r>
        <w:t>I’d</w:t>
      </w:r>
      <w:proofErr w:type="gramEnd"/>
      <w:r>
        <w:t xml:space="preserve"> also be happy to move these tables out of the appendix if you think these are worth discussing in the results section. Just let me know!</w:t>
      </w:r>
    </w:p>
    <w:p w14:paraId="6BD15813" w14:textId="22FAF8FC" w:rsidR="004E1028" w:rsidRDefault="004E1028">
      <w:pPr>
        <w:pStyle w:val="CommentText"/>
      </w:pPr>
    </w:p>
  </w:comment>
  <w:comment w:id="27" w:author="Nick Maxwell" w:date="2021-07-29T15:41:00Z" w:initials="NM">
    <w:p w14:paraId="400BF5BE" w14:textId="5E9C726F" w:rsidR="003E6155" w:rsidRDefault="003E6155">
      <w:pPr>
        <w:pStyle w:val="CommentText"/>
      </w:pPr>
      <w:r>
        <w:rPr>
          <w:rStyle w:val="CommentReference"/>
        </w:rPr>
        <w:annotationRef/>
      </w:r>
      <w:r>
        <w:t xml:space="preserve">Getting an interesting pattern </w:t>
      </w:r>
      <w:r w:rsidR="00082318">
        <w:t xml:space="preserve">here </w:t>
      </w:r>
      <w:r>
        <w:t>where unrelated pairs have improved resolution for perceptually distinct pairs, while less distinct pairs improve resolution for backward associates.</w:t>
      </w:r>
    </w:p>
  </w:comment>
  <w:comment w:id="31" w:author="Nick Maxwell" w:date="2021-07-29T19:24:00Z" w:initials="NM">
    <w:p w14:paraId="28AC1857" w14:textId="729831A2" w:rsidR="001E729E" w:rsidRDefault="001E729E">
      <w:pPr>
        <w:pStyle w:val="CommentText"/>
      </w:pPr>
      <w:r>
        <w:rPr>
          <w:rStyle w:val="CommentReference"/>
        </w:rPr>
        <w:annotationRef/>
      </w:r>
      <w:r>
        <w:t>And this pattern reverses in Experiment 2 when only unrelated pairs are used.</w:t>
      </w:r>
      <w:r w:rsidR="00576B0D">
        <w:t xml:space="preserve"> For unrelated only, resolution is higher for the less fluent </w:t>
      </w:r>
      <w:proofErr w:type="gramStart"/>
      <w:r w:rsidR="00576B0D">
        <w:t>pairs</w:t>
      </w:r>
      <w:proofErr w:type="gramEnd"/>
    </w:p>
  </w:comment>
  <w:comment w:id="32" w:author="Nick Maxwell" w:date="2021-07-30T09:12:00Z" w:initials="NM">
    <w:p w14:paraId="53B50EF6" w14:textId="74D31544" w:rsidR="00576B0D" w:rsidRDefault="00576B0D">
      <w:pPr>
        <w:pStyle w:val="CommentText"/>
      </w:pPr>
      <w:r>
        <w:rPr>
          <w:rStyle w:val="CommentReference"/>
        </w:rPr>
        <w:annotationRef/>
      </w:r>
      <w:r>
        <w:t>And again here, but to a lesser magnitude.</w:t>
      </w:r>
    </w:p>
  </w:comment>
  <w:comment w:id="34" w:author="Nick Maxwell" w:date="2021-07-29T15:40:00Z" w:initials="NM">
    <w:p w14:paraId="112E9ACA" w14:textId="690E1260" w:rsidR="004E1028" w:rsidRDefault="004E1028">
      <w:pPr>
        <w:pStyle w:val="CommentText"/>
      </w:pPr>
      <w:r>
        <w:rPr>
          <w:rStyle w:val="CommentReference"/>
        </w:rPr>
        <w:annotationRef/>
      </w:r>
      <w:r w:rsidR="00CA5C9F">
        <w:t xml:space="preserve">As I was making edits, I noticed that this table and the one for Ex 3 both had means and CIs from before we removed outliers. The values </w:t>
      </w:r>
      <w:proofErr w:type="gramStart"/>
      <w:r w:rsidR="00CA5C9F">
        <w:t>didn’t</w:t>
      </w:r>
      <w:proofErr w:type="gramEnd"/>
      <w:r w:rsidR="00CA5C9F">
        <w:t xml:space="preserve"> change much, but I’ve updated both tables to be consistent with the final data sets.</w:t>
      </w:r>
    </w:p>
  </w:comment>
  <w:comment w:id="35" w:author="Nick Maxwell" w:date="2021-07-29T15:40:00Z" w:initials="NM">
    <w:p w14:paraId="04619878" w14:textId="7C5B69ED" w:rsidR="004E1028" w:rsidRDefault="004E1028">
      <w:pPr>
        <w:pStyle w:val="CommentText"/>
      </w:pPr>
      <w:r>
        <w:rPr>
          <w:rStyle w:val="CommentReference"/>
        </w:rPr>
        <w:annotationRef/>
      </w:r>
      <w:r w:rsidR="0061551C">
        <w:t>Values in this table have also been updated</w:t>
      </w:r>
      <w:r w:rsidR="00634982">
        <w:t>. This one barely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EB87D2" w15:done="0"/>
  <w15:commentEx w15:paraId="2BEF6456" w15:done="0"/>
  <w15:commentEx w15:paraId="3BEE2FB7" w15:done="0"/>
  <w15:commentEx w15:paraId="4FEE94DB" w15:done="0"/>
  <w15:commentEx w15:paraId="24D745EA" w15:done="0"/>
  <w15:commentEx w15:paraId="13FB4584" w15:done="0"/>
  <w15:commentEx w15:paraId="26E56F8D" w15:done="0"/>
  <w15:commentEx w15:paraId="51F1F2D8" w15:done="0"/>
  <w15:commentEx w15:paraId="1845AF6D" w15:done="0"/>
  <w15:commentEx w15:paraId="16CBB241" w15:done="0"/>
  <w15:commentEx w15:paraId="5A112227" w15:done="0"/>
  <w15:commentEx w15:paraId="5330692C" w15:done="0"/>
  <w15:commentEx w15:paraId="58BF30C1" w15:done="0"/>
  <w15:commentEx w15:paraId="50E4B708" w15:done="0"/>
  <w15:commentEx w15:paraId="6128D29F" w15:done="0"/>
  <w15:commentEx w15:paraId="3EC64F15" w15:done="0"/>
  <w15:commentEx w15:paraId="066DBEC7" w15:done="0"/>
  <w15:commentEx w15:paraId="002EABAF" w15:done="0"/>
  <w15:commentEx w15:paraId="6BD15813" w15:done="0"/>
  <w15:commentEx w15:paraId="400BF5BE" w15:done="0"/>
  <w15:commentEx w15:paraId="28AC1857" w15:done="0"/>
  <w15:commentEx w15:paraId="53B50EF6" w15:done="0"/>
  <w15:commentEx w15:paraId="112E9ACA" w15:done="0"/>
  <w15:commentEx w15:paraId="04619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BADA8" w16cex:dateUtc="2021-07-28T15:19:00Z"/>
  <w16cex:commentExtensible w16cex:durableId="24AD009E" w16cex:dateUtc="2021-07-29T15:25:00Z"/>
  <w16cex:commentExtensible w16cex:durableId="24ABF1BC" w16cex:dateUtc="2021-07-28T20:09:00Z"/>
  <w16cex:commentExtensible w16cex:durableId="24AA7E0C" w16cex:dateUtc="2021-07-27T17:43:00Z"/>
  <w16cex:commentExtensible w16cex:durableId="24ABAFFA" w16cex:dateUtc="2021-07-28T15:29:00Z"/>
  <w16cex:commentExtensible w16cex:durableId="24AA5562" w16cex:dateUtc="2021-07-27T14:50:00Z"/>
  <w16cex:commentExtensible w16cex:durableId="24AA587C" w16cex:dateUtc="2021-07-27T15:03:00Z"/>
  <w16cex:commentExtensible w16cex:durableId="24AA565E" w16cex:dateUtc="2021-07-27T14:54:00Z"/>
  <w16cex:commentExtensible w16cex:durableId="24ABFA22" w16cex:dateUtc="2021-07-28T20:45:00Z"/>
  <w16cex:commentExtensible w16cex:durableId="24AA7557" w16cex:dateUtc="2021-07-27T17:06:00Z"/>
  <w16cex:commentExtensible w16cex:durableId="24AD7B6C" w16cex:dateUtc="2021-07-30T00:09:00Z"/>
  <w16cex:commentExtensible w16cex:durableId="24ABF676" w16cex:dateUtc="2021-07-28T20:29:00Z"/>
  <w16cex:commentExtensible w16cex:durableId="24AC33AB" w16cex:dateUtc="2021-07-29T00:51:00Z"/>
  <w16cex:commentExtensible w16cex:durableId="24ABAC91" w16cex:dateUtc="2021-07-28T15:14:00Z"/>
  <w16cex:commentExtensible w16cex:durableId="24AAA446" w16cex:dateUtc="2021-07-27T20:27:00Z"/>
  <w16cex:commentExtensible w16cex:durableId="24AC35AC" w16cex:dateUtc="2021-07-29T00:59:00Z"/>
  <w16cex:commentExtensible w16cex:durableId="24ABF4D8" w16cex:dateUtc="2021-07-28T20:23:00Z"/>
  <w16cex:commentExtensible w16cex:durableId="24AA7CDD" w16cex:dateUtc="2021-07-27T17:38:00Z"/>
  <w16cex:commentExtensible w16cex:durableId="24AD2D43" w16cex:dateUtc="2021-07-29T18:36:00Z"/>
  <w16cex:commentExtensible w16cex:durableId="24AD4A94" w16cex:dateUtc="2021-07-29T20:41:00Z"/>
  <w16cex:commentExtensible w16cex:durableId="24AD7ED2" w16cex:dateUtc="2021-07-30T00:24:00Z"/>
  <w16cex:commentExtensible w16cex:durableId="24AE40ED" w16cex:dateUtc="2021-07-30T14:12:00Z"/>
  <w16cex:commentExtensible w16cex:durableId="24AD4A63" w16cex:dateUtc="2021-07-29T20:40:00Z"/>
  <w16cex:commentExtensible w16cex:durableId="24AD4A7A" w16cex:dateUtc="2021-07-2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EB87D2" w16cid:durableId="24ABADA8"/>
  <w16cid:commentId w16cid:paraId="2BEF6456" w16cid:durableId="24AD009E"/>
  <w16cid:commentId w16cid:paraId="3BEE2FB7" w16cid:durableId="24ABF1BC"/>
  <w16cid:commentId w16cid:paraId="4FEE94DB" w16cid:durableId="24AA7E0C"/>
  <w16cid:commentId w16cid:paraId="24D745EA" w16cid:durableId="24ABAFFA"/>
  <w16cid:commentId w16cid:paraId="13FB4584" w16cid:durableId="24AA5562"/>
  <w16cid:commentId w16cid:paraId="26E56F8D" w16cid:durableId="24AA587C"/>
  <w16cid:commentId w16cid:paraId="51F1F2D8" w16cid:durableId="24AA565E"/>
  <w16cid:commentId w16cid:paraId="1845AF6D" w16cid:durableId="24ABFA22"/>
  <w16cid:commentId w16cid:paraId="16CBB241" w16cid:durableId="24AA7557"/>
  <w16cid:commentId w16cid:paraId="5A112227" w16cid:durableId="24AD7B6C"/>
  <w16cid:commentId w16cid:paraId="5330692C" w16cid:durableId="24ABF676"/>
  <w16cid:commentId w16cid:paraId="58BF30C1" w16cid:durableId="24AC33AB"/>
  <w16cid:commentId w16cid:paraId="50E4B708" w16cid:durableId="24ABAC91"/>
  <w16cid:commentId w16cid:paraId="6128D29F" w16cid:durableId="24AAA446"/>
  <w16cid:commentId w16cid:paraId="3EC64F15" w16cid:durableId="24AC35AC"/>
  <w16cid:commentId w16cid:paraId="066DBEC7" w16cid:durableId="24ABF4D8"/>
  <w16cid:commentId w16cid:paraId="002EABAF" w16cid:durableId="24AA7CDD"/>
  <w16cid:commentId w16cid:paraId="6BD15813" w16cid:durableId="24AD2D43"/>
  <w16cid:commentId w16cid:paraId="400BF5BE" w16cid:durableId="24AD4A94"/>
  <w16cid:commentId w16cid:paraId="28AC1857" w16cid:durableId="24AD7ED2"/>
  <w16cid:commentId w16cid:paraId="53B50EF6" w16cid:durableId="24AE40ED"/>
  <w16cid:commentId w16cid:paraId="112E9ACA" w16cid:durableId="24AD4A63"/>
  <w16cid:commentId w16cid:paraId="04619878" w16cid:durableId="24AD4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B641D" w14:textId="77777777" w:rsidR="000248F1" w:rsidRDefault="000248F1" w:rsidP="00D60570">
      <w:r>
        <w:separator/>
      </w:r>
    </w:p>
  </w:endnote>
  <w:endnote w:type="continuationSeparator" w:id="0">
    <w:p w14:paraId="2A28356E" w14:textId="77777777" w:rsidR="000248F1" w:rsidRDefault="000248F1"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363FA" w14:textId="77777777" w:rsidR="000248F1" w:rsidRDefault="000248F1" w:rsidP="00D60570">
      <w:r>
        <w:separator/>
      </w:r>
    </w:p>
  </w:footnote>
  <w:footnote w:type="continuationSeparator" w:id="0">
    <w:p w14:paraId="1149F0FE" w14:textId="77777777" w:rsidR="000248F1" w:rsidRDefault="000248F1"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E742FE" w:rsidRDefault="00E742F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E742FE" w:rsidRDefault="00E74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06CD4"/>
    <w:rsid w:val="00007304"/>
    <w:rsid w:val="000155A1"/>
    <w:rsid w:val="00017F62"/>
    <w:rsid w:val="0002461C"/>
    <w:rsid w:val="000248F1"/>
    <w:rsid w:val="00026D16"/>
    <w:rsid w:val="00026EC6"/>
    <w:rsid w:val="00027F52"/>
    <w:rsid w:val="00030982"/>
    <w:rsid w:val="00031D64"/>
    <w:rsid w:val="00034279"/>
    <w:rsid w:val="00035DB2"/>
    <w:rsid w:val="00037D42"/>
    <w:rsid w:val="00040324"/>
    <w:rsid w:val="000408DE"/>
    <w:rsid w:val="00040902"/>
    <w:rsid w:val="00043A57"/>
    <w:rsid w:val="00045361"/>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1B62"/>
    <w:rsid w:val="00082318"/>
    <w:rsid w:val="00084900"/>
    <w:rsid w:val="0009385F"/>
    <w:rsid w:val="000951B6"/>
    <w:rsid w:val="000A204C"/>
    <w:rsid w:val="000A37CF"/>
    <w:rsid w:val="000A4A81"/>
    <w:rsid w:val="000A6759"/>
    <w:rsid w:val="000A79C4"/>
    <w:rsid w:val="000B0F5C"/>
    <w:rsid w:val="000B4B81"/>
    <w:rsid w:val="000B673D"/>
    <w:rsid w:val="000C0DEA"/>
    <w:rsid w:val="000C1C13"/>
    <w:rsid w:val="000C70A7"/>
    <w:rsid w:val="000D0BF2"/>
    <w:rsid w:val="000D4E29"/>
    <w:rsid w:val="000E743A"/>
    <w:rsid w:val="000F0EF8"/>
    <w:rsid w:val="000F1B29"/>
    <w:rsid w:val="00100629"/>
    <w:rsid w:val="0010196D"/>
    <w:rsid w:val="001047EF"/>
    <w:rsid w:val="00107D18"/>
    <w:rsid w:val="00111C81"/>
    <w:rsid w:val="00114DA5"/>
    <w:rsid w:val="00114EA4"/>
    <w:rsid w:val="00115CD6"/>
    <w:rsid w:val="0012034F"/>
    <w:rsid w:val="00126CC5"/>
    <w:rsid w:val="00127E44"/>
    <w:rsid w:val="00130381"/>
    <w:rsid w:val="00132C0A"/>
    <w:rsid w:val="00133092"/>
    <w:rsid w:val="00142068"/>
    <w:rsid w:val="00145A81"/>
    <w:rsid w:val="001466EF"/>
    <w:rsid w:val="0015002E"/>
    <w:rsid w:val="001532B7"/>
    <w:rsid w:val="00161555"/>
    <w:rsid w:val="0016278D"/>
    <w:rsid w:val="001649A3"/>
    <w:rsid w:val="001709A6"/>
    <w:rsid w:val="001771BE"/>
    <w:rsid w:val="00185A98"/>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13C3"/>
    <w:rsid w:val="001E396F"/>
    <w:rsid w:val="001E729E"/>
    <w:rsid w:val="001F34B3"/>
    <w:rsid w:val="001F63FB"/>
    <w:rsid w:val="00200CE6"/>
    <w:rsid w:val="00201F58"/>
    <w:rsid w:val="00211C6C"/>
    <w:rsid w:val="0021279E"/>
    <w:rsid w:val="002168F8"/>
    <w:rsid w:val="0021743A"/>
    <w:rsid w:val="00223513"/>
    <w:rsid w:val="00225E7B"/>
    <w:rsid w:val="00232D81"/>
    <w:rsid w:val="002501BC"/>
    <w:rsid w:val="002612E4"/>
    <w:rsid w:val="0026435C"/>
    <w:rsid w:val="00266890"/>
    <w:rsid w:val="002705BC"/>
    <w:rsid w:val="00270626"/>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3861"/>
    <w:rsid w:val="002A70BE"/>
    <w:rsid w:val="002B0CB3"/>
    <w:rsid w:val="002B586B"/>
    <w:rsid w:val="002B7C7A"/>
    <w:rsid w:val="002C0B92"/>
    <w:rsid w:val="002C1880"/>
    <w:rsid w:val="002C2D32"/>
    <w:rsid w:val="002C39B5"/>
    <w:rsid w:val="002C5111"/>
    <w:rsid w:val="002C64D0"/>
    <w:rsid w:val="002C7C7B"/>
    <w:rsid w:val="002D3490"/>
    <w:rsid w:val="002D3D17"/>
    <w:rsid w:val="002D5467"/>
    <w:rsid w:val="002F22DE"/>
    <w:rsid w:val="002F3BBE"/>
    <w:rsid w:val="002F569A"/>
    <w:rsid w:val="002F7721"/>
    <w:rsid w:val="003027BB"/>
    <w:rsid w:val="00302F58"/>
    <w:rsid w:val="00304097"/>
    <w:rsid w:val="003064CC"/>
    <w:rsid w:val="00312019"/>
    <w:rsid w:val="003139B6"/>
    <w:rsid w:val="00316756"/>
    <w:rsid w:val="00316E52"/>
    <w:rsid w:val="0032210B"/>
    <w:rsid w:val="00325438"/>
    <w:rsid w:val="003260DD"/>
    <w:rsid w:val="0033073F"/>
    <w:rsid w:val="00330C6B"/>
    <w:rsid w:val="00331D72"/>
    <w:rsid w:val="00332975"/>
    <w:rsid w:val="00332E1F"/>
    <w:rsid w:val="0033425F"/>
    <w:rsid w:val="00335AD5"/>
    <w:rsid w:val="00341462"/>
    <w:rsid w:val="00342A29"/>
    <w:rsid w:val="00342B34"/>
    <w:rsid w:val="00343462"/>
    <w:rsid w:val="00345749"/>
    <w:rsid w:val="00347513"/>
    <w:rsid w:val="00347C26"/>
    <w:rsid w:val="00351046"/>
    <w:rsid w:val="003526FA"/>
    <w:rsid w:val="0035352E"/>
    <w:rsid w:val="00355547"/>
    <w:rsid w:val="00355C75"/>
    <w:rsid w:val="00360A09"/>
    <w:rsid w:val="0036427B"/>
    <w:rsid w:val="00366290"/>
    <w:rsid w:val="00366EDD"/>
    <w:rsid w:val="00372235"/>
    <w:rsid w:val="00377832"/>
    <w:rsid w:val="00382267"/>
    <w:rsid w:val="00385BE8"/>
    <w:rsid w:val="00392FFD"/>
    <w:rsid w:val="003949E1"/>
    <w:rsid w:val="00395E08"/>
    <w:rsid w:val="003A0927"/>
    <w:rsid w:val="003A1A49"/>
    <w:rsid w:val="003A3105"/>
    <w:rsid w:val="003B0BED"/>
    <w:rsid w:val="003B0C2D"/>
    <w:rsid w:val="003B0E7F"/>
    <w:rsid w:val="003B1D40"/>
    <w:rsid w:val="003B6CD3"/>
    <w:rsid w:val="003C53E1"/>
    <w:rsid w:val="003D76DB"/>
    <w:rsid w:val="003E4CE9"/>
    <w:rsid w:val="003E4DB0"/>
    <w:rsid w:val="003E60EA"/>
    <w:rsid w:val="003E6155"/>
    <w:rsid w:val="003E738B"/>
    <w:rsid w:val="003F0A75"/>
    <w:rsid w:val="003F0F63"/>
    <w:rsid w:val="003F146D"/>
    <w:rsid w:val="003F15AE"/>
    <w:rsid w:val="003F45A1"/>
    <w:rsid w:val="003F59D3"/>
    <w:rsid w:val="003F5AFA"/>
    <w:rsid w:val="00402342"/>
    <w:rsid w:val="00402F76"/>
    <w:rsid w:val="00406FA2"/>
    <w:rsid w:val="004131F3"/>
    <w:rsid w:val="0041653A"/>
    <w:rsid w:val="0042099C"/>
    <w:rsid w:val="00423BF0"/>
    <w:rsid w:val="00426A88"/>
    <w:rsid w:val="00426E9E"/>
    <w:rsid w:val="004306F2"/>
    <w:rsid w:val="00436F43"/>
    <w:rsid w:val="0044260F"/>
    <w:rsid w:val="004437DB"/>
    <w:rsid w:val="00451E9B"/>
    <w:rsid w:val="00453ED6"/>
    <w:rsid w:val="0045537F"/>
    <w:rsid w:val="00463F46"/>
    <w:rsid w:val="00470A2E"/>
    <w:rsid w:val="00473A8E"/>
    <w:rsid w:val="00474DDD"/>
    <w:rsid w:val="00476963"/>
    <w:rsid w:val="00480604"/>
    <w:rsid w:val="004825FE"/>
    <w:rsid w:val="00490BA5"/>
    <w:rsid w:val="0049571C"/>
    <w:rsid w:val="004A5AF6"/>
    <w:rsid w:val="004B3172"/>
    <w:rsid w:val="004B3FE0"/>
    <w:rsid w:val="004B4104"/>
    <w:rsid w:val="004B4B67"/>
    <w:rsid w:val="004C03AE"/>
    <w:rsid w:val="004C26F9"/>
    <w:rsid w:val="004C4057"/>
    <w:rsid w:val="004D37F7"/>
    <w:rsid w:val="004D383C"/>
    <w:rsid w:val="004D4384"/>
    <w:rsid w:val="004D6517"/>
    <w:rsid w:val="004E0E2E"/>
    <w:rsid w:val="004E0E44"/>
    <w:rsid w:val="004E1028"/>
    <w:rsid w:val="004E5A8F"/>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151"/>
    <w:rsid w:val="00535AA6"/>
    <w:rsid w:val="00535DB5"/>
    <w:rsid w:val="00536901"/>
    <w:rsid w:val="00544C42"/>
    <w:rsid w:val="00546B99"/>
    <w:rsid w:val="005604BA"/>
    <w:rsid w:val="005655DF"/>
    <w:rsid w:val="00565C4B"/>
    <w:rsid w:val="005674BE"/>
    <w:rsid w:val="00567A1E"/>
    <w:rsid w:val="00576B0D"/>
    <w:rsid w:val="00577FF8"/>
    <w:rsid w:val="005822DD"/>
    <w:rsid w:val="00584C5E"/>
    <w:rsid w:val="00594C7D"/>
    <w:rsid w:val="00595ABA"/>
    <w:rsid w:val="00597722"/>
    <w:rsid w:val="005A4EAB"/>
    <w:rsid w:val="005B1220"/>
    <w:rsid w:val="005B17EF"/>
    <w:rsid w:val="005B5E28"/>
    <w:rsid w:val="005B69A5"/>
    <w:rsid w:val="005B6AB8"/>
    <w:rsid w:val="005B7394"/>
    <w:rsid w:val="005C0F83"/>
    <w:rsid w:val="005C4AD3"/>
    <w:rsid w:val="005C785A"/>
    <w:rsid w:val="005D2BAA"/>
    <w:rsid w:val="005D716B"/>
    <w:rsid w:val="005E01CB"/>
    <w:rsid w:val="005E0261"/>
    <w:rsid w:val="005E389A"/>
    <w:rsid w:val="005E493E"/>
    <w:rsid w:val="005E740D"/>
    <w:rsid w:val="005F3EBE"/>
    <w:rsid w:val="005F7303"/>
    <w:rsid w:val="00601701"/>
    <w:rsid w:val="006040FF"/>
    <w:rsid w:val="0060429D"/>
    <w:rsid w:val="00611B4A"/>
    <w:rsid w:val="00612E7E"/>
    <w:rsid w:val="0061551C"/>
    <w:rsid w:val="00615552"/>
    <w:rsid w:val="00621135"/>
    <w:rsid w:val="0062139C"/>
    <w:rsid w:val="00621CF1"/>
    <w:rsid w:val="00626777"/>
    <w:rsid w:val="00634982"/>
    <w:rsid w:val="00645C63"/>
    <w:rsid w:val="00647564"/>
    <w:rsid w:val="00650106"/>
    <w:rsid w:val="00654492"/>
    <w:rsid w:val="00656195"/>
    <w:rsid w:val="00660416"/>
    <w:rsid w:val="006647D2"/>
    <w:rsid w:val="00667FCD"/>
    <w:rsid w:val="00672A16"/>
    <w:rsid w:val="006800C0"/>
    <w:rsid w:val="00680619"/>
    <w:rsid w:val="00692200"/>
    <w:rsid w:val="00692ADE"/>
    <w:rsid w:val="00696C01"/>
    <w:rsid w:val="006A3F6C"/>
    <w:rsid w:val="006A7273"/>
    <w:rsid w:val="006B045D"/>
    <w:rsid w:val="006B27C5"/>
    <w:rsid w:val="006B6CFA"/>
    <w:rsid w:val="006B76CD"/>
    <w:rsid w:val="006C4F9D"/>
    <w:rsid w:val="006C791D"/>
    <w:rsid w:val="006C7C11"/>
    <w:rsid w:val="006D186A"/>
    <w:rsid w:val="006D3598"/>
    <w:rsid w:val="006D5D99"/>
    <w:rsid w:val="006E0307"/>
    <w:rsid w:val="006E2287"/>
    <w:rsid w:val="006E26B6"/>
    <w:rsid w:val="006E5F3A"/>
    <w:rsid w:val="006F1CF0"/>
    <w:rsid w:val="006F3BAF"/>
    <w:rsid w:val="006F537B"/>
    <w:rsid w:val="006F6145"/>
    <w:rsid w:val="007005A9"/>
    <w:rsid w:val="007058F5"/>
    <w:rsid w:val="00706234"/>
    <w:rsid w:val="00706974"/>
    <w:rsid w:val="007139AD"/>
    <w:rsid w:val="007140AC"/>
    <w:rsid w:val="00716AD9"/>
    <w:rsid w:val="00716D6A"/>
    <w:rsid w:val="007201A4"/>
    <w:rsid w:val="00723A1B"/>
    <w:rsid w:val="00725219"/>
    <w:rsid w:val="007262B1"/>
    <w:rsid w:val="00726A1B"/>
    <w:rsid w:val="00726EDF"/>
    <w:rsid w:val="00731607"/>
    <w:rsid w:val="00732821"/>
    <w:rsid w:val="00737D72"/>
    <w:rsid w:val="007432B1"/>
    <w:rsid w:val="00745ACB"/>
    <w:rsid w:val="00746E94"/>
    <w:rsid w:val="00750198"/>
    <w:rsid w:val="00752FB0"/>
    <w:rsid w:val="007614E5"/>
    <w:rsid w:val="00764B0B"/>
    <w:rsid w:val="00764DB3"/>
    <w:rsid w:val="00767E46"/>
    <w:rsid w:val="00772243"/>
    <w:rsid w:val="00777079"/>
    <w:rsid w:val="00777601"/>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B4963"/>
    <w:rsid w:val="007C0B3D"/>
    <w:rsid w:val="007C119A"/>
    <w:rsid w:val="007C4F27"/>
    <w:rsid w:val="007D0D68"/>
    <w:rsid w:val="007D1331"/>
    <w:rsid w:val="007D21FB"/>
    <w:rsid w:val="007D6684"/>
    <w:rsid w:val="007E1156"/>
    <w:rsid w:val="007E21D8"/>
    <w:rsid w:val="007E3E80"/>
    <w:rsid w:val="007F1683"/>
    <w:rsid w:val="007F4288"/>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64464"/>
    <w:rsid w:val="00871BFB"/>
    <w:rsid w:val="00873E68"/>
    <w:rsid w:val="00874539"/>
    <w:rsid w:val="00875493"/>
    <w:rsid w:val="008836C1"/>
    <w:rsid w:val="00884064"/>
    <w:rsid w:val="00885668"/>
    <w:rsid w:val="0088780B"/>
    <w:rsid w:val="0089105C"/>
    <w:rsid w:val="00891315"/>
    <w:rsid w:val="008913F9"/>
    <w:rsid w:val="008919C2"/>
    <w:rsid w:val="0089401C"/>
    <w:rsid w:val="008A0F40"/>
    <w:rsid w:val="008A0FE7"/>
    <w:rsid w:val="008A282B"/>
    <w:rsid w:val="008A33BC"/>
    <w:rsid w:val="008A4166"/>
    <w:rsid w:val="008A706B"/>
    <w:rsid w:val="008B02D8"/>
    <w:rsid w:val="008B60A7"/>
    <w:rsid w:val="008C27CE"/>
    <w:rsid w:val="008C3658"/>
    <w:rsid w:val="008C4633"/>
    <w:rsid w:val="008D022E"/>
    <w:rsid w:val="008D0705"/>
    <w:rsid w:val="008D2ECE"/>
    <w:rsid w:val="008D7B93"/>
    <w:rsid w:val="008D7C10"/>
    <w:rsid w:val="008E218C"/>
    <w:rsid w:val="008E2484"/>
    <w:rsid w:val="008E4B31"/>
    <w:rsid w:val="008F0EBC"/>
    <w:rsid w:val="009016C8"/>
    <w:rsid w:val="009021B4"/>
    <w:rsid w:val="009024F5"/>
    <w:rsid w:val="009036EA"/>
    <w:rsid w:val="009040D1"/>
    <w:rsid w:val="00914F1A"/>
    <w:rsid w:val="00917066"/>
    <w:rsid w:val="009209E3"/>
    <w:rsid w:val="00924D57"/>
    <w:rsid w:val="009265E3"/>
    <w:rsid w:val="00933812"/>
    <w:rsid w:val="00942529"/>
    <w:rsid w:val="00942619"/>
    <w:rsid w:val="009431EF"/>
    <w:rsid w:val="009460B7"/>
    <w:rsid w:val="00950DF0"/>
    <w:rsid w:val="00953F5E"/>
    <w:rsid w:val="0095547B"/>
    <w:rsid w:val="00955D53"/>
    <w:rsid w:val="00956938"/>
    <w:rsid w:val="00956AAF"/>
    <w:rsid w:val="0096193F"/>
    <w:rsid w:val="00962D80"/>
    <w:rsid w:val="00964F69"/>
    <w:rsid w:val="0096500E"/>
    <w:rsid w:val="0096521D"/>
    <w:rsid w:val="00965D8C"/>
    <w:rsid w:val="0096646F"/>
    <w:rsid w:val="0096666C"/>
    <w:rsid w:val="00970B2A"/>
    <w:rsid w:val="00972110"/>
    <w:rsid w:val="00974B6F"/>
    <w:rsid w:val="00975946"/>
    <w:rsid w:val="00982982"/>
    <w:rsid w:val="00982D63"/>
    <w:rsid w:val="00983390"/>
    <w:rsid w:val="0099010B"/>
    <w:rsid w:val="009A0ADC"/>
    <w:rsid w:val="009A3399"/>
    <w:rsid w:val="009A5EAF"/>
    <w:rsid w:val="009A6608"/>
    <w:rsid w:val="009B58CA"/>
    <w:rsid w:val="009B70A4"/>
    <w:rsid w:val="009B7760"/>
    <w:rsid w:val="009C1BB9"/>
    <w:rsid w:val="009C3539"/>
    <w:rsid w:val="009C569A"/>
    <w:rsid w:val="009C5EB7"/>
    <w:rsid w:val="009D37B3"/>
    <w:rsid w:val="009D62A0"/>
    <w:rsid w:val="009D7F90"/>
    <w:rsid w:val="009E1293"/>
    <w:rsid w:val="009E3281"/>
    <w:rsid w:val="009E5874"/>
    <w:rsid w:val="009E597B"/>
    <w:rsid w:val="009F0B3E"/>
    <w:rsid w:val="009F255C"/>
    <w:rsid w:val="00A0079D"/>
    <w:rsid w:val="00A05382"/>
    <w:rsid w:val="00A07ACB"/>
    <w:rsid w:val="00A154A0"/>
    <w:rsid w:val="00A22E41"/>
    <w:rsid w:val="00A250CA"/>
    <w:rsid w:val="00A31138"/>
    <w:rsid w:val="00A405CA"/>
    <w:rsid w:val="00A424DC"/>
    <w:rsid w:val="00A42ADD"/>
    <w:rsid w:val="00A44D21"/>
    <w:rsid w:val="00A52751"/>
    <w:rsid w:val="00A52785"/>
    <w:rsid w:val="00A54991"/>
    <w:rsid w:val="00A562D5"/>
    <w:rsid w:val="00A57BCE"/>
    <w:rsid w:val="00A629DF"/>
    <w:rsid w:val="00A64579"/>
    <w:rsid w:val="00A656A5"/>
    <w:rsid w:val="00A74214"/>
    <w:rsid w:val="00A80CE4"/>
    <w:rsid w:val="00A81486"/>
    <w:rsid w:val="00A832FB"/>
    <w:rsid w:val="00A85CB5"/>
    <w:rsid w:val="00A87C81"/>
    <w:rsid w:val="00A92667"/>
    <w:rsid w:val="00A97BF0"/>
    <w:rsid w:val="00AA1F78"/>
    <w:rsid w:val="00AA366A"/>
    <w:rsid w:val="00AA3E30"/>
    <w:rsid w:val="00AA5ECB"/>
    <w:rsid w:val="00AA72B4"/>
    <w:rsid w:val="00AA7F14"/>
    <w:rsid w:val="00AB58AB"/>
    <w:rsid w:val="00AB6B3F"/>
    <w:rsid w:val="00AC00C9"/>
    <w:rsid w:val="00AC13A6"/>
    <w:rsid w:val="00AC3017"/>
    <w:rsid w:val="00AC3720"/>
    <w:rsid w:val="00AC690F"/>
    <w:rsid w:val="00AD0990"/>
    <w:rsid w:val="00AD386D"/>
    <w:rsid w:val="00AD4AA1"/>
    <w:rsid w:val="00AD5031"/>
    <w:rsid w:val="00AD53BB"/>
    <w:rsid w:val="00AD5D1E"/>
    <w:rsid w:val="00AE045A"/>
    <w:rsid w:val="00AE1149"/>
    <w:rsid w:val="00AF092C"/>
    <w:rsid w:val="00AF0C01"/>
    <w:rsid w:val="00AF0C86"/>
    <w:rsid w:val="00AF52DC"/>
    <w:rsid w:val="00B006B6"/>
    <w:rsid w:val="00B031DE"/>
    <w:rsid w:val="00B0409D"/>
    <w:rsid w:val="00B05522"/>
    <w:rsid w:val="00B05B86"/>
    <w:rsid w:val="00B075B9"/>
    <w:rsid w:val="00B07947"/>
    <w:rsid w:val="00B1060F"/>
    <w:rsid w:val="00B13D77"/>
    <w:rsid w:val="00B1506E"/>
    <w:rsid w:val="00B156A4"/>
    <w:rsid w:val="00B17608"/>
    <w:rsid w:val="00B26CAC"/>
    <w:rsid w:val="00B3126E"/>
    <w:rsid w:val="00B33504"/>
    <w:rsid w:val="00B42B80"/>
    <w:rsid w:val="00B4330F"/>
    <w:rsid w:val="00B44E39"/>
    <w:rsid w:val="00B45FF3"/>
    <w:rsid w:val="00B55935"/>
    <w:rsid w:val="00B55EDE"/>
    <w:rsid w:val="00B625E8"/>
    <w:rsid w:val="00B62850"/>
    <w:rsid w:val="00B70E13"/>
    <w:rsid w:val="00B724DB"/>
    <w:rsid w:val="00B73BC6"/>
    <w:rsid w:val="00B752E9"/>
    <w:rsid w:val="00B80576"/>
    <w:rsid w:val="00B816FD"/>
    <w:rsid w:val="00B837B4"/>
    <w:rsid w:val="00B842E4"/>
    <w:rsid w:val="00B84F7B"/>
    <w:rsid w:val="00B86958"/>
    <w:rsid w:val="00B905DD"/>
    <w:rsid w:val="00B91F6B"/>
    <w:rsid w:val="00B9351E"/>
    <w:rsid w:val="00B94739"/>
    <w:rsid w:val="00BA03DF"/>
    <w:rsid w:val="00BA2B40"/>
    <w:rsid w:val="00BB1040"/>
    <w:rsid w:val="00BB5EEA"/>
    <w:rsid w:val="00BB6B95"/>
    <w:rsid w:val="00BC5BB9"/>
    <w:rsid w:val="00BC69B7"/>
    <w:rsid w:val="00BD19DA"/>
    <w:rsid w:val="00BD2242"/>
    <w:rsid w:val="00BD23E8"/>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2F37"/>
    <w:rsid w:val="00C53E4B"/>
    <w:rsid w:val="00C544C4"/>
    <w:rsid w:val="00C55FA9"/>
    <w:rsid w:val="00C57E69"/>
    <w:rsid w:val="00C613E7"/>
    <w:rsid w:val="00C61D4A"/>
    <w:rsid w:val="00C626DB"/>
    <w:rsid w:val="00C6470C"/>
    <w:rsid w:val="00C67941"/>
    <w:rsid w:val="00C67D7C"/>
    <w:rsid w:val="00C67EE6"/>
    <w:rsid w:val="00C7250B"/>
    <w:rsid w:val="00C72F44"/>
    <w:rsid w:val="00C738F1"/>
    <w:rsid w:val="00C741B9"/>
    <w:rsid w:val="00C742BD"/>
    <w:rsid w:val="00C768CD"/>
    <w:rsid w:val="00C7704B"/>
    <w:rsid w:val="00C80A7C"/>
    <w:rsid w:val="00C85819"/>
    <w:rsid w:val="00C941A7"/>
    <w:rsid w:val="00C96E1B"/>
    <w:rsid w:val="00CA0CAC"/>
    <w:rsid w:val="00CA5C9F"/>
    <w:rsid w:val="00CA753F"/>
    <w:rsid w:val="00CB0B70"/>
    <w:rsid w:val="00CB48CD"/>
    <w:rsid w:val="00CB6302"/>
    <w:rsid w:val="00CC0EB4"/>
    <w:rsid w:val="00CC124C"/>
    <w:rsid w:val="00CC386C"/>
    <w:rsid w:val="00CC5212"/>
    <w:rsid w:val="00CD1625"/>
    <w:rsid w:val="00CD57BE"/>
    <w:rsid w:val="00CD5871"/>
    <w:rsid w:val="00CD5D48"/>
    <w:rsid w:val="00CE1D23"/>
    <w:rsid w:val="00CE47FB"/>
    <w:rsid w:val="00CF4E56"/>
    <w:rsid w:val="00CF611F"/>
    <w:rsid w:val="00CF6F45"/>
    <w:rsid w:val="00CF7215"/>
    <w:rsid w:val="00CF78EE"/>
    <w:rsid w:val="00D053FB"/>
    <w:rsid w:val="00D054ED"/>
    <w:rsid w:val="00D108FC"/>
    <w:rsid w:val="00D11CDA"/>
    <w:rsid w:val="00D14324"/>
    <w:rsid w:val="00D155DC"/>
    <w:rsid w:val="00D20235"/>
    <w:rsid w:val="00D213F0"/>
    <w:rsid w:val="00D3386A"/>
    <w:rsid w:val="00D33C3F"/>
    <w:rsid w:val="00D34CD3"/>
    <w:rsid w:val="00D34F3D"/>
    <w:rsid w:val="00D36EF4"/>
    <w:rsid w:val="00D4315A"/>
    <w:rsid w:val="00D47047"/>
    <w:rsid w:val="00D54C68"/>
    <w:rsid w:val="00D555CF"/>
    <w:rsid w:val="00D555E0"/>
    <w:rsid w:val="00D55B48"/>
    <w:rsid w:val="00D57C0E"/>
    <w:rsid w:val="00D60570"/>
    <w:rsid w:val="00D6295E"/>
    <w:rsid w:val="00D63A52"/>
    <w:rsid w:val="00D63E8B"/>
    <w:rsid w:val="00D64EF6"/>
    <w:rsid w:val="00D728F7"/>
    <w:rsid w:val="00D7530E"/>
    <w:rsid w:val="00D81F66"/>
    <w:rsid w:val="00D90240"/>
    <w:rsid w:val="00D90264"/>
    <w:rsid w:val="00D97D05"/>
    <w:rsid w:val="00DA0D3C"/>
    <w:rsid w:val="00DA658F"/>
    <w:rsid w:val="00DB2BB0"/>
    <w:rsid w:val="00DB2D9D"/>
    <w:rsid w:val="00DB3A66"/>
    <w:rsid w:val="00DB40C1"/>
    <w:rsid w:val="00DB436B"/>
    <w:rsid w:val="00DB77BC"/>
    <w:rsid w:val="00DC0C13"/>
    <w:rsid w:val="00DC5BAB"/>
    <w:rsid w:val="00DC7472"/>
    <w:rsid w:val="00DD1BB4"/>
    <w:rsid w:val="00DD6138"/>
    <w:rsid w:val="00DD6649"/>
    <w:rsid w:val="00DE2CFA"/>
    <w:rsid w:val="00DE6DE5"/>
    <w:rsid w:val="00DE7458"/>
    <w:rsid w:val="00DE7ED9"/>
    <w:rsid w:val="00DF1D9A"/>
    <w:rsid w:val="00DF3AB0"/>
    <w:rsid w:val="00E00C1A"/>
    <w:rsid w:val="00E01F98"/>
    <w:rsid w:val="00E06CD7"/>
    <w:rsid w:val="00E137D5"/>
    <w:rsid w:val="00E13815"/>
    <w:rsid w:val="00E15BC3"/>
    <w:rsid w:val="00E16A68"/>
    <w:rsid w:val="00E20F3E"/>
    <w:rsid w:val="00E335D5"/>
    <w:rsid w:val="00E3366D"/>
    <w:rsid w:val="00E34B0A"/>
    <w:rsid w:val="00E36400"/>
    <w:rsid w:val="00E373B2"/>
    <w:rsid w:val="00E42487"/>
    <w:rsid w:val="00E427EB"/>
    <w:rsid w:val="00E441D3"/>
    <w:rsid w:val="00E46BF7"/>
    <w:rsid w:val="00E513E3"/>
    <w:rsid w:val="00E53591"/>
    <w:rsid w:val="00E540FF"/>
    <w:rsid w:val="00E57E8C"/>
    <w:rsid w:val="00E60947"/>
    <w:rsid w:val="00E60B48"/>
    <w:rsid w:val="00E615A6"/>
    <w:rsid w:val="00E67D68"/>
    <w:rsid w:val="00E7062B"/>
    <w:rsid w:val="00E71D7A"/>
    <w:rsid w:val="00E742FE"/>
    <w:rsid w:val="00E751D3"/>
    <w:rsid w:val="00E75AFC"/>
    <w:rsid w:val="00E761AE"/>
    <w:rsid w:val="00E76E9D"/>
    <w:rsid w:val="00E779AC"/>
    <w:rsid w:val="00E81276"/>
    <w:rsid w:val="00E826CB"/>
    <w:rsid w:val="00E843E1"/>
    <w:rsid w:val="00E8503C"/>
    <w:rsid w:val="00E93B3D"/>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0A4F"/>
    <w:rsid w:val="00EF110D"/>
    <w:rsid w:val="00EF1761"/>
    <w:rsid w:val="00EF2713"/>
    <w:rsid w:val="00EF43C5"/>
    <w:rsid w:val="00EF57A5"/>
    <w:rsid w:val="00EF6E24"/>
    <w:rsid w:val="00F04012"/>
    <w:rsid w:val="00F10B10"/>
    <w:rsid w:val="00F14672"/>
    <w:rsid w:val="00F15D14"/>
    <w:rsid w:val="00F16F3E"/>
    <w:rsid w:val="00F17746"/>
    <w:rsid w:val="00F1781B"/>
    <w:rsid w:val="00F20D2E"/>
    <w:rsid w:val="00F21B93"/>
    <w:rsid w:val="00F2265B"/>
    <w:rsid w:val="00F300BE"/>
    <w:rsid w:val="00F33B0C"/>
    <w:rsid w:val="00F33BDF"/>
    <w:rsid w:val="00F350F3"/>
    <w:rsid w:val="00F43074"/>
    <w:rsid w:val="00F4508F"/>
    <w:rsid w:val="00F463BF"/>
    <w:rsid w:val="00F504C3"/>
    <w:rsid w:val="00F5072B"/>
    <w:rsid w:val="00F51AA5"/>
    <w:rsid w:val="00F51AF2"/>
    <w:rsid w:val="00F531A5"/>
    <w:rsid w:val="00F6139F"/>
    <w:rsid w:val="00F61AB3"/>
    <w:rsid w:val="00F628E8"/>
    <w:rsid w:val="00F67B9D"/>
    <w:rsid w:val="00F700E6"/>
    <w:rsid w:val="00F750FE"/>
    <w:rsid w:val="00F920D8"/>
    <w:rsid w:val="00F92EE3"/>
    <w:rsid w:val="00F93945"/>
    <w:rsid w:val="00F94C2D"/>
    <w:rsid w:val="00F94EA8"/>
    <w:rsid w:val="00F95C76"/>
    <w:rsid w:val="00F96001"/>
    <w:rsid w:val="00FA25AD"/>
    <w:rsid w:val="00FA3305"/>
    <w:rsid w:val="00FA4077"/>
    <w:rsid w:val="00FA42C7"/>
    <w:rsid w:val="00FA68A3"/>
    <w:rsid w:val="00FA70A1"/>
    <w:rsid w:val="00FA7C55"/>
    <w:rsid w:val="00FB0167"/>
    <w:rsid w:val="00FB0CBB"/>
    <w:rsid w:val="00FB23E7"/>
    <w:rsid w:val="00FB25EF"/>
    <w:rsid w:val="00FB339C"/>
    <w:rsid w:val="00FB3B9F"/>
    <w:rsid w:val="00FB4006"/>
    <w:rsid w:val="00FB4943"/>
    <w:rsid w:val="00FB5D93"/>
    <w:rsid w:val="00FB6AB1"/>
    <w:rsid w:val="00FC20DE"/>
    <w:rsid w:val="00FC2263"/>
    <w:rsid w:val="00FC3EF9"/>
    <w:rsid w:val="00FC44CF"/>
    <w:rsid w:val="00FC48A7"/>
    <w:rsid w:val="00FD02B5"/>
    <w:rsid w:val="00FD133B"/>
    <w:rsid w:val="00FD1380"/>
    <w:rsid w:val="00FD1405"/>
    <w:rsid w:val="00FD1E72"/>
    <w:rsid w:val="00FD526F"/>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 w:type="character" w:customStyle="1" w:styleId="authors">
    <w:name w:val="authors"/>
    <w:basedOn w:val="DefaultParagraphFont"/>
    <w:rsid w:val="00FD526F"/>
  </w:style>
  <w:style w:type="character" w:customStyle="1" w:styleId="date">
    <w:name w:val="date"/>
    <w:basedOn w:val="DefaultParagraphFont"/>
    <w:rsid w:val="00FD526F"/>
  </w:style>
  <w:style w:type="character" w:customStyle="1" w:styleId="arttitle">
    <w:name w:val="art_title"/>
    <w:basedOn w:val="DefaultParagraphFont"/>
    <w:rsid w:val="00FD526F"/>
  </w:style>
  <w:style w:type="character" w:customStyle="1" w:styleId="serialtitle">
    <w:name w:val="serial_title"/>
    <w:basedOn w:val="DefaultParagraphFont"/>
    <w:rsid w:val="00FD526F"/>
  </w:style>
  <w:style w:type="character" w:customStyle="1" w:styleId="volumeissue">
    <w:name w:val="volume_issue"/>
    <w:basedOn w:val="DefaultParagraphFont"/>
    <w:rsid w:val="00FD526F"/>
  </w:style>
  <w:style w:type="character" w:customStyle="1" w:styleId="pagerange">
    <w:name w:val="page_range"/>
    <w:basedOn w:val="DefaultParagraphFont"/>
    <w:rsid w:val="00FD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52</Pages>
  <Words>11815</Words>
  <Characters>67346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cp:lastPrinted>2021-04-08T16:38:00Z</cp:lastPrinted>
  <dcterms:created xsi:type="dcterms:W3CDTF">2021-07-30T14:34:00Z</dcterms:created>
  <dcterms:modified xsi:type="dcterms:W3CDTF">2021-07-30T14:36:00Z</dcterms:modified>
</cp:coreProperties>
</file>