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6A062E06"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1A308AC8" w14:textId="77777777" w:rsidR="00A52751" w:rsidRDefault="001047EF" w:rsidP="001047EF">
      <w:pPr>
        <w:spacing w:line="480" w:lineRule="auto"/>
        <w:jc w:val="center"/>
      </w:pPr>
      <w:r w:rsidRPr="00F2265B">
        <w:t xml:space="preserve">Perceptually </w:t>
      </w:r>
      <w:r w:rsidR="0089105C">
        <w:t>Fluent</w:t>
      </w:r>
      <w:r w:rsidR="0089105C" w:rsidRPr="00F2265B">
        <w:t xml:space="preserve"> </w:t>
      </w:r>
      <w:r w:rsidRPr="00F2265B">
        <w:t xml:space="preserve">Features of Study Words Do Not Inflate Judgements of Learning: </w:t>
      </w:r>
    </w:p>
    <w:p w14:paraId="5BBFCF0E" w14:textId="33A348E7" w:rsidR="001047EF" w:rsidRDefault="001047EF" w:rsidP="001047EF">
      <w:pPr>
        <w:spacing w:line="480" w:lineRule="auto"/>
        <w:jc w:val="center"/>
      </w:pPr>
      <w:r w:rsidRPr="00F2265B">
        <w:t>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7F5E319C" w:rsidR="001047EF" w:rsidRDefault="00DB2BB0" w:rsidP="00DB2BB0">
      <w:pPr>
        <w:spacing w:line="480" w:lineRule="auto"/>
      </w:pPr>
      <w:r>
        <w:t xml:space="preserve">Word count: </w:t>
      </w:r>
      <w:r w:rsidR="00C61D4A">
        <w:t>85</w:t>
      </w:r>
      <w:r w:rsidR="00A52751">
        <w:t>37</w:t>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6217FB4B" w:rsidR="0089105C" w:rsidRDefault="0089105C" w:rsidP="00D60570">
      <w:pPr>
        <w:pStyle w:val="NormalWeb"/>
        <w:spacing w:before="0" w:beforeAutospacing="0" w:after="0" w:afterAutospacing="0" w:line="480" w:lineRule="auto"/>
      </w:pPr>
      <w:r>
        <w:t>T</w:t>
      </w:r>
      <w:r w:rsidR="00EA3BA5">
        <w:t>he judgment of learning</w:t>
      </w:r>
      <w:r w:rsidR="00DB2BB0">
        <w:t xml:space="preserve"> (JOL)</w:t>
      </w:r>
      <w:r w:rsidR="00EA3BA5">
        <w:t xml:space="preserve"> task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font designed to improve memory—would result in inflated JOLs</w:t>
      </w:r>
      <w:r w:rsidR="00DB2BB0">
        <w:t xml:space="preserve"> and/or recall</w:t>
      </w:r>
      <w:r w:rsidR="00EA3BA5">
        <w:t xml:space="preserve">. Across experiments, </w:t>
      </w:r>
      <w:r>
        <w:t>pairs designed to be perceptually fluent</w:t>
      </w:r>
      <w:r w:rsidR="00EA3BA5">
        <w:t xml:space="preserve"> did not result in an overestimation of later recall relative to non-</w:t>
      </w:r>
      <w:r w:rsidR="00C626DB">
        <w:t xml:space="preserve">fluent </w:t>
      </w:r>
      <w:r w:rsidR="00DB2BB0">
        <w:t>pairs</w:t>
      </w:r>
      <w:r w:rsidR="00EA3BA5">
        <w:t xml:space="preserve">, and Sans Forgetica font in Experiment 3 yielded a memory cost (though no effect on JOLs). Collectively, perceptually </w:t>
      </w:r>
      <w:proofErr w:type="gramStart"/>
      <w:r>
        <w:t>fluent</w:t>
      </w:r>
      <w:proofErr w:type="gramEnd"/>
      <w:r>
        <w:t xml:space="preserve">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07266B98" w:rsidR="00D60570" w:rsidRDefault="00D60570" w:rsidP="00D60570">
      <w:pPr>
        <w:pStyle w:val="NormalWeb"/>
        <w:spacing w:before="0" w:beforeAutospacing="0" w:after="0" w:afterAutospacing="0" w:line="480" w:lineRule="auto"/>
      </w:pPr>
      <w:r>
        <w:t xml:space="preserve">Word Count: </w:t>
      </w:r>
      <w:r w:rsidR="00DB2BB0">
        <w:t>240</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35E52AAF" w14:textId="77777777" w:rsidR="00A52751"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 xml:space="preserve">Features of Study Words Do Not Inflate Judgements of Learning: </w:t>
      </w:r>
    </w:p>
    <w:p w14:paraId="2F5BAA8E" w14:textId="0D274094" w:rsidR="00F2265B" w:rsidRPr="00F2265B" w:rsidRDefault="00F2265B" w:rsidP="00B73BC6">
      <w:pPr>
        <w:spacing w:line="480" w:lineRule="auto"/>
        <w:jc w:val="center"/>
      </w:pPr>
      <w:r w:rsidRPr="00F2265B">
        <w:t>Evidence from Font Size, Highlights, and Sans Forgetica Font Type</w:t>
      </w:r>
    </w:p>
    <w:p w14:paraId="32C1E0A3" w14:textId="0C4F7C52"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 xml:space="preserve">Nelson &amp; </w:t>
      </w:r>
      <w:proofErr w:type="spellStart"/>
      <w:r w:rsidRPr="009265E3">
        <w:t>Narens</w:t>
      </w:r>
      <w:proofErr w:type="spellEnd"/>
      <w:r w:rsidRPr="009265E3">
        <w:t>,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xml:space="preserve">; </w:t>
      </w:r>
      <w:proofErr w:type="spellStart"/>
      <w:r w:rsidRPr="00111C81">
        <w:t>Hanczakowski</w:t>
      </w:r>
      <w:proofErr w:type="spellEnd"/>
      <w:r w:rsidRPr="00111C81">
        <w:t xml:space="preserve">, </w:t>
      </w:r>
      <w:proofErr w:type="spellStart"/>
      <w:r w:rsidRPr="00111C81">
        <w:t>Zawadzka</w:t>
      </w:r>
      <w:proofErr w:type="spellEnd"/>
      <w:r w:rsidRPr="00111C81">
        <w:t xml:space="preserve">, </w:t>
      </w:r>
      <w:proofErr w:type="spellStart"/>
      <w:r w:rsidRPr="00111C81">
        <w:t>Pasek</w:t>
      </w:r>
      <w:proofErr w:type="spellEnd"/>
      <w:r w:rsidRPr="00111C81">
        <w:t xml:space="preserve">, &amp; </w:t>
      </w:r>
      <w:proofErr w:type="spellStart"/>
      <w:r w:rsidRPr="00111C81">
        <w:t>Higham</w:t>
      </w:r>
      <w:proofErr w:type="spellEnd"/>
      <w:r w:rsidRPr="00111C81">
        <w:t>,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04E9D02C"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 xml:space="preserve">Nelson &amp; </w:t>
      </w:r>
      <w:proofErr w:type="spellStart"/>
      <w:r w:rsidR="005B17EF" w:rsidRPr="00F531A5">
        <w:t>Dunlosky</w:t>
      </w:r>
      <w:proofErr w:type="spellEnd"/>
      <w:r w:rsidR="005B17EF" w:rsidRPr="00F531A5">
        <w:t>,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w:t>
      </w:r>
      <w:proofErr w:type="spellStart"/>
      <w:r w:rsidR="00031D64" w:rsidRPr="00C768CD">
        <w:t>Koriat</w:t>
      </w:r>
      <w:proofErr w:type="spellEnd"/>
      <w:r w:rsidR="00031D64" w:rsidRPr="00C768CD">
        <w:t xml:space="preserve"> &amp; Bjork, 2005). </w:t>
      </w:r>
      <w:r w:rsidR="000A37CF" w:rsidRPr="00C768CD">
        <w:t>Specifically</w:t>
      </w:r>
      <w:r w:rsidR="000A37CF" w:rsidRPr="00AA5ECB">
        <w:t>, f</w:t>
      </w:r>
      <w:r w:rsidR="0060429D" w:rsidRPr="00AA5ECB">
        <w:t xml:space="preserve">orward </w:t>
      </w:r>
      <w:r w:rsidR="0029360E" w:rsidRPr="00AA5ECB">
        <w:lastRenderedPageBreak/>
        <w:t>associates</w:t>
      </w:r>
      <w:r w:rsidR="00DB2BB0">
        <w:t>,</w:t>
      </w:r>
      <w:r w:rsidR="0029360E" w:rsidRPr="00AA5ECB">
        <w:t xml:space="preserve"> in which the 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w:t>
      </w:r>
      <w:proofErr w:type="spellStart"/>
      <w:r w:rsidR="0060429D" w:rsidRPr="00AA5ECB">
        <w:t>Koriat</w:t>
      </w:r>
      <w:proofErr w:type="spellEnd"/>
      <w:r w:rsidR="0060429D" w:rsidRPr="00AA5ECB">
        <w:t xml:space="preserve">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r w:rsidR="00DB2BB0">
        <w:t>particularly</w:t>
      </w:r>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6A263E23"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r w:rsidR="00DB2BB0">
        <w:t>s</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proofErr w:type="spellStart"/>
      <w:r>
        <w:t>Reber</w:t>
      </w:r>
      <w:proofErr w:type="spellEnd"/>
      <w:r>
        <w:t xml:space="preserve">, </w:t>
      </w:r>
      <w:proofErr w:type="spellStart"/>
      <w:r>
        <w:t>Winkileman</w:t>
      </w:r>
      <w:proofErr w:type="spellEnd"/>
      <w:r>
        <w:t xml:space="preserve">, and Schwarz, 1998), </w:t>
      </w:r>
      <w:r w:rsidR="00B07947">
        <w:t xml:space="preserve">veridicality </w:t>
      </w:r>
      <w:r w:rsidR="00DE2CFA">
        <w:t xml:space="preserve">judgments </w:t>
      </w:r>
      <w:r w:rsidR="00B07947">
        <w:t>(e.g</w:t>
      </w:r>
      <w:r w:rsidR="00DE2CFA">
        <w:t>.</w:t>
      </w:r>
      <w:r w:rsidR="00B07947">
        <w:t xml:space="preserve">, truthfulness of statements; </w:t>
      </w:r>
      <w:proofErr w:type="spellStart"/>
      <w:r w:rsidR="00B07947">
        <w:t>Reber</w:t>
      </w:r>
      <w:proofErr w:type="spellEnd"/>
      <w:r w:rsidR="00B07947">
        <w:t xml:space="preserve">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proofErr w:type="spellStart"/>
      <w:r w:rsidR="00CE47FB" w:rsidRPr="00480604">
        <w:t>Reber</w:t>
      </w:r>
      <w:proofErr w:type="spellEnd"/>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r w:rsidR="00DB2BB0">
        <w:t>versus</w:t>
      </w:r>
      <w:r w:rsidR="00CE47FB" w:rsidRPr="00AA5ECB">
        <w:t xml:space="preserve"> disfluent items. </w:t>
      </w:r>
      <w:r w:rsidR="00C6470C">
        <w:t>Additionally</w:t>
      </w:r>
      <w:r w:rsidR="00CE47FB" w:rsidRPr="00AA5ECB">
        <w:t xml:space="preserve">, </w:t>
      </w:r>
      <w:proofErr w:type="spellStart"/>
      <w:r w:rsidR="00E335D5" w:rsidRPr="007262B1">
        <w:t>Reber</w:t>
      </w:r>
      <w:proofErr w:type="spellEnd"/>
      <w:r w:rsidR="00E335D5" w:rsidRPr="007262B1">
        <w:t xml:space="preserve">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w:t>
      </w:r>
    </w:p>
    <w:p w14:paraId="1CBDCABC" w14:textId="53285808"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385BE8">
        <w:t>.</w:t>
      </w:r>
      <w:r w:rsidR="00B70E13">
        <w:t xml:space="preserve"> </w:t>
      </w:r>
      <w:r w:rsidR="00385BE8">
        <w:t>H</w:t>
      </w:r>
      <w:r w:rsidR="00B70E13">
        <w:t>owever, this increase in JOLs did not translate to recall</w:t>
      </w:r>
      <w:r w:rsidR="00C80A7C">
        <w:t>,</w:t>
      </w:r>
      <w:r w:rsidR="00B70E13">
        <w:t xml:space="preserve"> </w:t>
      </w:r>
      <w:r w:rsidR="00C80A7C">
        <w:t>as</w:t>
      </w:r>
      <w:r w:rsidR="00B70E13">
        <w:t xml:space="preserve"> both font types were </w:t>
      </w:r>
      <w:r w:rsidR="00385BE8">
        <w:t xml:space="preserve">recalled at </w:t>
      </w:r>
      <w:r w:rsidR="00B70E13">
        <w:t>equivalent</w:t>
      </w:r>
      <w:r w:rsidR="00385BE8">
        <w:t xml:space="preserve"> rates</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r w:rsidR="00DB2BB0" w:rsidRPr="00AA5ECB">
        <w:t>large</w:t>
      </w:r>
      <w:r w:rsidR="00DB2BB0">
        <w:t>-</w:t>
      </w:r>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w:t>
      </w:r>
      <w:proofErr w:type="spellStart"/>
      <w:r w:rsidR="0019751B">
        <w:t>HoUsE</w:t>
      </w:r>
      <w:proofErr w:type="spellEnd"/>
      <w:r w:rsidR="0019751B">
        <w:t>)</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p>
    <w:p w14:paraId="182F2EF9" w14:textId="6A1F1CC2"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w:t>
      </w:r>
      <w:proofErr w:type="spellStart"/>
      <w:r w:rsidR="004C4057" w:rsidRPr="007262B1">
        <w:t>Su</w:t>
      </w:r>
      <w:proofErr w:type="spellEnd"/>
      <w:r w:rsidR="004C4057" w:rsidRPr="007262B1">
        <w:t xml:space="preserve">,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w:t>
      </w:r>
      <w:r w:rsidR="004C4057">
        <w:lastRenderedPageBreak/>
        <w:t>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r w:rsidR="00DB2BB0">
        <w:t>-</w:t>
      </w:r>
      <w:r w:rsidR="00287912">
        <w:t xml:space="preserve"> than </w:t>
      </w:r>
      <w:r w:rsidR="00DB2BB0">
        <w:t>small-</w:t>
      </w:r>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469F2427"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proofErr w:type="spellStart"/>
      <w:r w:rsidR="001A36E9" w:rsidRPr="007262B1">
        <w:t>Undorf</w:t>
      </w:r>
      <w:proofErr w:type="spellEnd"/>
      <w:r w:rsidR="001A36E9" w:rsidRPr="007262B1">
        <w:t xml:space="preserve">, </w:t>
      </w:r>
      <w:proofErr w:type="spellStart"/>
      <w:r w:rsidR="001A36E9" w:rsidRPr="007262B1">
        <w:t>Zimdahl</w:t>
      </w:r>
      <w:proofErr w:type="spellEnd"/>
      <w:r w:rsidR="001A36E9" w:rsidRPr="007262B1">
        <w:t>,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w:t>
      </w:r>
      <w:r w:rsidR="00D47047">
        <w:lastRenderedPageBreak/>
        <w:t xml:space="preserve">gradually decreased over time such that </w:t>
      </w:r>
      <w:r w:rsidR="00C14223">
        <w:t xml:space="preserve">the word </w:t>
      </w:r>
      <w:r w:rsidR="00692ADE">
        <w:t xml:space="preserve">was made </w:t>
      </w:r>
      <w:r w:rsidR="00D47047">
        <w:t xml:space="preserve">visible on the screen for longer durations </w:t>
      </w:r>
      <w:r w:rsidR="00DB2D9D">
        <w:t xml:space="preserve">(e.g., 20 </w:t>
      </w:r>
      <w:proofErr w:type="spellStart"/>
      <w:r w:rsidR="00DB2D9D">
        <w:t>ms</w:t>
      </w:r>
      <w:proofErr w:type="spellEnd"/>
      <w:r w:rsidR="00DB2D9D">
        <w:t xml:space="preserve"> in the first cycle</w:t>
      </w:r>
      <w:r w:rsidR="00645C63">
        <w:t xml:space="preserve">, </w:t>
      </w:r>
      <w:r w:rsidR="00DB2D9D">
        <w:t xml:space="preserve">40 </w:t>
      </w:r>
      <w:proofErr w:type="spellStart"/>
      <w:r w:rsidR="00DB2D9D">
        <w:t>ms</w:t>
      </w:r>
      <w:proofErr w:type="spellEnd"/>
      <w:r w:rsidR="00DB2D9D">
        <w:t xml:space="preserve"> in the second cycle</w:t>
      </w:r>
      <w:r w:rsidR="00645C63">
        <w:t>, etc.</w:t>
      </w:r>
      <w:r w:rsidR="00DB2D9D">
        <w:t>)</w:t>
      </w:r>
      <w:r w:rsidR="00645C63">
        <w:t>.</w:t>
      </w:r>
      <w:r w:rsidR="00D47047">
        <w:t xml:space="preserve"> </w:t>
      </w:r>
      <w:r w:rsidR="00645C63">
        <w:t xml:space="preserve">The goal of </w:t>
      </w:r>
      <w:r w:rsidR="00DB2BB0">
        <w:t>the CID</w:t>
      </w:r>
      <w:r w:rsidR="00645C63">
        <w:t xml:space="preserve">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 xml:space="preserve">Like </w:t>
      </w:r>
      <w:proofErr w:type="spellStart"/>
      <w:r w:rsidR="001A36E9">
        <w:t>Undorf</w:t>
      </w:r>
      <w:proofErr w:type="spellEnd"/>
      <w:r w:rsidR="001A36E9">
        <w:t xml:space="preserve">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3C796208"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r w:rsidR="00DB2BB0">
        <w:t xml:space="preserve">may </w:t>
      </w:r>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w:t>
      </w:r>
      <w:proofErr w:type="spellStart"/>
      <w:r w:rsidR="001A36E9" w:rsidRPr="007262B1">
        <w:t>Dunlosky</w:t>
      </w:r>
      <w:proofErr w:type="spellEnd"/>
      <w:r w:rsidR="001A36E9" w:rsidRPr="007262B1">
        <w:t>,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623AD8AA"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proofErr w:type="spellStart"/>
      <w:r w:rsidR="00130381" w:rsidRPr="00312019">
        <w:t>Besken</w:t>
      </w:r>
      <w:proofErr w:type="spellEnd"/>
      <w:r w:rsidR="00130381" w:rsidRPr="00312019">
        <w:t xml:space="preserve">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0696CC33"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r w:rsidR="00DB2BB0">
        <w:t>pure-</w:t>
      </w:r>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w:t>
      </w:r>
      <w:proofErr w:type="spellStart"/>
      <w:r w:rsidR="00CD5D48">
        <w:t>Taikh</w:t>
      </w:r>
      <w:proofErr w:type="spellEnd"/>
      <w:r w:rsidR="00CD5D48">
        <w:t xml:space="preserve">,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2CE4AC21"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r w:rsidR="00DB2BB0">
        <w:rPr>
          <w:color w:val="000000"/>
        </w:rPr>
        <w:t>large-</w:t>
      </w:r>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DB2BB0">
        <w:rPr>
          <w:color w:val="000000"/>
        </w:rPr>
        <w:t>tested</w:t>
      </w:r>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0" w:name="_Hlk66192466"/>
    </w:p>
    <w:bookmarkEnd w:id="0"/>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One-hundred-</w:t>
      </w:r>
      <w:proofErr w:type="gramStart"/>
      <w:r w:rsidRPr="00AA5ECB">
        <w:rPr>
          <w:color w:val="000000"/>
        </w:rPr>
        <w:t>eighty word</w:t>
      </w:r>
      <w:proofErr w:type="gramEnd"/>
      <w:r w:rsidRPr="00AA5ECB">
        <w:rPr>
          <w:color w:val="000000"/>
        </w:rPr>
        <w:t xml:space="preserve">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w:t>
      </w:r>
      <w:proofErr w:type="spellStart"/>
      <w:r w:rsidRPr="00E13815">
        <w:rPr>
          <w:color w:val="000000"/>
        </w:rPr>
        <w:t>Balota</w:t>
      </w:r>
      <w:proofErr w:type="spellEnd"/>
      <w:r w:rsidRPr="00E13815">
        <w:rPr>
          <w:color w:val="000000"/>
        </w:rPr>
        <w:t xml:space="preserve">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5BAC3F36"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7A01D08F"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r w:rsidR="00DB2BB0">
        <w:rPr>
          <w:color w:val="000000"/>
        </w:rPr>
        <w:t>responses</w:t>
      </w:r>
      <w:r w:rsidR="00304097" w:rsidRPr="00304097">
        <w:rPr>
          <w:color w:val="000000"/>
        </w:rPr>
        <w:t>.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 xml:space="preserve">(Masson, 2011; </w:t>
      </w:r>
      <w:proofErr w:type="spellStart"/>
      <w:r w:rsidRPr="00111C81">
        <w:rPr>
          <w:color w:val="000000"/>
        </w:rPr>
        <w:t>Wagenmakers</w:t>
      </w:r>
      <w:proofErr w:type="spellEnd"/>
      <w:r w:rsidRPr="00111C81">
        <w:rPr>
          <w:color w:val="000000"/>
        </w:rPr>
        <w:t>,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proofErr w:type="spellStart"/>
      <w:r w:rsidRPr="00AA5ECB">
        <w:rPr>
          <w:i/>
          <w:iCs/>
          <w:color w:val="000000"/>
        </w:rPr>
        <w:t>t</w:t>
      </w:r>
      <w:r w:rsidRPr="00AA5ECB">
        <w:rPr>
          <w:color w:val="000000"/>
        </w:rPr>
        <w:t>s</w:t>
      </w:r>
      <w:proofErr w:type="spellEnd"/>
      <w:r w:rsidRPr="00AA5ECB">
        <w:rPr>
          <w:color w:val="000000"/>
        </w:rPr>
        <w:t xml:space="preserve">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proofErr w:type="spellStart"/>
      <w:r w:rsidRPr="00AA5ECB">
        <w:rPr>
          <w:i/>
          <w:iCs/>
          <w:color w:val="000000"/>
        </w:rPr>
        <w:t>p</w:t>
      </w:r>
      <w:r w:rsidRPr="00AA5ECB">
        <w:rPr>
          <w:color w:val="000000"/>
        </w:rPr>
        <w:t>s</w:t>
      </w:r>
      <w:proofErr w:type="spellEnd"/>
      <w:r w:rsidRPr="00AA5ECB">
        <w:rPr>
          <w:color w:val="000000"/>
        </w:rPr>
        <w:t xml:space="preserve"> &gt; .18,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3D4EE9D0"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.92, and the same illusion of competence pattern found in large</w:t>
      </w:r>
      <w:r w:rsidR="00DB2BB0">
        <w:rPr>
          <w:color w:val="000000"/>
        </w:rPr>
        <w:t>-</w:t>
      </w:r>
      <w:r w:rsidRPr="00AA5ECB">
        <w:rPr>
          <w:color w:val="000000"/>
        </w:rPr>
        <w:t xml:space="preserve"> and </w:t>
      </w:r>
      <w:r w:rsidR="00DB2BB0" w:rsidRPr="00AA5ECB">
        <w:rPr>
          <w:color w:val="000000"/>
        </w:rPr>
        <w:t>small</w:t>
      </w:r>
      <w:r w:rsidR="00DB2BB0">
        <w:rPr>
          <w:color w:val="000000"/>
        </w:rPr>
        <w:t>-</w:t>
      </w:r>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proofErr w:type="spellStart"/>
      <w:r w:rsidRPr="00AA5ECB">
        <w:rPr>
          <w:i/>
          <w:iCs/>
          <w:color w:val="000000"/>
        </w:rPr>
        <w:t>p</w:t>
      </w:r>
      <w:r w:rsidRPr="00AA5ECB">
        <w:rPr>
          <w:color w:val="000000"/>
        </w:rPr>
        <w:t>s</w:t>
      </w:r>
      <w:proofErr w:type="spellEnd"/>
      <w:r w:rsidRPr="00AA5ECB">
        <w:rPr>
          <w:color w:val="000000"/>
        </w:rPr>
        <w:t xml:space="preserve"> &gt; .22,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i/>
          <w:iCs/>
          <w:color w:val="000000"/>
        </w:rPr>
        <w:t xml:space="preserve"> </w:t>
      </w:r>
      <w:r w:rsidRPr="00AA5ECB">
        <w:rPr>
          <w:color w:val="000000"/>
        </w:rPr>
        <w:t>&gt; .99. Collectively, increasing font size increased both JOLs and recall percentages equally relative to</w:t>
      </w:r>
      <w:r w:rsidR="00DB2BB0">
        <w:rPr>
          <w:color w:val="000000"/>
        </w:rPr>
        <w:t xml:space="preserve"> the</w:t>
      </w:r>
      <w:r w:rsidRPr="00AA5ECB">
        <w:rPr>
          <w:color w:val="000000"/>
        </w:rPr>
        <w:t xml:space="preserve"> </w:t>
      </w:r>
      <w:r w:rsidR="00DB2BB0" w:rsidRPr="00AA5ECB">
        <w:rPr>
          <w:color w:val="000000"/>
        </w:rPr>
        <w:t>small</w:t>
      </w:r>
      <w:r w:rsidR="00DB2BB0">
        <w:rPr>
          <w:color w:val="000000"/>
        </w:rPr>
        <w:t>-</w:t>
      </w:r>
      <w:r w:rsidRPr="00AA5ECB">
        <w:rPr>
          <w:color w:val="000000"/>
        </w:rPr>
        <w:t xml:space="preserve">font sizes and </w:t>
      </w:r>
      <w:r w:rsidR="00DB2BB0">
        <w:rPr>
          <w:color w:val="000000"/>
        </w:rPr>
        <w:t>the large-</w:t>
      </w:r>
      <w:r w:rsidRPr="00AA5ECB">
        <w:rPr>
          <w:color w:val="000000"/>
        </w:rPr>
        <w:t xml:space="preserve">font sizes </w:t>
      </w:r>
      <w:r w:rsidR="00DB2BB0">
        <w:rPr>
          <w:color w:val="000000"/>
        </w:rPr>
        <w:t xml:space="preserve">did not differ relative </w:t>
      </w:r>
      <w:r w:rsidRPr="00AA5ECB">
        <w:rPr>
          <w:color w:val="000000"/>
        </w:rPr>
        <w:t>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176C9A98"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r w:rsidR="00D63A52">
        <w:rPr>
          <w:color w:val="000000"/>
        </w:rPr>
        <w:t>. By making text more distinguishable (and thus more perceptually fluent), we expected highlighting operate similarly to other manipulations that enhance both distinctiveness and fluency (e.g., such as bolding word pairs; Ball et al., 2014).</w:t>
      </w:r>
    </w:p>
    <w:p w14:paraId="4F76B2EA" w14:textId="35C41BD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r w:rsidR="00DB2BB0" w:rsidRPr="00AA5ECB">
        <w:rPr>
          <w:color w:val="000000"/>
        </w:rPr>
        <w:t>large</w:t>
      </w:r>
      <w:r w:rsidR="00DB2BB0">
        <w:rPr>
          <w:color w:val="000000"/>
        </w:rPr>
        <w:t>-</w:t>
      </w:r>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r w:rsidR="00DB2BB0" w:rsidRPr="00AA5ECB">
        <w:rPr>
          <w:color w:val="000000"/>
        </w:rPr>
        <w:t>small</w:t>
      </w:r>
      <w:r w:rsidR="00DB2BB0">
        <w:rPr>
          <w:color w:val="000000"/>
        </w:rPr>
        <w:t>-</w:t>
      </w:r>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037C409A" w:rsidR="00AA5ECB" w:rsidRPr="00AA5ECB" w:rsidRDefault="00AA5ECB" w:rsidP="00AA5ECB">
      <w:pPr>
        <w:spacing w:line="480" w:lineRule="auto"/>
        <w:contextualSpacing/>
        <w:textAlignment w:val="baseline"/>
        <w:rPr>
          <w:color w:val="000000"/>
        </w:rPr>
      </w:pPr>
      <w:r w:rsidRPr="00AA5ECB">
        <w:rPr>
          <w:color w:val="000000"/>
        </w:rPr>
        <w:lastRenderedPageBreak/>
        <w:tab/>
        <w:t>The same materials and general procedure in Experiment 1A was again used in Experiment 1B</w:t>
      </w:r>
      <w:r w:rsidR="00982D63">
        <w:rPr>
          <w:color w:val="000000"/>
        </w:rPr>
        <w:t>,</w:t>
      </w:r>
      <w:r w:rsidRPr="00AA5ECB">
        <w:rPr>
          <w:color w:val="000000"/>
        </w:rPr>
        <w:t xml:space="preserve"> with the only difference being the</w:t>
      </w:r>
      <w:r w:rsidR="00DB2BB0">
        <w:rPr>
          <w:color w:val="000000"/>
        </w:rPr>
        <w:t xml:space="preserve"> highlight versus no highlight</w:t>
      </w:r>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r w:rsidR="00DB2BB0">
        <w:rPr>
          <w:color w:val="000000"/>
        </w:rPr>
        <w:t xml:space="preserve"> The control group from Experiment 1A was also used.</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F6BECD4"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DB2BB0">
        <w:rPr>
          <w:color w:val="000000"/>
        </w:rPr>
        <w:t>as</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proofErr w:type="spellStart"/>
      <w:r w:rsidRPr="00AA5ECB">
        <w:rPr>
          <w:i/>
          <w:iCs/>
          <w:color w:val="000000"/>
        </w:rPr>
        <w:t>t</w:t>
      </w:r>
      <w:r w:rsidRPr="00AA5ECB">
        <w:rPr>
          <w:color w:val="000000"/>
        </w:rPr>
        <w:t>s</w:t>
      </w:r>
      <w:proofErr w:type="spellEnd"/>
      <w:r w:rsidRPr="00AA5ECB">
        <w:rPr>
          <w:color w:val="000000"/>
        </w:rPr>
        <w:t xml:space="preserve">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rPr>
        <w:t>s</w:t>
      </w:r>
      <w:proofErr w:type="spellEnd"/>
      <w:r w:rsidRPr="00AA5ECB">
        <w:rPr>
          <w:color w:val="000000"/>
        </w:rPr>
        <w:t xml:space="preserve"> &gt; .72,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w:t>
      </w:r>
      <w:r w:rsidRPr="00AA5ECB">
        <w:rPr>
          <w:color w:val="000000"/>
        </w:rPr>
        <w:lastRenderedPageBreak/>
        <w:t xml:space="preserve">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A695AEE"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r w:rsidR="00DB2BB0" w:rsidRPr="00AA5ECB">
        <w:rPr>
          <w:color w:val="000000"/>
        </w:rPr>
        <w:t>control</w:t>
      </w:r>
      <w:r w:rsidR="00DB2BB0">
        <w:rPr>
          <w:color w:val="000000"/>
        </w:rPr>
        <w:t>-</w:t>
      </w:r>
      <w:r w:rsidRPr="00AA5ECB">
        <w:rPr>
          <w:color w:val="000000"/>
        </w:rPr>
        <w:t xml:space="preserve">group pairs to either of the highlight pairs, all </w:t>
      </w:r>
      <w:r w:rsidRPr="00AA5ECB">
        <w:rPr>
          <w:i/>
          <w:iCs/>
          <w:color w:val="000000"/>
        </w:rPr>
        <w:t>F</w:t>
      </w:r>
      <w:r w:rsidRPr="00AA5ECB">
        <w:rPr>
          <w:color w:val="000000"/>
        </w:rPr>
        <w:t xml:space="preserve">s &lt; 1.56, </w:t>
      </w:r>
      <w:proofErr w:type="spellStart"/>
      <w:r w:rsidRPr="00AA5ECB">
        <w:rPr>
          <w:i/>
          <w:iCs/>
          <w:color w:val="000000"/>
        </w:rPr>
        <w:t>p</w:t>
      </w:r>
      <w:r w:rsidRPr="00AA5ECB">
        <w:rPr>
          <w:color w:val="000000"/>
        </w:rPr>
        <w:t>s</w:t>
      </w:r>
      <w:proofErr w:type="spellEnd"/>
      <w:r w:rsidRPr="00AA5ECB">
        <w:rPr>
          <w:color w:val="000000"/>
        </w:rPr>
        <w:t xml:space="preserve"> &gt; .19, </w:t>
      </w:r>
      <w:proofErr w:type="spellStart"/>
      <w:r w:rsidRPr="00AA5ECB">
        <w:rPr>
          <w:i/>
          <w:iCs/>
          <w:color w:val="000000"/>
        </w:rPr>
        <w:t>p</w:t>
      </w:r>
      <w:r w:rsidRPr="00790B5B">
        <w:rPr>
          <w:color w:val="000000"/>
          <w:vertAlign w:val="subscript"/>
        </w:rPr>
        <w:t>BICs</w:t>
      </w:r>
      <w:proofErr w:type="spellEnd"/>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4DC6032C" w:rsidR="00C474C2" w:rsidRPr="00C474C2" w:rsidRDefault="00FB0167" w:rsidP="00C474C2">
      <w:pPr>
        <w:spacing w:line="480" w:lineRule="auto"/>
        <w:ind w:firstLine="720"/>
        <w:contextualSpacing/>
        <w:textAlignment w:val="baseline"/>
      </w:pPr>
      <w:r>
        <w:lastRenderedPageBreak/>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w:t>
      </w:r>
      <w:proofErr w:type="gramStart"/>
      <w:r>
        <w:rPr>
          <w:color w:val="000000"/>
        </w:rPr>
        <w:t>si</w:t>
      </w:r>
      <w:r w:rsidR="00114EA4">
        <w:rPr>
          <w:color w:val="000000"/>
        </w:rPr>
        <w:t>z</w:t>
      </w:r>
      <w:r w:rsidR="004E0E2E">
        <w:rPr>
          <w:color w:val="000000"/>
        </w:rPr>
        <w:t xml:space="preserve">e, </w:t>
      </w:r>
      <w:r w:rsidRPr="0078519B">
        <w:rPr>
          <w:color w:val="000000"/>
        </w:rPr>
        <w:t>now that</w:t>
      </w:r>
      <w:proofErr w:type="gramEnd"/>
      <w:r w:rsidRPr="0078519B">
        <w:rPr>
          <w:color w:val="000000"/>
        </w:rPr>
        <w:t xml:space="preserve">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w:t>
      </w:r>
      <w:r w:rsidR="00AA5ECB" w:rsidRPr="00AA5ECB">
        <w:rPr>
          <w:color w:val="000000"/>
        </w:rPr>
        <w:lastRenderedPageBreak/>
        <w:t>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694BFBB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w:t>
      </w:r>
      <w:r w:rsidRPr="00AA5ECB">
        <w:rPr>
          <w:color w:val="000000"/>
        </w:rPr>
        <w:lastRenderedPageBreak/>
        <w:t xml:space="preserve">=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7B666FD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r w:rsidR="00DB2BB0">
        <w:rPr>
          <w:color w:val="000000"/>
        </w:rPr>
        <w:t>control-</w:t>
      </w:r>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r w:rsidR="00DB2BB0">
        <w:rPr>
          <w:color w:val="000000"/>
        </w:rPr>
        <w:t>pure-</w:t>
      </w:r>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2330C32B"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highlight/control </w:t>
      </w:r>
      <w:r w:rsidR="00DB2BB0">
        <w:rPr>
          <w:color w:val="000000"/>
        </w:rPr>
        <w:t>comparison</w:t>
      </w:r>
      <w:r w:rsidR="00DB2BB0" w:rsidRPr="00AA5ECB">
        <w:rPr>
          <w:color w:val="000000"/>
        </w:rPr>
        <w:t xml:space="preserve"> </w:t>
      </w:r>
      <w:r w:rsidRPr="00AA5ECB">
        <w:rPr>
          <w:color w:val="000000"/>
        </w:rPr>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r w:rsidR="00DB2BB0">
        <w:rPr>
          <w:color w:val="000000"/>
        </w:rPr>
        <w:t>comparison</w:t>
      </w:r>
      <w:r w:rsidR="00DB2BB0" w:rsidRPr="00AA5ECB">
        <w:rPr>
          <w:color w:val="000000"/>
        </w:rPr>
        <w:t xml:space="preserve"> </w:t>
      </w:r>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.85. The interactions were also not reliable,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20BBFFD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r w:rsidR="00DB2BB0">
        <w:rPr>
          <w:color w:val="000000"/>
        </w:rPr>
        <w:t xml:space="preserve">in </w:t>
      </w:r>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lastRenderedPageBreak/>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6FF3A009"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DB2BB0">
        <w:rPr>
          <w:color w:val="000000"/>
        </w:rPr>
        <w:t>.</w:t>
      </w:r>
      <w:r w:rsidR="00114DA5">
        <w:rPr>
          <w:color w:val="000000"/>
        </w:rPr>
        <w:t xml:space="preserve"> </w:t>
      </w:r>
      <w:r w:rsidR="0002461C" w:rsidRPr="0002461C">
        <w:rPr>
          <w:color w:val="000000"/>
        </w:rPr>
        <w:t xml:space="preserve">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w:t>
      </w:r>
      <w:r w:rsidR="00DB2BB0">
        <w:rPr>
          <w:color w:val="000000"/>
        </w:rPr>
        <w:t xml:space="preserve">JOLs </w:t>
      </w:r>
      <w:r w:rsidR="003B0E7F">
        <w:rPr>
          <w:color w:val="000000"/>
        </w:rPr>
        <w:t xml:space="preserve">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6EC41804"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 xml:space="preserve">on JOLs and recall. Based on the fluency account, JOLs for Sans Forgetica pairs should be decreased relative to pairs presented using Arial font, as Sans Forgetica is a less perceptually fluent font. </w:t>
      </w:r>
      <w:r>
        <w:rPr>
          <w:color w:val="000000"/>
        </w:rPr>
        <w:lastRenderedPageBreak/>
        <w:t>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ecause this font was designed to improve retention, participants may hold the belief that Sans Forgetica is easier to learn and make higher JOLs accordingly. Furthermore, based on previous research indicating that Sans Forgetica does not increase recall and patterns predicted by the font-size effect, no effects of Sans Forgetica on memory were expected. Finally, as in the previous experiments, we again included a control group comparison in which all pairs were presented using 32-pt. Arial font.</w:t>
      </w:r>
      <w:r w:rsidR="00F350F3">
        <w:rPr>
          <w:color w:val="000000"/>
        </w:rPr>
        <w:t xml:space="preserve"> All word pairs were</w:t>
      </w:r>
      <w:r w:rsidR="00E742FE">
        <w:rPr>
          <w:color w:val="000000"/>
        </w:rPr>
        <w:t xml:space="preserve"> again</w:t>
      </w:r>
      <w:r w:rsidR="00F350F3">
        <w:rPr>
          <w:color w:val="000000"/>
        </w:rPr>
        <w:t xml:space="preserve"> unrelated </w:t>
      </w:r>
      <w:r w:rsidR="00E742FE">
        <w:rPr>
          <w:color w:val="000000"/>
        </w:rPr>
        <w:t xml:space="preserve">given their increased sensitivity to perceptual manipulations versus related pairs (e.g., </w:t>
      </w:r>
      <w:r w:rsidR="00F350F3">
        <w:rPr>
          <w:color w:val="000000"/>
        </w:rPr>
        <w:t xml:space="preserve">Rhodes </w:t>
      </w:r>
      <w:r w:rsidR="00E742FE">
        <w:rPr>
          <w:color w:val="000000"/>
        </w:rPr>
        <w:t>&amp;</w:t>
      </w:r>
      <w:r w:rsidR="00F350F3">
        <w:rPr>
          <w:color w:val="000000"/>
        </w:rPr>
        <w:t xml:space="preserve"> Castel</w:t>
      </w:r>
      <w:r w:rsidR="00E742FE">
        <w:rPr>
          <w:color w:val="000000"/>
        </w:rPr>
        <w:t xml:space="preserve">, </w:t>
      </w:r>
      <w:r w:rsidR="00F350F3">
        <w:rPr>
          <w:color w:val="000000"/>
        </w:rPr>
        <w:t>2008).</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 xml:space="preserve">pt. Arial font. For participants assigned to </w:t>
      </w:r>
      <w:r w:rsidRPr="00AA5ECB">
        <w:rPr>
          <w:color w:val="000000"/>
        </w:rPr>
        <w:lastRenderedPageBreak/>
        <w:t>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lastRenderedPageBreak/>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704F5A39"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w:t>
      </w:r>
      <w:r w:rsidR="00DB2BB0">
        <w:rPr>
          <w:color w:val="000000"/>
        </w:rPr>
        <w:t>a</w:t>
      </w:r>
      <w:r w:rsidR="00DB2BB0" w:rsidRPr="00C25F8F">
        <w:rPr>
          <w:color w:val="000000"/>
        </w:rPr>
        <w:t xml:space="preserve"> </w:t>
      </w:r>
      <w:r w:rsidR="00C25F8F" w:rsidRPr="00C25F8F">
        <w:rPr>
          <w:color w:val="000000"/>
        </w:rPr>
        <w:t xml:space="preserve">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lastRenderedPageBreak/>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2E78919D"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r w:rsidR="00DB2BB0">
        <w:rPr>
          <w:color w:val="000000"/>
        </w:rPr>
        <w:t xml:space="preserve">word </w:t>
      </w:r>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r w:rsidR="00DB2BB0" w:rsidRPr="005C0F83">
        <w:rPr>
          <w:color w:val="000000"/>
        </w:rPr>
        <w:t>small</w:t>
      </w:r>
      <w:r w:rsidR="00DB2BB0">
        <w:rPr>
          <w:color w:val="000000"/>
        </w:rPr>
        <w:t>-</w:t>
      </w:r>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r w:rsidR="00DB2BB0">
        <w:rPr>
          <w:color w:val="000000"/>
        </w:rPr>
        <w:t>mixed-</w:t>
      </w:r>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r w:rsidR="005655DF">
        <w:rPr>
          <w:color w:val="000000"/>
        </w:rPr>
        <w:t>-</w:t>
      </w:r>
      <w:r w:rsidR="00746E94">
        <w:rPr>
          <w:color w:val="000000"/>
        </w:rPr>
        <w:t xml:space="preserve"> and </w:t>
      </w:r>
      <w:r w:rsidR="005655DF">
        <w:rPr>
          <w:color w:val="000000"/>
        </w:rPr>
        <w:t>small-</w:t>
      </w:r>
      <w:r w:rsidR="00746E94">
        <w:rPr>
          <w:color w:val="000000"/>
        </w:rPr>
        <w:t>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 xml:space="preserve">the </w:t>
      </w:r>
      <w:r w:rsidR="005655DF">
        <w:rPr>
          <w:color w:val="000000"/>
        </w:rPr>
        <w:t>large-</w:t>
      </w:r>
      <w:r w:rsidR="00CF7215">
        <w:rPr>
          <w:color w:val="000000"/>
        </w:rPr>
        <w:t>font size increased both JOLs and recall rates similarly</w:t>
      </w:r>
      <w:r w:rsidR="00746E94">
        <w:rPr>
          <w:color w:val="000000"/>
        </w:rPr>
        <w:t xml:space="preserve"> relative to </w:t>
      </w:r>
      <w:r w:rsidR="005655DF">
        <w:rPr>
          <w:color w:val="000000"/>
        </w:rPr>
        <w:t>small-</w:t>
      </w:r>
      <w:r w:rsidR="00746E94">
        <w:rPr>
          <w:color w:val="000000"/>
        </w:rPr>
        <w:t>font pairs</w:t>
      </w:r>
      <w:r w:rsidR="00CF7215">
        <w:rPr>
          <w:color w:val="000000"/>
        </w:rPr>
        <w:t xml:space="preserve">, JOLs for </w:t>
      </w:r>
      <w:r w:rsidR="005655DF">
        <w:rPr>
          <w:color w:val="000000"/>
        </w:rPr>
        <w:t>large-</w:t>
      </w:r>
      <w:r w:rsidR="00CF7215">
        <w:rPr>
          <w:color w:val="000000"/>
        </w:rPr>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lastRenderedPageBreak/>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0BC0E309"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r w:rsidR="005655DF">
        <w:rPr>
          <w:color w:val="000000"/>
        </w:rPr>
        <w:t xml:space="preserve">JOLs </w:t>
      </w:r>
      <w:r w:rsidR="00746E94">
        <w:rPr>
          <w:color w:val="000000"/>
        </w:rPr>
        <w:t>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r w:rsidR="005655DF">
        <w:rPr>
          <w:color w:val="000000"/>
        </w:rPr>
        <w:t>large-</w:t>
      </w:r>
      <w:r w:rsidR="00746E94">
        <w:rPr>
          <w:color w:val="000000"/>
        </w:rPr>
        <w:t>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w:t>
      </w:r>
      <w:r w:rsidR="00B156A4">
        <w:rPr>
          <w:color w:val="000000"/>
        </w:rPr>
        <w:lastRenderedPageBreak/>
        <w:t xml:space="preserve">Forgetica cost. Interestingly, mixed Arial pairs produced greater JOLs and recall rates than Arial pairs in the pure group, suggesting that the mixed list context increased participants both JOLs and the encoding of Arial pairs. </w:t>
      </w:r>
    </w:p>
    <w:p w14:paraId="00567624" w14:textId="01D27BA8" w:rsidR="0042099C" w:rsidRDefault="00584C5E" w:rsidP="0042099C">
      <w:pPr>
        <w:spacing w:line="480" w:lineRule="auto"/>
        <w:ind w:firstLine="720"/>
        <w:textAlignment w:val="baseline"/>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r w:rsidR="005655DF">
        <w:t>pure-</w:t>
      </w:r>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00D5D27D" w14:textId="421E178C" w:rsidR="00CD57BE" w:rsidRDefault="00E137D5" w:rsidP="0042099C">
      <w:pPr>
        <w:spacing w:line="480" w:lineRule="auto"/>
        <w:ind w:firstLine="720"/>
        <w:textAlignment w:val="baseline"/>
        <w:rPr>
          <w:color w:val="000000"/>
        </w:rPr>
      </w:pPr>
      <w:r>
        <w:t>Finally,</w:t>
      </w:r>
      <w:r w:rsidR="00864464">
        <w:t xml:space="preserve"> while not a </w:t>
      </w:r>
      <w:r w:rsidR="005C4AD3">
        <w:t xml:space="preserve">primary </w:t>
      </w:r>
      <w:r w:rsidR="00864464">
        <w:t>focal point of the current study, illusion of competence patterns (</w:t>
      </w:r>
      <w:proofErr w:type="spellStart"/>
      <w:r w:rsidR="00864464">
        <w:t>Koriat</w:t>
      </w:r>
      <w:proofErr w:type="spellEnd"/>
      <w:r w:rsidR="00864464">
        <w:t xml:space="preserve"> &amp; Bjork, 2005; Maxwell &amp; Huff, in press) consistently </w:t>
      </w:r>
      <w:r w:rsidR="007F4288">
        <w:t>emerged</w:t>
      </w:r>
      <w:r w:rsidR="00864464">
        <w:t xml:space="preserve"> across experiments. In Experiment 1, JOLs overpredicted recall for backward, symmetrical, and unrelated pairs</w:t>
      </w:r>
      <w:r>
        <w:t xml:space="preserve">, regardless of font-size, highlights, or control group pairs. </w:t>
      </w:r>
      <w:r w:rsidR="009B70A4" w:rsidRPr="009B70A4">
        <w:t xml:space="preserve">For forward associates, however, JOLs and recall were well calibrated. </w:t>
      </w:r>
      <w:r>
        <w:t xml:space="preserve">This </w:t>
      </w:r>
      <w:r w:rsidR="00864464">
        <w:t>replicat</w:t>
      </w:r>
      <w:r>
        <w:t>ed</w:t>
      </w:r>
      <w:r w:rsidR="00864464">
        <w:t xml:space="preserve"> findings by Maxwell and Huff (in press)</w:t>
      </w:r>
      <w:r>
        <w:t>,</w:t>
      </w:r>
      <w:r w:rsidR="00864464">
        <w:t xml:space="preserve"> who showed that JOLs consistently overpredicted correct recal</w:t>
      </w:r>
      <w:r w:rsidR="009B70A4">
        <w:t>l for study pairs in which the cue was not predictive of the target</w:t>
      </w:r>
      <w:r w:rsidR="00864464">
        <w:t xml:space="preserve">. </w:t>
      </w:r>
      <w:r w:rsidR="00983390">
        <w:t>Additionally, t</w:t>
      </w:r>
      <w:r>
        <w:t>he illusion of competence</w:t>
      </w:r>
      <w:r w:rsidR="00864464">
        <w:t xml:space="preserve"> pattern </w:t>
      </w:r>
      <w:r w:rsidR="00864464">
        <w:lastRenderedPageBreak/>
        <w:t>extended to unrelated pairs in Experiment 2 and 3</w:t>
      </w:r>
      <w:r>
        <w:t xml:space="preserve">, such that JOLs again overpredicted recall, regardless of </w:t>
      </w:r>
      <w:r w:rsidR="00983390">
        <w:t>perceptual fluency</w:t>
      </w:r>
      <w:r>
        <w:t xml:space="preserve"> or encoding group</w:t>
      </w:r>
      <w:r w:rsidR="00983390">
        <w:t xml:space="preserve"> (e.g., mixed lists or control)</w:t>
      </w:r>
      <w:r>
        <w:t>.</w:t>
      </w:r>
    </w:p>
    <w:p w14:paraId="4DE9BB25" w14:textId="302E54A7"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proofErr w:type="spellStart"/>
      <w:r w:rsidR="00FC48A7">
        <w:rPr>
          <w:sz w:val="24"/>
          <w:szCs w:val="24"/>
        </w:rPr>
        <w:t>Halamish</w:t>
      </w:r>
      <w:proofErr w:type="spellEnd"/>
      <w:r w:rsidR="00FC48A7">
        <w:rPr>
          <w:sz w:val="24"/>
          <w:szCs w:val="24"/>
        </w:rPr>
        <w:t xml:space="preserve">, Nachman, and </w:t>
      </w:r>
      <w:proofErr w:type="spellStart"/>
      <w:r w:rsidR="00FC48A7">
        <w:rPr>
          <w:sz w:val="24"/>
          <w:szCs w:val="24"/>
        </w:rPr>
        <w:t>Katzir</w:t>
      </w:r>
      <w:proofErr w:type="spellEnd"/>
      <w:r w:rsidR="00FC48A7">
        <w:rPr>
          <w:sz w:val="24"/>
          <w:szCs w:val="24"/>
        </w:rPr>
        <w:t>, 2018</w:t>
      </w:r>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 xml:space="preserve">e, Finn, &amp; </w:t>
      </w:r>
      <w:proofErr w:type="spellStart"/>
      <w:r w:rsidR="0099010B">
        <w:rPr>
          <w:sz w:val="24"/>
          <w:szCs w:val="24"/>
        </w:rPr>
        <w:t>Molden</w:t>
      </w:r>
      <w:proofErr w:type="spellEnd"/>
      <w:r w:rsidR="00A54991" w:rsidRPr="0044260F">
        <w:rPr>
          <w:sz w:val="24"/>
          <w:szCs w:val="24"/>
        </w:rPr>
        <w:t>, 2011</w:t>
      </w:r>
      <w:r w:rsidR="00372235">
        <w:rPr>
          <w:sz w:val="24"/>
          <w:szCs w:val="24"/>
        </w:rPr>
        <w:t xml:space="preserve">; </w:t>
      </w:r>
      <w:r w:rsidR="00142068" w:rsidRPr="0044260F">
        <w:rPr>
          <w:sz w:val="24"/>
          <w:szCs w:val="24"/>
        </w:rPr>
        <w:t xml:space="preserve">Muller et al., 2014; </w:t>
      </w:r>
      <w:proofErr w:type="spellStart"/>
      <w:r w:rsidR="00142068" w:rsidRPr="0044260F">
        <w:rPr>
          <w:sz w:val="24"/>
          <w:szCs w:val="24"/>
        </w:rPr>
        <w:t>Susser</w:t>
      </w:r>
      <w:proofErr w:type="spellEnd"/>
      <w:r w:rsidR="00A07ACB">
        <w:rPr>
          <w:sz w:val="24"/>
          <w:szCs w:val="24"/>
        </w:rPr>
        <w:t xml:space="preserve">, Mulligan, &amp; </w:t>
      </w:r>
      <w:proofErr w:type="spellStart"/>
      <w:r w:rsidR="00A07ACB">
        <w:rPr>
          <w:sz w:val="24"/>
          <w:szCs w:val="24"/>
        </w:rPr>
        <w:t>Besken</w:t>
      </w:r>
      <w:proofErr w:type="spellEnd"/>
      <w:r w:rsidR="00142068" w:rsidRPr="0044260F">
        <w:rPr>
          <w:sz w:val="24"/>
          <w:szCs w:val="24"/>
        </w:rPr>
        <w:t xml:space="preserve">., 2013; </w:t>
      </w:r>
      <w:proofErr w:type="spellStart"/>
      <w:r w:rsidR="00142068" w:rsidRPr="0044260F">
        <w:rPr>
          <w:sz w:val="24"/>
          <w:szCs w:val="24"/>
        </w:rPr>
        <w:t>Undorf</w:t>
      </w:r>
      <w:proofErr w:type="spellEnd"/>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472B2512"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w:t>
      </w:r>
      <w:r w:rsidR="00B42B80">
        <w:rPr>
          <w:sz w:val="24"/>
          <w:szCs w:val="24"/>
        </w:rPr>
        <w:lastRenderedPageBreak/>
        <w:t>2016</w:t>
      </w:r>
      <w:r w:rsidR="005655DF">
        <w:rPr>
          <w:sz w:val="24"/>
          <w:szCs w:val="24"/>
        </w:rPr>
        <w:t>,</w:t>
      </w:r>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w:t>
      </w:r>
      <w:proofErr w:type="spellStart"/>
      <w:r w:rsidR="006C791D">
        <w:rPr>
          <w:sz w:val="24"/>
          <w:szCs w:val="24"/>
        </w:rPr>
        <w:t>Eskenazi</w:t>
      </w:r>
      <w:proofErr w:type="spellEnd"/>
      <w:r w:rsidR="006C791D">
        <w:rPr>
          <w:sz w:val="24"/>
          <w:szCs w:val="24"/>
        </w:rPr>
        <w:t xml:space="preserve">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5655DF">
        <w:rPr>
          <w:sz w:val="24"/>
          <w:szCs w:val="24"/>
        </w:rPr>
        <w:t xml:space="preserve">Sans </w:t>
      </w:r>
      <w:proofErr w:type="spellStart"/>
      <w:r w:rsidR="005655DF">
        <w:rPr>
          <w:sz w:val="24"/>
          <w:szCs w:val="24"/>
        </w:rPr>
        <w:t>Remembrica</w:t>
      </w:r>
      <w:proofErr w:type="spellEnd"/>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627D245B" w:rsidR="005B5E28" w:rsidRPr="00B84F7B" w:rsidRDefault="009036EA" w:rsidP="004F0E74">
      <w:pPr>
        <w:spacing w:line="480" w:lineRule="auto"/>
        <w:ind w:firstLine="720"/>
        <w:textAlignment w:val="baseline"/>
        <w:rPr>
          <w:color w:val="000000"/>
        </w:rPr>
      </w:pPr>
      <w:r>
        <w:rPr>
          <w:color w:val="000000"/>
        </w:rPr>
        <w:t xml:space="preserve">Though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Martin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lastRenderedPageBreak/>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proofErr w:type="spellStart"/>
      <w:r w:rsidRPr="00B46C4C">
        <w:rPr>
          <w:rFonts w:eastAsia="Arial"/>
        </w:rPr>
        <w:t>Balota</w:t>
      </w:r>
      <w:proofErr w:type="spellEnd"/>
      <w:r w:rsidRPr="00B46C4C">
        <w:rPr>
          <w:rFonts w:eastAsia="Arial"/>
        </w:rPr>
        <w:t xml:space="preserve">, D. A., Yap, M. J., Hutchison, K. A., Cortese, M. J., Kessler, B., Loftis, B., Neely, J. H., Nelson, D. L., Simpson, G. B, &amp; </w:t>
      </w:r>
      <w:proofErr w:type="spellStart"/>
      <w:r w:rsidRPr="00B46C4C">
        <w:rPr>
          <w:rFonts w:eastAsia="Arial"/>
        </w:rPr>
        <w:t>Treiman</w:t>
      </w:r>
      <w:proofErr w:type="spellEnd"/>
      <w:r w:rsidRPr="00B46C4C">
        <w:rPr>
          <w:rFonts w:eastAsia="Arial"/>
        </w:rPr>
        <w:t xml:space="preserve">, R. (2007). The English lexicon </w:t>
      </w:r>
      <w:proofErr w:type="gramStart"/>
      <w:r w:rsidRPr="00B46C4C">
        <w:rPr>
          <w:rFonts w:eastAsia="Arial"/>
        </w:rPr>
        <w:t>project</w:t>
      </w:r>
      <w:proofErr w:type="gramEnd"/>
      <w:r w:rsidRPr="00B46C4C">
        <w:rPr>
          <w:rFonts w:eastAsia="Arial"/>
        </w:rPr>
        <w:t xml:space="preserve">.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proofErr w:type="spellStart"/>
      <w:r w:rsidRPr="003F2CE5">
        <w:t>Besken</w:t>
      </w:r>
      <w:proofErr w:type="spellEnd"/>
      <w:r w:rsidRPr="003F2CE5">
        <w:t xml:space="preserve">,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w:t>
      </w:r>
      <w:proofErr w:type="spellStart"/>
      <w:r>
        <w:t>Taikh</w:t>
      </w:r>
      <w:proofErr w:type="spellEnd"/>
      <w:r>
        <w:t xml:space="preserve">,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proofErr w:type="spellStart"/>
      <w:r>
        <w:rPr>
          <w:rFonts w:eastAsia="Arial"/>
        </w:rPr>
        <w:lastRenderedPageBreak/>
        <w:t>Eskenazi</w:t>
      </w:r>
      <w:proofErr w:type="spellEnd"/>
      <w:r>
        <w:rPr>
          <w:rFonts w:eastAsia="Arial"/>
        </w:rPr>
        <w:t xml:space="preserve">,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w:t>
      </w:r>
      <w:proofErr w:type="spellStart"/>
      <w:r w:rsidRPr="00B46C4C">
        <w:t>forgetica</w:t>
      </w:r>
      <w:proofErr w:type="spellEnd"/>
      <w:r w:rsidRPr="00B46C4C">
        <w:t xml:space="preserve">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proofErr w:type="spellStart"/>
      <w:r>
        <w:t>Halamish</w:t>
      </w:r>
      <w:proofErr w:type="spellEnd"/>
      <w:r>
        <w:t xml:space="preserve">, V., Nachman, H., &amp; </w:t>
      </w:r>
      <w:proofErr w:type="spellStart"/>
      <w:r>
        <w:t>Katzir</w:t>
      </w:r>
      <w:proofErr w:type="spellEnd"/>
      <w:r>
        <w:t xml:space="preserve">,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proofErr w:type="spellStart"/>
      <w:r w:rsidRPr="00B46C4C">
        <w:rPr>
          <w:rFonts w:eastAsia="Arial"/>
        </w:rPr>
        <w:t>Hanczakowski</w:t>
      </w:r>
      <w:proofErr w:type="spellEnd"/>
      <w:r w:rsidRPr="00B46C4C">
        <w:rPr>
          <w:rFonts w:eastAsia="Arial"/>
        </w:rPr>
        <w:t xml:space="preserve">, M., </w:t>
      </w:r>
      <w:proofErr w:type="spellStart"/>
      <w:r w:rsidRPr="00B46C4C">
        <w:rPr>
          <w:rFonts w:eastAsia="Arial"/>
        </w:rPr>
        <w:t>Zawadzka</w:t>
      </w:r>
      <w:proofErr w:type="spellEnd"/>
      <w:r w:rsidRPr="00B46C4C">
        <w:rPr>
          <w:rFonts w:eastAsia="Arial"/>
        </w:rPr>
        <w:t xml:space="preserve">, K., </w:t>
      </w:r>
      <w:proofErr w:type="spellStart"/>
      <w:r w:rsidRPr="00B46C4C">
        <w:rPr>
          <w:rFonts w:eastAsia="Arial"/>
        </w:rPr>
        <w:t>Pasek</w:t>
      </w:r>
      <w:proofErr w:type="spellEnd"/>
      <w:r w:rsidRPr="00B46C4C">
        <w:rPr>
          <w:rFonts w:eastAsia="Arial"/>
        </w:rPr>
        <w:t xml:space="preserve">, T., &amp; </w:t>
      </w:r>
      <w:proofErr w:type="spellStart"/>
      <w:r w:rsidRPr="00B46C4C">
        <w:rPr>
          <w:rFonts w:eastAsia="Arial"/>
        </w:rPr>
        <w:t>Higham</w:t>
      </w:r>
      <w:proofErr w:type="spellEnd"/>
      <w:r w:rsidRPr="00B46C4C">
        <w:rPr>
          <w:rFonts w:eastAsia="Arial"/>
        </w:rPr>
        <w:t xml:space="preserve">, P. A. (2013). Calibration of metacognitive judgments: Insights from the </w:t>
      </w:r>
      <w:proofErr w:type="spellStart"/>
      <w:r w:rsidRPr="00B46C4C">
        <w:rPr>
          <w:rFonts w:eastAsia="Arial"/>
        </w:rPr>
        <w:t>underconfidence</w:t>
      </w:r>
      <w:proofErr w:type="spellEnd"/>
      <w:r w:rsidRPr="00B46C4C">
        <w:rPr>
          <w:rFonts w:eastAsia="Arial"/>
        </w:rPr>
        <w:t xml:space="preserv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w:t>
      </w:r>
      <w:proofErr w:type="spellStart"/>
      <w:r w:rsidRPr="003F2CE5">
        <w:t>Su</w:t>
      </w:r>
      <w:proofErr w:type="spellEnd"/>
      <w:r w:rsidRPr="003F2CE5">
        <w:t xml:space="preserve">, N., Liu, Z., &amp; Luo, L. (2015). How much do metamemory </w:t>
      </w:r>
      <w:proofErr w:type="gramStart"/>
      <w:r w:rsidRPr="003F2CE5">
        <w:t>beliefs</w:t>
      </w:r>
      <w:proofErr w:type="gramEnd"/>
      <w:r w:rsidRPr="003F2CE5">
        <w:t xml:space="preserve">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proofErr w:type="spellStart"/>
      <w:r w:rsidRPr="003F2CE5">
        <w:rPr>
          <w:i/>
          <w:iCs/>
        </w:rPr>
        <w:t>PloS</w:t>
      </w:r>
      <w:proofErr w:type="spellEnd"/>
      <w:r w:rsidRPr="003F2CE5">
        <w:rPr>
          <w:i/>
          <w:iCs/>
        </w:rPr>
        <w:t xml:space="preserve">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proofErr w:type="spellStart"/>
      <w:r w:rsidRPr="00B46C4C">
        <w:rPr>
          <w:rFonts w:eastAsia="Arial"/>
        </w:rPr>
        <w:t>Koriat</w:t>
      </w:r>
      <w:proofErr w:type="spellEnd"/>
      <w:r w:rsidRPr="00B46C4C">
        <w:rPr>
          <w:rFonts w:eastAsia="Arial"/>
        </w:rPr>
        <w:t xml:space="preserve">,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w:t>
      </w:r>
      <w:proofErr w:type="spellStart"/>
      <w:r>
        <w:rPr>
          <w:rFonts w:eastAsia="Arial"/>
        </w:rPr>
        <w:t>Molden</w:t>
      </w:r>
      <w:proofErr w:type="spellEnd"/>
      <w:r>
        <w:rPr>
          <w:rFonts w:eastAsia="Arial"/>
        </w:rPr>
        <w:t xml:space="preserve">, D. C. (2011). Does easily learned mean easily </w:t>
      </w:r>
      <w:proofErr w:type="gramStart"/>
      <w:r>
        <w:rPr>
          <w:rFonts w:eastAsia="Arial"/>
        </w:rPr>
        <w:t>remembered?:</w:t>
      </w:r>
      <w:proofErr w:type="gramEnd"/>
      <w:r>
        <w:rPr>
          <w:rFonts w:eastAsia="Arial"/>
        </w:rPr>
        <w:t xml:space="preserve">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w:t>
      </w:r>
      <w:proofErr w:type="spellStart"/>
      <w:r w:rsidRPr="003F2CE5">
        <w:t>Dunlosky</w:t>
      </w:r>
      <w:proofErr w:type="spellEnd"/>
      <w:r w:rsidRPr="003F2CE5">
        <w:t xml:space="preserve">,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w:t>
      </w:r>
      <w:proofErr w:type="spellStart"/>
      <w:r w:rsidRPr="00B46C4C">
        <w:t>Dunlosky</w:t>
      </w:r>
      <w:proofErr w:type="spellEnd"/>
      <w:r w:rsidRPr="00B46C4C">
        <w:t xml:space="preserve">,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Narens</w:t>
      </w:r>
      <w:proofErr w:type="spellEnd"/>
      <w:r w:rsidRPr="00B46C4C">
        <w:t xml:space="preserve">,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w:t>
      </w:r>
      <w:proofErr w:type="spellStart"/>
      <w:r w:rsidRPr="003F2CE5">
        <w:t>prestudy</w:t>
      </w:r>
      <w:proofErr w:type="spellEnd"/>
      <w:r w:rsidRPr="003F2CE5">
        <w:t xml:space="preserve">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proofErr w:type="spellStart"/>
      <w:r w:rsidRPr="003F2CE5">
        <w:t>Reber</w:t>
      </w:r>
      <w:proofErr w:type="spellEnd"/>
      <w:r w:rsidRPr="003F2CE5">
        <w:t xml:space="preserve">,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proofErr w:type="spellStart"/>
      <w:r w:rsidRPr="00714AE2">
        <w:t>Reber</w:t>
      </w:r>
      <w:proofErr w:type="spellEnd"/>
      <w:r w:rsidRPr="00714AE2">
        <w:t xml:space="preserve">, R., </w:t>
      </w:r>
      <w:proofErr w:type="spellStart"/>
      <w:r w:rsidRPr="00714AE2">
        <w:t>Winkielman</w:t>
      </w:r>
      <w:proofErr w:type="spellEnd"/>
      <w:r w:rsidRPr="00714AE2">
        <w:t xml:space="preserve">, P., &amp; Schwarz, N. (1998). Effects of perceptual fluency on affective </w:t>
      </w:r>
    </w:p>
    <w:p w14:paraId="7FE82225" w14:textId="30BE769E"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5D95641" w14:textId="68366684" w:rsidR="00621135" w:rsidRDefault="00621135" w:rsidP="00621135">
      <w:pPr>
        <w:spacing w:line="480" w:lineRule="auto"/>
        <w:ind w:left="720" w:hanging="720"/>
      </w:pPr>
      <w:bookmarkStart w:id="1" w:name="_Hlk71207903"/>
      <w:r>
        <w:t xml:space="preserve">Rhodes, M. G., &amp; Castel, A. D. (2008). Memory predictions are influenced by perceptual information: Evidence for metacognitive illusions: </w:t>
      </w:r>
      <w:r w:rsidRPr="00621135">
        <w:rPr>
          <w:i/>
          <w:iCs/>
        </w:rPr>
        <w:t>Journal of Experimental Psychology: General, 137</w:t>
      </w:r>
      <w:r>
        <w:t>(4), 615-625.</w:t>
      </w:r>
    </w:p>
    <w:bookmarkEnd w:id="1"/>
    <w:p w14:paraId="1F9004CA" w14:textId="77777777" w:rsidR="00965D8C" w:rsidRDefault="00965D8C" w:rsidP="00965D8C">
      <w:pPr>
        <w:spacing w:line="480" w:lineRule="auto"/>
      </w:pPr>
      <w:r>
        <w:t xml:space="preserve">Rowland, C. A. (2014). The effect of testing versus </w:t>
      </w:r>
      <w:proofErr w:type="gramStart"/>
      <w:r>
        <w:t>restudy</w:t>
      </w:r>
      <w:proofErr w:type="gramEnd"/>
      <w:r>
        <w:t xml:space="preserve">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lastRenderedPageBreak/>
        <w:t xml:space="preserve">Soderstrom, N. C., Clark, C. T., </w:t>
      </w:r>
      <w:proofErr w:type="spellStart"/>
      <w:r>
        <w:t>Halamish</w:t>
      </w:r>
      <w:proofErr w:type="spellEnd"/>
      <w:r>
        <w:t xml:space="preserve">,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proofErr w:type="spellStart"/>
      <w:r>
        <w:t>Susser</w:t>
      </w:r>
      <w:proofErr w:type="spellEnd"/>
      <w:r>
        <w:t xml:space="preserve">, J. A., Mulligan, N. W., &amp; </w:t>
      </w:r>
      <w:proofErr w:type="spellStart"/>
      <w:r>
        <w:t>Besken</w:t>
      </w:r>
      <w:proofErr w:type="spellEnd"/>
      <w:r>
        <w:t xml:space="preserve">,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w:t>
      </w:r>
      <w:proofErr w:type="spellStart"/>
      <w:r w:rsidRPr="00B46C4C">
        <w:t>Sanson</w:t>
      </w:r>
      <w:proofErr w:type="spellEnd"/>
      <w:r w:rsidRPr="00B46C4C">
        <w:t xml:space="preserve">, M., Burnell, R., Wade, K. A., &amp; Garry, M. (2020). Disfluent difficulties </w:t>
      </w:r>
      <w:proofErr w:type="gramStart"/>
      <w:r w:rsidRPr="00B46C4C">
        <w:t>are</w:t>
      </w:r>
      <w:proofErr w:type="gramEnd"/>
      <w:r w:rsidRPr="00B46C4C">
        <w:t xml:space="preserv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proofErr w:type="spellStart"/>
      <w:r w:rsidRPr="003F2CE5">
        <w:t>Undorf</w:t>
      </w:r>
      <w:proofErr w:type="spellEnd"/>
      <w:r w:rsidRPr="003F2CE5">
        <w:t xml:space="preserve">, M., </w:t>
      </w:r>
      <w:proofErr w:type="spellStart"/>
      <w:r w:rsidRPr="003F2CE5">
        <w:t>Zimdahl</w:t>
      </w:r>
      <w:proofErr w:type="spellEnd"/>
      <w:r w:rsidRPr="003F2CE5">
        <w:t xml:space="preserve">, M. F., &amp; Bernstein, D. M. (2017). Perceptual fluency contributes to </w:t>
      </w:r>
      <w:proofErr w:type="gramStart"/>
      <w:r w:rsidRPr="003F2CE5">
        <w:t>effects</w:t>
      </w:r>
      <w:proofErr w:type="gramEnd"/>
      <w:r w:rsidRPr="003F2CE5">
        <w:t xml:space="preserve">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proofErr w:type="spellStart"/>
      <w:r w:rsidRPr="00B46C4C">
        <w:t>Wagenmakers</w:t>
      </w:r>
      <w:proofErr w:type="spellEnd"/>
      <w:r w:rsidRPr="00B46C4C">
        <w:t xml:space="preserve">,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2"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3" w:name="_Hlk32942520"/>
      <w:bookmarkEnd w:id="2"/>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3"/>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4"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bookmarkEnd w:id="4"/>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0E343A64" w:rsidR="004F4584" w:rsidRDefault="004F4584" w:rsidP="00BE2FBD">
      <w:pPr>
        <w:tabs>
          <w:tab w:val="left" w:pos="9360"/>
        </w:tabs>
        <w:spacing w:line="480" w:lineRule="auto"/>
        <w:contextualSpacing/>
        <w:rPr>
          <w:u w:val="single"/>
        </w:rPr>
      </w:pPr>
      <w:r w:rsidRPr="008E75DA">
        <w:rPr>
          <w:u w:val="single"/>
        </w:rPr>
        <w:tab/>
      </w:r>
    </w:p>
    <w:p w14:paraId="04B0C94D" w14:textId="77777777" w:rsidR="00A52751" w:rsidRDefault="00A52751" w:rsidP="00BE2FBD">
      <w:pPr>
        <w:tabs>
          <w:tab w:val="left" w:pos="9360"/>
        </w:tabs>
        <w:spacing w:line="480" w:lineRule="auto"/>
        <w:contextualSpacing/>
        <w:rPr>
          <w:rFonts w:eastAsiaTheme="minorHAnsi"/>
        </w:rPr>
      </w:pP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lastRenderedPageBreak/>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5"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5"/>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E9A8C" w14:textId="77777777" w:rsidR="00463F46" w:rsidRDefault="00463F46" w:rsidP="00D60570">
      <w:r>
        <w:separator/>
      </w:r>
    </w:p>
  </w:endnote>
  <w:endnote w:type="continuationSeparator" w:id="0">
    <w:p w14:paraId="7438738C" w14:textId="77777777" w:rsidR="00463F46" w:rsidRDefault="00463F46"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9202C" w14:textId="77777777" w:rsidR="00463F46" w:rsidRDefault="00463F46" w:rsidP="00D60570">
      <w:r>
        <w:separator/>
      </w:r>
    </w:p>
  </w:footnote>
  <w:footnote w:type="continuationSeparator" w:id="0">
    <w:p w14:paraId="45035192" w14:textId="77777777" w:rsidR="00463F46" w:rsidRDefault="00463F46"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E742FE" w:rsidRDefault="00E742F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E742FE" w:rsidRDefault="00E74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D5467"/>
    <w:rsid w:val="002F3BBE"/>
    <w:rsid w:val="002F569A"/>
    <w:rsid w:val="002F7721"/>
    <w:rsid w:val="003027BB"/>
    <w:rsid w:val="00304097"/>
    <w:rsid w:val="003064CC"/>
    <w:rsid w:val="00312019"/>
    <w:rsid w:val="003139B6"/>
    <w:rsid w:val="00316756"/>
    <w:rsid w:val="00316E52"/>
    <w:rsid w:val="0032210B"/>
    <w:rsid w:val="00325438"/>
    <w:rsid w:val="003260DD"/>
    <w:rsid w:val="0033073F"/>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85BE8"/>
    <w:rsid w:val="00395E08"/>
    <w:rsid w:val="003A0927"/>
    <w:rsid w:val="003A1A49"/>
    <w:rsid w:val="003B0C2D"/>
    <w:rsid w:val="003B0E7F"/>
    <w:rsid w:val="003B1D40"/>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63F46"/>
    <w:rsid w:val="00470A2E"/>
    <w:rsid w:val="00473A8E"/>
    <w:rsid w:val="00480604"/>
    <w:rsid w:val="004825FE"/>
    <w:rsid w:val="00490BA5"/>
    <w:rsid w:val="004A5AF6"/>
    <w:rsid w:val="004B3172"/>
    <w:rsid w:val="004B3FE0"/>
    <w:rsid w:val="004B4104"/>
    <w:rsid w:val="004B4B67"/>
    <w:rsid w:val="004C26F9"/>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5DF"/>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4AD3"/>
    <w:rsid w:val="005C785A"/>
    <w:rsid w:val="005D2BAA"/>
    <w:rsid w:val="005D716B"/>
    <w:rsid w:val="005E01CB"/>
    <w:rsid w:val="005E0261"/>
    <w:rsid w:val="005E740D"/>
    <w:rsid w:val="005F3EBE"/>
    <w:rsid w:val="00601701"/>
    <w:rsid w:val="006040FF"/>
    <w:rsid w:val="0060429D"/>
    <w:rsid w:val="00611B4A"/>
    <w:rsid w:val="00612E7E"/>
    <w:rsid w:val="00615552"/>
    <w:rsid w:val="00621135"/>
    <w:rsid w:val="0062139C"/>
    <w:rsid w:val="00621CF1"/>
    <w:rsid w:val="00626777"/>
    <w:rsid w:val="00645C63"/>
    <w:rsid w:val="00647564"/>
    <w:rsid w:val="00654492"/>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0B3D"/>
    <w:rsid w:val="007C119A"/>
    <w:rsid w:val="007C4F27"/>
    <w:rsid w:val="007D0D68"/>
    <w:rsid w:val="007D1331"/>
    <w:rsid w:val="007D21FB"/>
    <w:rsid w:val="007D6684"/>
    <w:rsid w:val="007E1156"/>
    <w:rsid w:val="007E21D8"/>
    <w:rsid w:val="007E3E80"/>
    <w:rsid w:val="007F4288"/>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64464"/>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2484"/>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83390"/>
    <w:rsid w:val="0099010B"/>
    <w:rsid w:val="009A0ADC"/>
    <w:rsid w:val="009A3399"/>
    <w:rsid w:val="009A5EAF"/>
    <w:rsid w:val="009A6608"/>
    <w:rsid w:val="009B58CA"/>
    <w:rsid w:val="009B70A4"/>
    <w:rsid w:val="009B7760"/>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5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386D"/>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1D4A"/>
    <w:rsid w:val="00C626DB"/>
    <w:rsid w:val="00C6470C"/>
    <w:rsid w:val="00C72F44"/>
    <w:rsid w:val="00C738F1"/>
    <w:rsid w:val="00C741B9"/>
    <w:rsid w:val="00C768CD"/>
    <w:rsid w:val="00C7704B"/>
    <w:rsid w:val="00C80A7C"/>
    <w:rsid w:val="00C85819"/>
    <w:rsid w:val="00C96E1B"/>
    <w:rsid w:val="00CA753F"/>
    <w:rsid w:val="00CB6302"/>
    <w:rsid w:val="00CC0EB4"/>
    <w:rsid w:val="00CC124C"/>
    <w:rsid w:val="00CC5212"/>
    <w:rsid w:val="00CD1625"/>
    <w:rsid w:val="00CD57BE"/>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A52"/>
    <w:rsid w:val="00D63E8B"/>
    <w:rsid w:val="00D64EF6"/>
    <w:rsid w:val="00D728F7"/>
    <w:rsid w:val="00D7530E"/>
    <w:rsid w:val="00D81F66"/>
    <w:rsid w:val="00D90240"/>
    <w:rsid w:val="00D90264"/>
    <w:rsid w:val="00D97D05"/>
    <w:rsid w:val="00DA0D3C"/>
    <w:rsid w:val="00DA658F"/>
    <w:rsid w:val="00DB2BB0"/>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7D5"/>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42FE"/>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350F3"/>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46</Pages>
  <Words>10322</Words>
  <Characters>58841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cp:lastPrinted>2021-04-08T16:38:00Z</cp:lastPrinted>
  <dcterms:created xsi:type="dcterms:W3CDTF">2021-04-09T21:28:00Z</dcterms:created>
  <dcterms:modified xsi:type="dcterms:W3CDTF">2021-05-06T20:38:00Z</dcterms:modified>
</cp:coreProperties>
</file>