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DF4FBE1" w:rsidR="001047EF" w:rsidRDefault="001047EF"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3ED0902D" w14:textId="6237DA8C" w:rsidR="001047EF" w:rsidRDefault="001047EF" w:rsidP="001047EF">
      <w:pPr>
        <w:spacing w:line="480" w:lineRule="auto"/>
        <w:jc w:val="center"/>
      </w:pPr>
    </w:p>
    <w:p w14:paraId="13DEAE95" w14:textId="3F2AE38E" w:rsidR="00D60570" w:rsidRDefault="00D60570">
      <w:pPr>
        <w:spacing w:after="160" w:line="259" w:lineRule="auto"/>
      </w:pPr>
    </w:p>
    <w:p w14:paraId="6B688DC8" w14:textId="77777777" w:rsidR="00AC3017" w:rsidRDefault="00AC3017">
      <w:pPr>
        <w:spacing w:after="160" w:line="259" w:lineRule="auto"/>
      </w:pP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53869C92" w:rsidR="0089105C" w:rsidRDefault="0089105C" w:rsidP="00D60570">
      <w:pPr>
        <w:pStyle w:val="NormalWeb"/>
        <w:spacing w:before="0" w:beforeAutospacing="0" w:after="0" w:afterAutospacing="0" w:line="480" w:lineRule="auto"/>
      </w:pPr>
      <w:r>
        <w:t>T</w:t>
      </w:r>
      <w:r w:rsidR="00EA3BA5">
        <w:t xml:space="preserve">he judgment of learning task (JOL)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t>examined</w:t>
      </w:r>
      <w:r w:rsidR="00EA3BA5">
        <w:t xml:space="preserve"> font size and highlighting effects on JOLs using only unrelated pairs. Finally, Experiment 3 tested whether Sans Forgetica—a perceptually </w:t>
      </w:r>
      <w:r>
        <w:t xml:space="preserve">disfluent </w:t>
      </w:r>
      <w:r w:rsidR="00EA3BA5">
        <w:t xml:space="preserve">font designed to improve memory—would result in inflated JOLs. Across experiments, the </w:t>
      </w:r>
      <w:r>
        <w:t>pairs designed to be perceptually fluent</w:t>
      </w:r>
      <w:r w:rsidR="00EA3BA5">
        <w:t xml:space="preserve"> did not result in an overestimation of later recall relative to non-</w:t>
      </w:r>
      <w:r w:rsidR="00C626DB">
        <w:t xml:space="preserve">fluent </w:t>
      </w:r>
      <w:r w:rsidR="00EA3BA5">
        <w:t xml:space="preserve">conditions, and Sans Forgetica font in Experiment 3 yielded a memory cost (though no effect on JOLs). Collectively, perceptually </w:t>
      </w:r>
      <w:r>
        <w:t xml:space="preserve">fluent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78CBB154" w:rsidR="00D60570" w:rsidRDefault="00D60570" w:rsidP="00D60570">
      <w:pPr>
        <w:pStyle w:val="NormalWeb"/>
        <w:spacing w:before="0" w:beforeAutospacing="0" w:after="0" w:afterAutospacing="0" w:line="480" w:lineRule="auto"/>
      </w:pPr>
      <w:r>
        <w:t xml:space="preserve">Word Count: </w:t>
      </w:r>
      <w:r w:rsidR="00B70E13">
        <w:t>23</w:t>
      </w:r>
      <w:r w:rsidR="0036427B">
        <w:t>8</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43DFED39"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Nelson &amp; Narens,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can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their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68BD9830"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Nelson &amp; Dunlosky,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has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pair </w:t>
      </w:r>
      <w:r w:rsidR="0029360E" w:rsidRPr="00C768CD">
        <w:t>types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t xml:space="preserve">associates in which the </w:t>
      </w:r>
      <w:r w:rsidR="0029360E" w:rsidRPr="00AA5ECB">
        <w:lastRenderedPageBreak/>
        <w:t>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in</w:t>
      </w:r>
      <w:r w:rsidR="0060429D" w:rsidRPr="00AA5ECB">
        <w:t xml:space="preserve"> </w:t>
      </w:r>
      <w:r w:rsidR="0029360E" w:rsidRPr="00AA5ECB">
        <w:t>which</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Koriat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but only when cues are associated in the forward direction to the target.</w:t>
      </w:r>
      <w:r w:rsidR="00E761AE">
        <w:t xml:space="preserve"> </w:t>
      </w:r>
    </w:p>
    <w:p w14:paraId="196F8EA0" w14:textId="3E56D674"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 making</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r>
        <w:t xml:space="preserve">Reber, Winkileman, and Schwarz, 1998), </w:t>
      </w:r>
      <w:r w:rsidR="00B07947">
        <w:t xml:space="preserve">veridicality </w:t>
      </w:r>
      <w:r w:rsidR="00DE2CFA">
        <w:t xml:space="preserve">judgments </w:t>
      </w:r>
      <w:r w:rsidR="00B07947">
        <w:t>(e.g</w:t>
      </w:r>
      <w:r w:rsidR="00DE2CFA">
        <w:t>.</w:t>
      </w:r>
      <w:r w:rsidR="00B07947">
        <w:t>, truthfulness of statements; Reber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CE47FB" w:rsidRPr="00480604">
        <w:t>Reber</w:t>
      </w:r>
      <w:r>
        <w:t xml:space="preserve"> et al.</w:t>
      </w:r>
      <w:r w:rsidR="00CE47FB" w:rsidRPr="00480604">
        <w:t xml:space="preserve"> (1998)</w:t>
      </w:r>
      <w:r w:rsidR="00CE47FB" w:rsidRPr="00AA5ECB">
        <w:t xml:space="preserve"> </w:t>
      </w:r>
      <w:r w:rsidR="001E396F">
        <w:lastRenderedPageBreak/>
        <w:t>reported</w:t>
      </w:r>
      <w:r w:rsidR="00CE47FB" w:rsidRPr="00AA5ECB">
        <w:t xml:space="preserve"> </w:t>
      </w:r>
      <w:r w:rsidR="00E9677F">
        <w:t>that participants judge</w:t>
      </w:r>
      <w:r w:rsidR="00CE47FB" w:rsidRPr="00AA5ECB">
        <w:t xml:space="preserve"> perceptually fluent items as </w:t>
      </w:r>
      <w:r w:rsidR="0032210B" w:rsidRPr="00AA5ECB">
        <w:t xml:space="preserve">being </w:t>
      </w:r>
      <w:r w:rsidR="00CE47FB" w:rsidRPr="00AA5ECB">
        <w:t xml:space="preserve">more affectively pleasing relative to disfluent items. </w:t>
      </w:r>
      <w:r w:rsidR="00C6470C">
        <w:t>Additionally</w:t>
      </w:r>
      <w:r w:rsidR="00CE47FB" w:rsidRPr="00AA5ECB">
        <w:t xml:space="preserve">, </w:t>
      </w:r>
      <w:r w:rsidR="00E335D5" w:rsidRPr="007262B1">
        <w:t>Reber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statements that were more perceptually fluent (e.g., </w:t>
      </w:r>
      <w:r w:rsidR="00035DB2">
        <w:t>a statement presented in black ink against a white background</w:t>
      </w:r>
      <w:r w:rsidR="001E396F">
        <w:t>) as more likely to be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Thus, ease-of-processing can influence the judgment </w:t>
      </w:r>
      <w:r w:rsidR="007C119A">
        <w:t>p</w:t>
      </w:r>
      <w:r w:rsidR="005B7394">
        <w:t>rocess.</w:t>
      </w:r>
    </w:p>
    <w:p w14:paraId="1CBDCABC" w14:textId="6E46CE28"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a large </w:t>
      </w:r>
      <w:r w:rsidR="001E396F">
        <w:t>versus</w:t>
      </w:r>
      <w:r w:rsidR="00FD133B" w:rsidRPr="00AA5ECB">
        <w:t xml:space="preserve"> </w:t>
      </w:r>
      <w:r w:rsidR="00BC69B7" w:rsidRPr="00AA5ECB">
        <w:t>small font</w:t>
      </w:r>
      <w:r w:rsidR="001E396F">
        <w:t>s</w:t>
      </w:r>
      <w:r w:rsidR="00B70E13">
        <w:t>, however, this increase in JOLs did not translate to recall in which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effect was largely driven by the additional ease-of-processing afforded by the large 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HoUsE)</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 2008).</w:t>
      </w:r>
    </w:p>
    <w:p w14:paraId="182F2EF9" w14:textId="5E6F42EA"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Su, Liu, </w:t>
      </w:r>
      <w:r w:rsidR="00B70E13">
        <w:t>and</w:t>
      </w:r>
      <w:r w:rsidR="00B70E13" w:rsidRPr="007262B1">
        <w:t xml:space="preserve"> </w:t>
      </w:r>
      <w:r w:rsidR="004C4057" w:rsidRPr="007262B1">
        <w:t xml:space="preserve">Luo </w:t>
      </w:r>
      <w:r w:rsidR="00B17608" w:rsidRPr="007262B1">
        <w:t>(2015)</w:t>
      </w:r>
      <w:r w:rsidR="00B17608">
        <w:t xml:space="preserve"> </w:t>
      </w:r>
      <w:r w:rsidR="00B17608">
        <w:lastRenderedPageBreak/>
        <w:t>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word that was being viewed. </w:t>
      </w:r>
      <w:r w:rsidR="00287912">
        <w:t>Participants in both group</w:t>
      </w:r>
      <w:r w:rsidR="00B70E13">
        <w:t>s</w:t>
      </w:r>
      <w:r w:rsidR="00287912">
        <w:t xml:space="preserve"> provided higher JOLs for large than small 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2440B543"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 xml:space="preserve">the </w:t>
      </w:r>
      <w:r w:rsidR="001A36E9">
        <w:t>greater perceptual fluency of larger words</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r w:rsidR="001A36E9" w:rsidRPr="007262B1">
        <w:t>Undorf, Zimdahl,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w:t>
      </w:r>
      <w:r w:rsidR="00D47047">
        <w:lastRenderedPageBreak/>
        <w:t xml:space="preserve">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gradually decreased over time such that </w:t>
      </w:r>
      <w:r w:rsidR="00C14223">
        <w:t xml:space="preserve">the word </w:t>
      </w:r>
      <w:r w:rsidR="00692ADE">
        <w:t xml:space="preserve">was made </w:t>
      </w:r>
      <w:r w:rsidR="00D47047">
        <w:t xml:space="preserve">visible on the screen for longer durations </w:t>
      </w:r>
      <w:r w:rsidR="00DB2D9D">
        <w:t>(e.g., 20 ms in the first cycle</w:t>
      </w:r>
      <w:r w:rsidR="00645C63">
        <w:t xml:space="preserve">, </w:t>
      </w:r>
      <w:r w:rsidR="00DB2D9D">
        <w:t>40 ms in the second cycle</w:t>
      </w:r>
      <w:r w:rsidR="00645C63">
        <w:t>, etc.</w:t>
      </w:r>
      <w:r w:rsidR="00DB2D9D">
        <w:t>)</w:t>
      </w:r>
      <w:r w:rsidR="00645C63">
        <w:t>.</w:t>
      </w:r>
      <w:r w:rsidR="00D47047">
        <w:t xml:space="preserve"> </w:t>
      </w:r>
      <w:r w:rsidR="00645C63">
        <w:t>The goal of this task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Like Undorf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5E60EA0B"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45AF8A2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r w:rsidR="00130381" w:rsidRPr="00312019">
        <w:t>Besken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w:t>
      </w:r>
      <w:r w:rsidR="0096521D">
        <w:lastRenderedPageBreak/>
        <w:t>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appear to 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50C6AB8E" w:rsidR="00470A2E" w:rsidRPr="00AA5ECB" w:rsidRDefault="00680619" w:rsidP="0083060B">
      <w:pPr>
        <w:pStyle w:val="NormalWeb"/>
        <w:spacing w:before="0" w:beforeAutospacing="0" w:after="0" w:afterAutospacing="0" w:line="480" w:lineRule="auto"/>
        <w:ind w:firstLine="720"/>
      </w:pPr>
      <w:r>
        <w:t xml:space="preserve">Finally, we expand upon previous work (e.g., Rhodes &amp; Castel, 2008) by including a </w:t>
      </w:r>
      <w:r w:rsidR="009D37B3">
        <w:t xml:space="preserve">pure </w:t>
      </w:r>
      <w:r>
        <w:t>control group</w:t>
      </w:r>
      <w:r w:rsidR="00CD5D48">
        <w:t xml:space="preserve"> comparison in which only one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controls</w:t>
      </w:r>
      <w:r>
        <w:t xml:space="preserve"> were included because encoding manipulations have been shown to spill over into other encoding tasks when encoding is manipulated within-subjects </w:t>
      </w:r>
      <w:r w:rsidRPr="00F531A5">
        <w:t>(</w:t>
      </w:r>
      <w:r w:rsidR="00CD5D48">
        <w:t xml:space="preserve">Bodner, Taikh,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more accurately </w:t>
      </w:r>
      <w:r w:rsidR="00CD5D48">
        <w:t>gauge perceptual effects on JOLs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07ACBC2A"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large 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w:t>
      </w:r>
      <w:r w:rsidRPr="00AA5ECB">
        <w:rPr>
          <w:color w:val="000000"/>
        </w:rPr>
        <w:lastRenderedPageBreak/>
        <w:t xml:space="preserve">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3A1A49">
        <w:rPr>
          <w:color w:val="000000"/>
        </w:rPr>
        <w:t>testing for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3A1A49">
        <w:rPr>
          <w:color w:val="000000"/>
        </w:rPr>
        <w:t>symmetrical</w:t>
      </w:r>
      <w:r w:rsidR="00E46BF7">
        <w:rPr>
          <w:color w:val="000000"/>
        </w:rPr>
        <w:t>,</w:t>
      </w:r>
      <w:r w:rsidR="003A1A49">
        <w:rPr>
          <w:color w:val="000000"/>
        </w:rPr>
        <w:t xml:space="preserve"> </w:t>
      </w:r>
      <w:r w:rsidRPr="00AA5ECB">
        <w:rPr>
          <w:color w:val="000000"/>
        </w:rPr>
        <w:t>and unrelated pair</w:t>
      </w:r>
      <w:r w:rsidR="00C613E7">
        <w:rPr>
          <w:color w:val="000000"/>
        </w:rPr>
        <w:t xml:space="preserve"> types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0" w:name="_Hlk66192466"/>
    </w:p>
    <w:bookmarkEnd w:id="0"/>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w:t>
      </w:r>
      <w:r w:rsidRPr="00AA5ECB">
        <w:rPr>
          <w:color w:val="000000"/>
        </w:rPr>
        <w:lastRenderedPageBreak/>
        <w:t xml:space="preserve">and unrelated pairs, and 10 buffer pairs. Study materials for all experiments have been made 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05912163"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word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w:t>
      </w:r>
      <w:r w:rsidRPr="00AA5ECB">
        <w:lastRenderedPageBreak/>
        <w:t>be tested following study, with only the cue word presented at test. In addition to studying the 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29640398"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This screening process removed less than 0.5% of the total observations.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(Masson, 2011; Wagenmakers,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 xml:space="preserve">s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60370D71"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in large and small 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 small font sizes and increased font sizes had no effect when compared 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4ED5A079"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in a yellow-highlight format and the other half were presented in a standard non-highlight format. All pairs were presented using the same font size with the only perceptual difference being the difference in highlight presentation. </w:t>
      </w:r>
      <w:r w:rsidR="00CC0EB4">
        <w:rPr>
          <w:color w:val="000000"/>
        </w:rPr>
        <w:t xml:space="preserve">Under </w:t>
      </w:r>
      <w:r w:rsidR="00CC0EB4">
        <w:rPr>
          <w:color w:val="000000"/>
        </w:rPr>
        <w:lastRenderedPageBreak/>
        <w:t>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p>
    <w:p w14:paraId="4F76B2EA" w14:textId="502FB718" w:rsidR="00AA5ECB" w:rsidRPr="00AA5ECB" w:rsidRDefault="00AA5ECB" w:rsidP="00BE2FBD">
      <w:pPr>
        <w:spacing w:before="240" w:line="480" w:lineRule="auto"/>
        <w:ind w:firstLine="720"/>
        <w:contextualSpacing/>
        <w:textAlignment w:val="baseline"/>
        <w:rPr>
          <w:color w:val="000000"/>
        </w:rPr>
      </w:pPr>
      <w:r w:rsidRPr="00AA5ECB">
        <w:rPr>
          <w:color w:val="000000"/>
        </w:rPr>
        <w:t xml:space="preserve">Like Experiment 1A, we expected that highlighting pairs would make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large 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small 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302D4A21"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was again used in Experiment 1B with the only difference being the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w:t>
      </w:r>
      <w:r w:rsidRPr="00AA5ECB">
        <w:rPr>
          <w:color w:val="000000"/>
        </w:rPr>
        <w:lastRenderedPageBreak/>
        <w:t xml:space="preserve">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E487605"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as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345C22FF"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control 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790B5B">
        <w:rPr>
          <w:color w:val="000000"/>
          <w:vertAlign w:val="subscript"/>
        </w:rPr>
        <w:t>BICs</w:t>
      </w:r>
      <w:r w:rsidRPr="00AA5ECB">
        <w:rPr>
          <w:color w:val="000000"/>
        </w:rPr>
        <w:t xml:space="preserve"> &gt; .99. Collectively, highlighting pairs had no effect on JOLs or recall rates when compared to either no-highlight pairs in a mixed list or when compared to 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5F9ABA22" w:rsidR="00C474C2" w:rsidRPr="00C474C2" w:rsidRDefault="00FB0167" w:rsidP="00C474C2">
      <w:pPr>
        <w:spacing w:line="480" w:lineRule="auto"/>
        <w:ind w:firstLine="720"/>
        <w:contextualSpacing/>
        <w:textAlignment w:val="baseline"/>
      </w:pPr>
      <w:r>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in the previous experiments may have negated potential</w:t>
      </w:r>
      <w:r w:rsidR="00B91F6B">
        <w:t xml:space="preserve"> fluency</w:t>
      </w:r>
      <w:r w:rsidR="0007618B">
        <w:t xml:space="preserve"> effects</w:t>
      </w:r>
      <w:r w:rsidR="000C70A7">
        <w:t xml:space="preserve"> </w:t>
      </w:r>
      <w:r w:rsidR="00B91F6B">
        <w:t>on JOLs</w:t>
      </w:r>
      <w:r w:rsidR="0007618B">
        <w:t xml:space="preserve">. </w:t>
      </w:r>
      <w:r w:rsidR="00692200">
        <w:t xml:space="preserve">To </w:t>
      </w:r>
      <w:r w:rsidR="00692200">
        <w:lastRenderedPageBreak/>
        <w:t>test this possibility, Experiments 2A and 2</w:t>
      </w:r>
      <w:r w:rsidR="0007618B">
        <w:t xml:space="preserve">B </w:t>
      </w:r>
      <w:r w:rsidR="009E5874">
        <w:t>followed the</w:t>
      </w:r>
      <w:r w:rsidR="000C70A7">
        <w:t xml:space="preserve"> Experiments 1A and 1B</w:t>
      </w:r>
      <w:r w:rsidR="009E5874">
        <w:t xml:space="preserve"> methods but with</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font-si</w:t>
      </w:r>
      <w:r w:rsidR="00114EA4">
        <w:rPr>
          <w:color w:val="000000"/>
        </w:rPr>
        <w:t>z</w:t>
      </w:r>
      <w:r w:rsidR="004E0E2E">
        <w:rPr>
          <w:color w:val="000000"/>
        </w:rPr>
        <w:t xml:space="preserve">e, </w:t>
      </w:r>
      <w:r w:rsidRPr="0078519B">
        <w:rPr>
          <w:color w:val="000000"/>
        </w:rPr>
        <w:t xml:space="preserve">now that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0F5C2190"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6D93C4C3"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statistically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.35. Importantly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lastRenderedPageBreak/>
        <w:t>Experiment 2B: Highlighting Effects on Pure Unrelated Lists</w:t>
      </w:r>
    </w:p>
    <w:p w14:paraId="7CAB8530" w14:textId="5044A7F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xperiments, a control group comparison</w:t>
      </w:r>
      <w:r w:rsidR="003B0E7F">
        <w:rPr>
          <w:color w:val="000000"/>
        </w:rPr>
        <w:t xml:space="preserve"> was included</w:t>
      </w:r>
      <w:r w:rsidR="00C17D6D">
        <w:rPr>
          <w:color w:val="000000"/>
        </w:rPr>
        <w:t xml:space="preserve">. Thus, both JOLs and recall for highlighted and non-highlighted pairs were compared to the pure 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w:t>
      </w:r>
      <w:r w:rsidRPr="00AA5ECB">
        <w:rPr>
          <w:color w:val="000000"/>
        </w:rPr>
        <w:lastRenderedPageBreak/>
        <w:t xml:space="preserve">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70078D41"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 /control analysis (27.40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analysis (26.85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6CC2E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to 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3E6C4920" w:rsidR="00114DA5" w:rsidRDefault="00C474C2" w:rsidP="00FF5CB3">
      <w:pPr>
        <w:spacing w:line="480" w:lineRule="auto"/>
        <w:ind w:firstLine="720"/>
        <w:contextualSpacing/>
        <w:textAlignment w:val="baseline"/>
        <w:rPr>
          <w:color w:val="000000"/>
        </w:rPr>
      </w:pPr>
      <w:r>
        <w:rPr>
          <w:color w:val="000000"/>
        </w:rPr>
        <w:t>Because</w:t>
      </w:r>
      <w:r w:rsidR="00D555CF">
        <w:rPr>
          <w:color w:val="000000"/>
        </w:rPr>
        <w:t xml:space="preserve"> </w:t>
      </w:r>
      <w:r w:rsidR="003139B6">
        <w:rPr>
          <w:color w:val="000000"/>
        </w:rPr>
        <w:t>neither</w:t>
      </w:r>
      <w:r>
        <w:rPr>
          <w:color w:val="000000"/>
        </w:rPr>
        <w:t xml:space="preserve"> the font 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disfluent 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w:t>
      </w:r>
      <w:r w:rsidR="008C3658">
        <w:rPr>
          <w:color w:val="000000"/>
        </w:rPr>
        <w:lastRenderedPageBreak/>
        <w:t>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 xml:space="preserve">with some studies showing a memory cost relative to a standard control font </w:t>
      </w:r>
      <w:r w:rsidR="00FF5CB3" w:rsidRPr="003526FA">
        <w:rPr>
          <w:color w:val="000000"/>
        </w:rPr>
        <w:t>(Geller et al., 2020; Taylor et al., 2020</w:t>
      </w:r>
      <w:r w:rsidR="00FF5CB3">
        <w:rPr>
          <w:color w:val="000000"/>
        </w:rPr>
        <w:t xml:space="preserve">). </w:t>
      </w:r>
    </w:p>
    <w:p w14:paraId="01F0A666" w14:textId="082527F6"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114DA5">
        <w:rPr>
          <w:color w:val="000000"/>
        </w:rPr>
        <w:t xml:space="preserve"> </w:t>
      </w:r>
      <w:r w:rsidR="0002461C" w:rsidRPr="0002461C">
        <w:rPr>
          <w:color w:val="000000"/>
        </w:rPr>
        <w:t xml:space="preserve">As such, 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JOLS 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94F3158"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on JOLs and recall. Based on the fluency account, JOLs for Sans Forgetica pairs should be decreased relative to pairs presented using Arial font, as Sans Forgetica is a less perceptually fluent font. 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research indicating that Sans Forgetica does not increase recall and patterns predicted by the </w:t>
      </w:r>
      <w:r>
        <w:rPr>
          <w:color w:val="000000"/>
        </w:rPr>
        <w:lastRenderedPageBreak/>
        <w:t>font-size effect, no effects of Sans Forgetica on memory were expected. Finally, as in the previous experiments, we again included a control group comparison in which all pairs were presented using 32-pt. Arial font.</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01520134"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recruited from The University of Southern Mississippi’s psychology research pool and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JOLS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CFD1F41"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recall (27.33 vs. 22.59). JOLs/recall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w:t>
      </w:r>
      <w:r w:rsidRPr="00AA5ECB">
        <w:rPr>
          <w:color w:val="000000"/>
        </w:rPr>
        <w:lastRenderedPageBreak/>
        <w:t xml:space="preserve">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474029F1"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the 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 context with a</w:t>
      </w:r>
      <w:r w:rsidR="00F94C2D">
        <w:rPr>
          <w:color w:val="000000"/>
        </w:rPr>
        <w:t xml:space="preserve"> disfluent font,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w:t>
      </w:r>
      <w:r w:rsidR="00331D72">
        <w:rPr>
          <w:color w:val="000000"/>
        </w:rPr>
        <w:lastRenderedPageBreak/>
        <w:t xml:space="preserve">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70546F38"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and unrelated stimuli pairs</w:t>
      </w:r>
      <w:r w:rsidR="00CF7215">
        <w:rPr>
          <w:color w:val="000000"/>
        </w:rPr>
        <w:t xml:space="preserve"> 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small 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mixed 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 and small 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the large font size increased both JOLs and recall rates similarly</w:t>
      </w:r>
      <w:r w:rsidR="00746E94">
        <w:rPr>
          <w:color w:val="000000"/>
        </w:rPr>
        <w:t xml:space="preserve"> relative to small font pairs</w:t>
      </w:r>
      <w:r w:rsidR="00CF7215">
        <w:rPr>
          <w:color w:val="000000"/>
        </w:rPr>
        <w:t xml:space="preserve">, JOLs for large 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5B4FC93B"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JOLS 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w:t>
      </w:r>
      <w:r w:rsidR="00CF7215">
        <w:rPr>
          <w:color w:val="000000"/>
        </w:rPr>
        <w:lastRenderedPageBreak/>
        <w:t>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Experiment 2A again found that large 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Forgetica cost. Interestingly, mixed Arial pairs produced greater JOLs and recall rates than Arial pairs in the pure group, suggesting that the mixed list context increased participants both JOLs and the encoding of Arial pairs. </w:t>
      </w:r>
    </w:p>
    <w:p w14:paraId="00567624" w14:textId="353E4509" w:rsidR="0042099C" w:rsidRDefault="00584C5E" w:rsidP="0042099C">
      <w:pPr>
        <w:spacing w:line="480" w:lineRule="auto"/>
        <w:ind w:firstLine="720"/>
        <w:textAlignment w:val="baseline"/>
        <w:rPr>
          <w:color w:val="000000"/>
        </w:rPr>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w:t>
      </w:r>
      <w:r w:rsidR="0042099C">
        <w:lastRenderedPageBreak/>
        <w:t>experiments included a pure 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4DE9BB25" w14:textId="1DD1C516" w:rsidR="00E76E9D" w:rsidRDefault="005E740D" w:rsidP="00E76E9D">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r w:rsidR="00FC48A7">
        <w:rPr>
          <w:sz w:val="24"/>
          <w:szCs w:val="24"/>
        </w:rPr>
        <w:t>Halamish, Nachman, and Katzir, 2018</w:t>
      </w:r>
      <w:r w:rsidR="00AF0C01">
        <w:rPr>
          <w:sz w:val="24"/>
          <w:szCs w:val="24"/>
        </w:rPr>
        <w:t xml:space="preserve"> for a review)</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 xml:space="preserve">a finding consistent with other </w:t>
      </w:r>
      <w:r w:rsidR="00142068">
        <w:rPr>
          <w:sz w:val="24"/>
          <w:szCs w:val="24"/>
        </w:rPr>
        <w:lastRenderedPageBreak/>
        <w:t>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e, Finn, &amp; Molden</w:t>
      </w:r>
      <w:r w:rsidR="00A54991" w:rsidRPr="0044260F">
        <w:rPr>
          <w:sz w:val="24"/>
          <w:szCs w:val="24"/>
        </w:rPr>
        <w:t>, 2011</w:t>
      </w:r>
      <w:r w:rsidR="00372235">
        <w:rPr>
          <w:sz w:val="24"/>
          <w:szCs w:val="24"/>
        </w:rPr>
        <w:t xml:space="preserve">; </w:t>
      </w:r>
      <w:r w:rsidR="00142068" w:rsidRPr="0044260F">
        <w:rPr>
          <w:sz w:val="24"/>
          <w:szCs w:val="24"/>
        </w:rPr>
        <w:t>Muller et al., 2014; Susser</w:t>
      </w:r>
      <w:r w:rsidR="00A07ACB">
        <w:rPr>
          <w:sz w:val="24"/>
          <w:szCs w:val="24"/>
        </w:rPr>
        <w:t>, Mulligan, &amp; Besken</w:t>
      </w:r>
      <w:r w:rsidR="00142068" w:rsidRPr="0044260F">
        <w:rPr>
          <w:sz w:val="24"/>
          <w:szCs w:val="24"/>
        </w:rPr>
        <w:t>., 2013; Undorf</w:t>
      </w:r>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5F58EC2A"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Eskenazi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A44D21">
        <w:rPr>
          <w:sz w:val="24"/>
          <w:szCs w:val="24"/>
        </w:rPr>
        <w:t>sans remembrica</w:t>
      </w:r>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474B78AD" w:rsidR="005B5E28" w:rsidRPr="00B84F7B" w:rsidRDefault="009036EA" w:rsidP="004F0E74">
      <w:pPr>
        <w:spacing w:line="480" w:lineRule="auto"/>
        <w:ind w:firstLine="720"/>
        <w:textAlignment w:val="baseline"/>
        <w:rPr>
          <w:color w:val="000000"/>
        </w:rPr>
      </w:pPr>
      <w:r>
        <w:rPr>
          <w:color w:val="000000"/>
        </w:rPr>
        <w:t xml:space="preserve">Though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4B3FE0">
        <w:rPr>
          <w:color w:val="000000"/>
        </w:rPr>
        <w:t>,</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 xml:space="preserve">Martin (2016) showed that large font increased JOLs using a </w:t>
      </w:r>
      <w:r w:rsidR="00107D18">
        <w:rPr>
          <w:color w:val="000000"/>
        </w:rPr>
        <w:lastRenderedPageBreak/>
        <w:t>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24AC996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xml:space="preserve">. Collectively, this set of experiments provides a greater understanding of how perceptual features influence JOLs and recall, particularly within the context of cued-recall.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r w:rsidRPr="00B46C4C">
        <w:rPr>
          <w:rFonts w:eastAsia="Arial"/>
        </w:rPr>
        <w:t xml:space="preserve">Balota, D. A., Yap, M. J., Hutchison, K. A., Cortese, M. J., Kessler, B., Loftis, B., Neely, J. H., Nelson, D. L., Simpson, G. B, &amp; Treiman, R. (2007). The English lexicon project.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r w:rsidRPr="003F2CE5">
        <w:t xml:space="preserve">Besken,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Taikh,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r>
        <w:rPr>
          <w:rFonts w:eastAsia="Arial"/>
        </w:rPr>
        <w:lastRenderedPageBreak/>
        <w:t xml:space="preserve">Eskenazi,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forgetica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r>
        <w:t xml:space="preserve">Halamish, V., Nachman, H., &amp; Katzir,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r w:rsidRPr="00B46C4C">
        <w:rPr>
          <w:rFonts w:eastAsia="Arial"/>
        </w:rPr>
        <w:t xml:space="preserve">Hanczakowski, M., Zawadzka, K., Pasek, T., &amp; Higham, P. A. (2013). Calibration of metacognitive judgments: Insights from the underconfidence-with-practice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Su,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r w:rsidRPr="003F2CE5">
        <w:rPr>
          <w:i/>
          <w:iCs/>
        </w:rPr>
        <w:t>PloS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r w:rsidRPr="00B46C4C">
        <w:rPr>
          <w:rFonts w:eastAsia="Arial"/>
        </w:rPr>
        <w:t xml:space="preserve">Koriat,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Molden, D. C. (2011). Does easily learned mean easily remembered?: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Dunlosky,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Dunlosky,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Narens,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prestudy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r w:rsidRPr="003F2CE5">
        <w:t xml:space="preserve">Reber,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r w:rsidRPr="00714AE2">
        <w:t xml:space="preserve">Reber, R., Winkielman,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Halamish,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r>
        <w:lastRenderedPageBreak/>
        <w:t xml:space="preserve">Susser, J. A., Mulligan, N. W., &amp; Besken,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Sanson,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r w:rsidRPr="003F2CE5">
        <w:t xml:space="preserve">Undorf, M., Zimdahl,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r w:rsidRPr="00B46C4C">
        <w:t xml:space="preserve">Wagenmakers,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0D183EE4">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2" w:name="_Hlk32942520"/>
      <w:bookmarkEnd w:id="1"/>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2"/>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3"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3"/>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4"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4"/>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EEC16" w14:textId="77777777" w:rsidR="003F146D" w:rsidRDefault="003F146D" w:rsidP="00D60570">
      <w:r>
        <w:separator/>
      </w:r>
    </w:p>
  </w:endnote>
  <w:endnote w:type="continuationSeparator" w:id="0">
    <w:p w14:paraId="66E81DCD" w14:textId="77777777" w:rsidR="003F146D" w:rsidRDefault="003F146D"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C75B0" w14:textId="77777777" w:rsidR="003F146D" w:rsidRDefault="003F146D" w:rsidP="00D60570">
      <w:r>
        <w:separator/>
      </w:r>
    </w:p>
  </w:footnote>
  <w:footnote w:type="continuationSeparator" w:id="0">
    <w:p w14:paraId="2D9868B8" w14:textId="77777777" w:rsidR="003F146D" w:rsidRDefault="003F146D"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36427B" w:rsidRDefault="0036427B">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36427B" w:rsidRDefault="00364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49A3"/>
    <w:rsid w:val="001709A6"/>
    <w:rsid w:val="0018778D"/>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80604"/>
    <w:rsid w:val="004825FE"/>
    <w:rsid w:val="004A5AF6"/>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C4B"/>
    <w:rsid w:val="005674BE"/>
    <w:rsid w:val="00567A1E"/>
    <w:rsid w:val="00577FF8"/>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261"/>
    <w:rsid w:val="005E740D"/>
    <w:rsid w:val="005F3EBE"/>
    <w:rsid w:val="00601701"/>
    <w:rsid w:val="006040FF"/>
    <w:rsid w:val="0060429D"/>
    <w:rsid w:val="00611B4A"/>
    <w:rsid w:val="00612E7E"/>
    <w:rsid w:val="0062139C"/>
    <w:rsid w:val="00626777"/>
    <w:rsid w:val="00645C63"/>
    <w:rsid w:val="00647564"/>
    <w:rsid w:val="00656195"/>
    <w:rsid w:val="00660416"/>
    <w:rsid w:val="006647D2"/>
    <w:rsid w:val="006800C0"/>
    <w:rsid w:val="00680619"/>
    <w:rsid w:val="00692200"/>
    <w:rsid w:val="00692ADE"/>
    <w:rsid w:val="006A3F6C"/>
    <w:rsid w:val="006B045D"/>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119A"/>
    <w:rsid w:val="007C4F27"/>
    <w:rsid w:val="007D0D68"/>
    <w:rsid w:val="007D1331"/>
    <w:rsid w:val="007D21FB"/>
    <w:rsid w:val="007E1156"/>
    <w:rsid w:val="007E21D8"/>
    <w:rsid w:val="007E3E80"/>
    <w:rsid w:val="00800D56"/>
    <w:rsid w:val="00804DA9"/>
    <w:rsid w:val="0080580F"/>
    <w:rsid w:val="00815FDB"/>
    <w:rsid w:val="0083060B"/>
    <w:rsid w:val="00837311"/>
    <w:rsid w:val="00846877"/>
    <w:rsid w:val="00854E03"/>
    <w:rsid w:val="0085674B"/>
    <w:rsid w:val="00861964"/>
    <w:rsid w:val="0086207F"/>
    <w:rsid w:val="008642ED"/>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4166"/>
    <w:rsid w:val="008A706B"/>
    <w:rsid w:val="008B02D8"/>
    <w:rsid w:val="008B60A7"/>
    <w:rsid w:val="008C27CE"/>
    <w:rsid w:val="008C3658"/>
    <w:rsid w:val="008C4633"/>
    <w:rsid w:val="008D022E"/>
    <w:rsid w:val="008D2ECE"/>
    <w:rsid w:val="008D7B93"/>
    <w:rsid w:val="008D7C10"/>
    <w:rsid w:val="008E218C"/>
    <w:rsid w:val="008E4B31"/>
    <w:rsid w:val="008F0EBC"/>
    <w:rsid w:val="009016C8"/>
    <w:rsid w:val="009024F5"/>
    <w:rsid w:val="009036EA"/>
    <w:rsid w:val="009040D1"/>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9010B"/>
    <w:rsid w:val="009A3399"/>
    <w:rsid w:val="009A5EAF"/>
    <w:rsid w:val="009A6608"/>
    <w:rsid w:val="009B58CA"/>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4991"/>
    <w:rsid w:val="00A562D5"/>
    <w:rsid w:val="00A57BCE"/>
    <w:rsid w:val="00A629DF"/>
    <w:rsid w:val="00A656A5"/>
    <w:rsid w:val="00A74214"/>
    <w:rsid w:val="00A80CE4"/>
    <w:rsid w:val="00A832FB"/>
    <w:rsid w:val="00A85CB5"/>
    <w:rsid w:val="00A92667"/>
    <w:rsid w:val="00AA1F78"/>
    <w:rsid w:val="00AA366A"/>
    <w:rsid w:val="00AA5ECB"/>
    <w:rsid w:val="00AA72B4"/>
    <w:rsid w:val="00AA7F14"/>
    <w:rsid w:val="00AB6B3F"/>
    <w:rsid w:val="00AC00C9"/>
    <w:rsid w:val="00AC13A6"/>
    <w:rsid w:val="00AC3017"/>
    <w:rsid w:val="00AC690F"/>
    <w:rsid w:val="00AD0990"/>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85819"/>
    <w:rsid w:val="00CA753F"/>
    <w:rsid w:val="00CB6302"/>
    <w:rsid w:val="00CC0EB4"/>
    <w:rsid w:val="00CC124C"/>
    <w:rsid w:val="00CC5212"/>
    <w:rsid w:val="00CD1625"/>
    <w:rsid w:val="00CD5D48"/>
    <w:rsid w:val="00CE1D23"/>
    <w:rsid w:val="00CE47FB"/>
    <w:rsid w:val="00CF611F"/>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E8B"/>
    <w:rsid w:val="00D64EF6"/>
    <w:rsid w:val="00D728F7"/>
    <w:rsid w:val="00D7530E"/>
    <w:rsid w:val="00D81F66"/>
    <w:rsid w:val="00D90264"/>
    <w:rsid w:val="00D97D05"/>
    <w:rsid w:val="00DA0D3C"/>
    <w:rsid w:val="00DA658F"/>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21B93"/>
    <w:rsid w:val="00F2265B"/>
    <w:rsid w:val="00F33B0C"/>
    <w:rsid w:val="00F33BDF"/>
    <w:rsid w:val="00F43074"/>
    <w:rsid w:val="00F4508F"/>
    <w:rsid w:val="00F463BF"/>
    <w:rsid w:val="00F5072B"/>
    <w:rsid w:val="00F51AA5"/>
    <w:rsid w:val="00F531A5"/>
    <w:rsid w:val="00F6139F"/>
    <w:rsid w:val="00F628E8"/>
    <w:rsid w:val="00F67B9D"/>
    <w:rsid w:val="00F700E6"/>
    <w:rsid w:val="00F750FE"/>
    <w:rsid w:val="00F92EE3"/>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943"/>
    <w:rsid w:val="00FB5D93"/>
    <w:rsid w:val="00FC20DE"/>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10091</Words>
  <Characters>57523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cp:revision>
  <cp:lastPrinted>2021-03-25T20:14:00Z</cp:lastPrinted>
  <dcterms:created xsi:type="dcterms:W3CDTF">2021-03-30T16:16:00Z</dcterms:created>
  <dcterms:modified xsi:type="dcterms:W3CDTF">2021-03-30T16:19:00Z</dcterms:modified>
</cp:coreProperties>
</file>