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1F4D78"/>
          <w:sz w:val="56"/>
        </w:rPr>
        <w:t>PROJECT CLEANUP &amp;</w:t>
        <w:br/>
        <w:t>DOCUMENTATION PLAN</w:t>
      </w:r>
    </w:p>
    <w:p>
      <w:pPr>
        <w:spacing w:after="640"/>
        <w:jc w:val="center"/>
      </w:pPr>
      <w:r>
        <w:rPr>
          <w:rFonts w:ascii="Calibri" w:hAnsi="Calibri"/>
          <w:b w:val="0"/>
          <w:i w:val="0"/>
          <w:color w:val="2E74B5"/>
          <w:sz w:val="28"/>
        </w:rPr>
        <w:t>ApitherapyV2 repository assessment and proposed maintenance model</w:t>
      </w:r>
    </w:p>
    <w:p>
      <w:pPr>
        <w:jc w:val="center"/>
      </w:pPr>
      <w:r>
        <w:rPr>
          <w:rFonts w:ascii="Calibri" w:hAnsi="Calibri"/>
          <w:b w:val="0"/>
          <w:i w:val="0"/>
          <w:color w:val="666666"/>
          <w:sz w:val="22"/>
        </w:rPr>
        <w:t>Prepared from a read-only repository inspection</w:t>
        <w:br/>
        <w:t>1 August 2026</w:t>
      </w:r>
    </w:p>
    <w:p>
      <w:r>
        <w:br w:type="page"/>
      </w:r>
    </w:p>
    <w:p>
      <w:pPr>
        <w:pStyle w:val="Heading1"/>
        <w:keepNext/>
      </w:pPr>
      <w:r>
        <w:t>1. Executive recommendation</w:t>
      </w:r>
    </w:p>
    <w:p>
      <w:pPr>
        <w:spacing w:after="120" w:line="300" w:lineRule="auto"/>
      </w:pPr>
      <w:r>
        <w:rPr>
          <w:rFonts w:ascii="Calibri" w:hAnsi="Calibri"/>
          <w:b w:val="0"/>
          <w:i w:val="0"/>
          <w:color w:val="000000"/>
          <w:sz w:val="22"/>
        </w:rPr>
        <w:t>Proceed in controlled phases, starting with documentation and reversible quarantine. The repository is operational but has accumulated historical plans, one-off migrations, generated emulator exports, backup files, and root-level maintenance scripts. The largest cleanup opportunity is not application source code; it is separating durable assets from generated state, archiving completed work, and making deployment behavior unambiguous.</w:t>
      </w:r>
    </w:p>
    <w:p>
      <w:pPr>
        <w:spacing w:after="120" w:line="300" w:lineRule="auto"/>
      </w:pPr>
      <w:r>
        <w:rPr>
          <w:rFonts w:ascii="Calibri" w:hAnsi="Calibri"/>
          <w:b w:val="0"/>
          <w:i w:val="0"/>
          <w:color w:val="000000"/>
          <w:sz w:val="22"/>
        </w:rPr>
        <w:t>No project files were moved, deleted, or modified during this planning session. This document is the only created artifact. Existing working-tree changes were treated as user-owned and left untouched.</w:t>
      </w:r>
    </w:p>
    <w:p>
      <w:pPr>
        <w:pStyle w:val="Heading2"/>
        <w:keepNext/>
      </w:pPr>
      <w:r>
        <w:t>Key findings</w:t>
      </w:r>
    </w:p>
    <w:p>
      <w:pPr>
        <w:pStyle w:val="ListBullet"/>
        <w:spacing w:after="80" w:line="300" w:lineRule="auto"/>
      </w:pPr>
      <w:r>
        <w:rPr>
          <w:rFonts w:ascii="Calibri" w:hAnsi="Calibri"/>
          <w:b w:val="0"/>
          <w:i w:val="0"/>
          <w:color w:val="000000"/>
          <w:sz w:val="22"/>
        </w:rPr>
        <w:t>The current README is materially inaccurate: it states React 19, Tailwind CSS, and Gemini features, while package/configuration evidence shows React 18, CSS Modules/global CSS, Firebase, and no declared Gemini SDK.</w:t>
      </w:r>
    </w:p>
    <w:p>
      <w:pPr>
        <w:pStyle w:val="ListBullet"/>
        <w:spacing w:after="80" w:line="300" w:lineRule="auto"/>
      </w:pPr>
      <w:r>
        <w:rPr>
          <w:rFonts w:ascii="Calibri" w:hAnsi="Calibri"/>
          <w:b w:val="0"/>
          <w:i w:val="0"/>
          <w:color w:val="000000"/>
          <w:sz w:val="22"/>
        </w:rPr>
        <w:t>The repository has three operating contexts, but only two cloud Firebase projects: local development uses emulators, staging uses apitherapyv2, and production uses apitherapy-c94a6.</w:t>
      </w:r>
    </w:p>
    <w:p>
      <w:pPr>
        <w:pStyle w:val="ListBullet"/>
        <w:spacing w:after="80" w:line="300" w:lineRule="auto"/>
      </w:pPr>
      <w:r>
        <w:rPr>
          <w:rFonts w:ascii="Calibri" w:hAnsi="Calibri"/>
          <w:b w:val="0"/>
          <w:i w:val="0"/>
          <w:color w:val="000000"/>
          <w:sz w:val="22"/>
        </w:rPr>
        <w:t>The historical environment-separation plan describes three independent cloud projects and automated GitHub deployment, but the implemented workflow is local emulators plus manual staging/production PowerShell scripts.</w:t>
      </w:r>
    </w:p>
    <w:p>
      <w:pPr>
        <w:pStyle w:val="ListBullet"/>
        <w:spacing w:after="80" w:line="300" w:lineRule="auto"/>
      </w:pPr>
      <w:r>
        <w:rPr>
          <w:rFonts w:ascii="Calibri" w:hAnsi="Calibri"/>
          <w:b w:val="0"/>
          <w:i w:val="0"/>
          <w:color w:val="000000"/>
          <w:sz w:val="22"/>
        </w:rPr>
        <w:t>No executable automated test suite is presently configured. The testing plan proposes Playwright, but @playwright/test and test scripts are absent.</w:t>
      </w:r>
    </w:p>
    <w:p>
      <w:pPr>
        <w:pStyle w:val="ListBullet"/>
        <w:spacing w:after="80" w:line="300" w:lineRule="auto"/>
      </w:pPr>
      <w:r>
        <w:rPr>
          <w:rFonts w:ascii="Calibri" w:hAnsi="Calibri"/>
          <w:b w:val="0"/>
          <w:i w:val="0"/>
          <w:color w:val="000000"/>
          <w:sz w:val="22"/>
        </w:rPr>
        <w:t>Ignored/generated data occupies substantial local space: node_modules about 522 MB; three Firebase export folders about 61 MB each; emulator-data and its copy about 61 MB each.</w:t>
      </w:r>
    </w:p>
    <w:p>
      <w:pPr>
        <w:pStyle w:val="ListBullet"/>
        <w:spacing w:after="80" w:line="300" w:lineRule="auto"/>
      </w:pPr>
      <w:r>
        <w:rPr>
          <w:rFonts w:ascii="Calibri" w:hAnsi="Calibri"/>
          <w:b w:val="0"/>
          <w:i w:val="0"/>
          <w:color w:val="000000"/>
          <w:sz w:val="22"/>
        </w:rPr>
        <w:t>Two tracked .bak files and several apparently unreferenced source modules deserve targeted verification before removal.</w:t>
      </w:r>
    </w:p>
    <w:p>
      <w:pPr>
        <w:pStyle w:val="Heading1"/>
        <w:keepNext/>
      </w:pPr>
      <w:r>
        <w:t>2. Current-state map</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c>
          <w:tcPr>
            <w:tcW w:type="dxa" w:w="1800"/>
            <w:shd w:fill="E8EEF5"/>
            <w:tcMar>
              <w:top w:w="80" w:type="dxa"/>
              <w:start w:w="120" w:type="dxa"/>
              <w:bottom w:w="80" w:type="dxa"/>
              <w:end w:w="120" w:type="dxa"/>
            </w:tcMar>
            <w:vAlign w:val="center"/>
          </w:tcPr>
          <w:p>
            <w:pPr>
              <w:spacing w:after="0"/>
            </w:pPr>
            <w:r>
              <w:rPr>
                <w:rFonts w:ascii="Calibri" w:hAnsi="Calibri"/>
                <w:b/>
                <w:i w:val="0"/>
                <w:color w:val="1F4D78"/>
                <w:sz w:val="20"/>
              </w:rPr>
              <w:t>Area</w:t>
            </w:r>
          </w:p>
        </w:tc>
        <w:tc>
          <w:tcPr>
            <w:tcW w:type="dxa" w:w="3300"/>
            <w:shd w:fill="E8EEF5"/>
            <w:tcMar>
              <w:top w:w="80" w:type="dxa"/>
              <w:start w:w="120" w:type="dxa"/>
              <w:bottom w:w="80" w:type="dxa"/>
              <w:end w:w="120" w:type="dxa"/>
            </w:tcMar>
            <w:vAlign w:val="center"/>
          </w:tcPr>
          <w:p>
            <w:pPr>
              <w:spacing w:after="0"/>
            </w:pPr>
            <w:r>
              <w:rPr>
                <w:rFonts w:ascii="Calibri" w:hAnsi="Calibri"/>
                <w:b/>
                <w:i w:val="0"/>
                <w:color w:val="1F4D78"/>
                <w:sz w:val="20"/>
              </w:rPr>
              <w:t>Observed state</w:t>
            </w:r>
          </w:p>
        </w:tc>
        <w:tc>
          <w:tcPr>
            <w:tcW w:type="dxa" w:w="4260"/>
            <w:shd w:fill="E8EEF5"/>
            <w:tcMar>
              <w:top w:w="80" w:type="dxa"/>
              <w:start w:w="120" w:type="dxa"/>
              <w:bottom w:w="80" w:type="dxa"/>
              <w:end w:w="120" w:type="dxa"/>
            </w:tcMar>
            <w:vAlign w:val="center"/>
          </w:tcPr>
          <w:p>
            <w:pPr>
              <w:spacing w:after="0"/>
            </w:pPr>
            <w:r>
              <w:rPr>
                <w:rFonts w:ascii="Calibri" w:hAnsi="Calibri"/>
                <w:b/>
                <w:i w:val="0"/>
                <w:color w:val="1F4D78"/>
                <w:sz w:val="20"/>
              </w:rPr>
              <w:t>Implication</w:t>
            </w:r>
          </w:p>
        </w:tc>
      </w:tr>
      <w:tr>
        <w:tc>
          <w:tcPr>
            <w:tcW w:type="dxa" w:w="1800"/>
            <w:tcMar>
              <w:top w:w="80" w:type="dxa"/>
              <w:start w:w="120" w:type="dxa"/>
              <w:bottom w:w="80" w:type="dxa"/>
              <w:end w:w="120" w:type="dxa"/>
            </w:tcMar>
            <w:vAlign w:val="center"/>
          </w:tcPr>
          <w:p>
            <w:pPr>
              <w:spacing w:after="0"/>
            </w:pPr>
            <w:r>
              <w:rPr>
                <w:rFonts w:ascii="Calibri" w:hAnsi="Calibri"/>
                <w:b w:val="0"/>
                <w:i w:val="0"/>
                <w:color w:val="000000"/>
                <w:sz w:val="19"/>
              </w:rPr>
              <w:t>Frontend</w:t>
            </w:r>
          </w:p>
        </w:tc>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React 18 + Vite 5 + TypeScript; CSS Modules/global CSS; React Three Fiber</w:t>
            </w:r>
          </w:p>
        </w:tc>
        <w:tc>
          <w:tcPr>
            <w:tcW w:type="dxa" w:w="4260"/>
            <w:tcMar>
              <w:top w:w="80" w:type="dxa"/>
              <w:start w:w="120" w:type="dxa"/>
              <w:bottom w:w="80" w:type="dxa"/>
              <w:end w:w="120" w:type="dxa"/>
            </w:tcMar>
            <w:vAlign w:val="center"/>
          </w:tcPr>
          <w:p>
            <w:pPr>
              <w:spacing w:after="0"/>
            </w:pPr>
            <w:r>
              <w:rPr>
                <w:rFonts w:ascii="Calibri" w:hAnsi="Calibri"/>
                <w:b w:val="0"/>
                <w:i w:val="0"/>
                <w:color w:val="000000"/>
                <w:sz w:val="19"/>
              </w:rPr>
              <w:t>README and operational docs must be corrected.</w:t>
            </w:r>
          </w:p>
        </w:tc>
      </w:tr>
      <w:tr>
        <w:tc>
          <w:tcPr>
            <w:tcW w:type="dxa" w:w="1800"/>
            <w:tcMar>
              <w:top w:w="80" w:type="dxa"/>
              <w:start w:w="120" w:type="dxa"/>
              <w:bottom w:w="80" w:type="dxa"/>
              <w:end w:w="120" w:type="dxa"/>
            </w:tcMar>
            <w:vAlign w:val="center"/>
          </w:tcPr>
          <w:p>
            <w:pPr>
              <w:spacing w:after="0"/>
            </w:pPr>
            <w:r>
              <w:rPr>
                <w:rFonts w:ascii="Calibri" w:hAnsi="Calibri"/>
                <w:b w:val="0"/>
                <w:i w:val="0"/>
                <w:color w:val="000000"/>
                <w:sz w:val="19"/>
              </w:rPr>
              <w:t>Backend</w:t>
            </w:r>
          </w:p>
        </w:tc>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Firebase Cloud Functions, TypeScript, Node 22; single functions/src/index.ts</w:t>
            </w:r>
          </w:p>
        </w:tc>
        <w:tc>
          <w:tcPr>
            <w:tcW w:type="dxa" w:w="4260"/>
            <w:tcMar>
              <w:top w:w="80" w:type="dxa"/>
              <w:start w:w="120" w:type="dxa"/>
              <w:bottom w:w="80" w:type="dxa"/>
              <w:end w:w="120" w:type="dxa"/>
            </w:tcMar>
            <w:vAlign w:val="center"/>
          </w:tcPr>
          <w:p>
            <w:pPr>
              <w:spacing w:after="0"/>
            </w:pPr>
            <w:r>
              <w:rPr>
                <w:rFonts w:ascii="Calibri" w:hAnsi="Calibri"/>
                <w:b w:val="0"/>
                <w:i w:val="0"/>
                <w:color w:val="000000"/>
                <w:sz w:val="19"/>
              </w:rPr>
              <w:t>Document build/deploy and consider later modularization.</w:t>
            </w:r>
          </w:p>
        </w:tc>
      </w:tr>
      <w:tr>
        <w:tc>
          <w:tcPr>
            <w:tcW w:type="dxa" w:w="1800"/>
            <w:tcMar>
              <w:top w:w="80" w:type="dxa"/>
              <w:start w:w="120" w:type="dxa"/>
              <w:bottom w:w="80" w:type="dxa"/>
              <w:end w:w="120" w:type="dxa"/>
            </w:tcMar>
            <w:vAlign w:val="center"/>
          </w:tcPr>
          <w:p>
            <w:pPr>
              <w:spacing w:after="0"/>
            </w:pPr>
            <w:r>
              <w:rPr>
                <w:rFonts w:ascii="Calibri" w:hAnsi="Calibri"/>
                <w:b w:val="0"/>
                <w:i w:val="0"/>
                <w:color w:val="000000"/>
                <w:sz w:val="19"/>
              </w:rPr>
              <w:t>Data</w:t>
            </w:r>
          </w:p>
        </w:tc>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Firestore, Storage, BigQuery exports; emulator import/export workflows</w:t>
            </w:r>
          </w:p>
        </w:tc>
        <w:tc>
          <w:tcPr>
            <w:tcW w:type="dxa" w:w="4260"/>
            <w:tcMar>
              <w:top w:w="80" w:type="dxa"/>
              <w:start w:w="120" w:type="dxa"/>
              <w:bottom w:w="80" w:type="dxa"/>
              <w:end w:w="120" w:type="dxa"/>
            </w:tcMar>
            <w:vAlign w:val="center"/>
          </w:tcPr>
          <w:p>
            <w:pPr>
              <w:spacing w:after="0"/>
            </w:pPr>
            <w:r>
              <w:rPr>
                <w:rFonts w:ascii="Calibri" w:hAnsi="Calibri"/>
                <w:b w:val="0"/>
                <w:i w:val="0"/>
                <w:color w:val="000000"/>
                <w:sz w:val="19"/>
              </w:rPr>
              <w:t>Data-changing scripts require risk labels and runbooks.</w:t>
            </w:r>
          </w:p>
        </w:tc>
      </w:tr>
      <w:tr>
        <w:tc>
          <w:tcPr>
            <w:tcW w:type="dxa" w:w="1800"/>
            <w:tcMar>
              <w:top w:w="80" w:type="dxa"/>
              <w:start w:w="120" w:type="dxa"/>
              <w:bottom w:w="80" w:type="dxa"/>
              <w:end w:w="120" w:type="dxa"/>
            </w:tcMar>
            <w:vAlign w:val="center"/>
          </w:tcPr>
          <w:p>
            <w:pPr>
              <w:spacing w:after="0"/>
            </w:pPr>
            <w:r>
              <w:rPr>
                <w:rFonts w:ascii="Calibri" w:hAnsi="Calibri"/>
                <w:b w:val="0"/>
                <w:i w:val="0"/>
                <w:color w:val="000000"/>
                <w:sz w:val="19"/>
              </w:rPr>
              <w:t>Deployment</w:t>
            </w:r>
          </w:p>
        </w:tc>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Manual deploy-staging.ps1 and deploy-prod.ps1</w:t>
            </w:r>
          </w:p>
        </w:tc>
        <w:tc>
          <w:tcPr>
            <w:tcW w:type="dxa" w:w="4260"/>
            <w:tcMar>
              <w:top w:w="80" w:type="dxa"/>
              <w:start w:w="120" w:type="dxa"/>
              <w:bottom w:w="80" w:type="dxa"/>
              <w:end w:w="120" w:type="dxa"/>
            </w:tcMar>
            <w:vAlign w:val="center"/>
          </w:tcPr>
          <w:p>
            <w:pPr>
              <w:spacing w:after="0"/>
            </w:pPr>
            <w:r>
              <w:rPr>
                <w:rFonts w:ascii="Calibri" w:hAnsi="Calibri"/>
                <w:b w:val="0"/>
                <w:i w:val="0"/>
                <w:color w:val="000000"/>
                <w:sz w:val="19"/>
              </w:rPr>
              <w:t>Document prerequisites, gates, rollback, and post-deploy checks.</w:t>
            </w:r>
          </w:p>
        </w:tc>
      </w:tr>
      <w:tr>
        <w:tc>
          <w:tcPr>
            <w:tcW w:type="dxa" w:w="1800"/>
            <w:tcMar>
              <w:top w:w="80" w:type="dxa"/>
              <w:start w:w="120" w:type="dxa"/>
              <w:bottom w:w="80" w:type="dxa"/>
              <w:end w:w="120" w:type="dxa"/>
            </w:tcMar>
            <w:vAlign w:val="center"/>
          </w:tcPr>
          <w:p>
            <w:pPr>
              <w:spacing w:after="0"/>
            </w:pPr>
            <w:r>
              <w:rPr>
                <w:rFonts w:ascii="Calibri" w:hAnsi="Calibri"/>
                <w:b w:val="0"/>
                <w:i w:val="0"/>
                <w:color w:val="000000"/>
                <w:sz w:val="19"/>
              </w:rPr>
              <w:t>Testing</w:t>
            </w:r>
          </w:p>
        </w:tc>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Build commands exist; no runnable automated tests in package.json</w:t>
            </w:r>
          </w:p>
        </w:tc>
        <w:tc>
          <w:tcPr>
            <w:tcW w:type="dxa" w:w="4260"/>
            <w:tcMar>
              <w:top w:w="80" w:type="dxa"/>
              <w:start w:w="120" w:type="dxa"/>
              <w:bottom w:w="80" w:type="dxa"/>
              <w:end w:w="120" w:type="dxa"/>
            </w:tcMar>
            <w:vAlign w:val="center"/>
          </w:tcPr>
          <w:p>
            <w:pPr>
              <w:spacing w:after="0"/>
            </w:pPr>
            <w:r>
              <w:rPr>
                <w:rFonts w:ascii="Calibri" w:hAnsi="Calibri"/>
                <w:b w:val="0"/>
                <w:i w:val="0"/>
                <w:color w:val="000000"/>
                <w:sz w:val="19"/>
              </w:rPr>
              <w:t>Define current manual verification honestly; implement tests separately.</w:t>
            </w:r>
          </w:p>
        </w:tc>
      </w:tr>
      <w:tr>
        <w:tc>
          <w:tcPr>
            <w:tcW w:type="dxa" w:w="1800"/>
            <w:tcMar>
              <w:top w:w="80" w:type="dxa"/>
              <w:start w:w="120" w:type="dxa"/>
              <w:bottom w:w="80" w:type="dxa"/>
              <w:end w:w="120" w:type="dxa"/>
            </w:tcMar>
            <w:vAlign w:val="center"/>
          </w:tcPr>
          <w:p>
            <w:pPr>
              <w:spacing w:after="0"/>
            </w:pPr>
            <w:r>
              <w:rPr>
                <w:rFonts w:ascii="Calibri" w:hAnsi="Calibri"/>
                <w:b w:val="0"/>
                <w:i w:val="0"/>
                <w:color w:val="000000"/>
                <w:sz w:val="19"/>
              </w:rPr>
              <w:t>Documentation</w:t>
            </w:r>
          </w:p>
        </w:tc>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Root docs + PastMDocs archive with mixed status and some stale claims</w:t>
            </w:r>
          </w:p>
        </w:tc>
        <w:tc>
          <w:tcPr>
            <w:tcW w:type="dxa" w:w="4260"/>
            <w:tcMar>
              <w:top w:w="80" w:type="dxa"/>
              <w:start w:w="120" w:type="dxa"/>
              <w:bottom w:w="80" w:type="dxa"/>
              <w:end w:w="120" w:type="dxa"/>
            </w:tcMar>
            <w:vAlign w:val="center"/>
          </w:tcPr>
          <w:p>
            <w:pPr>
              <w:spacing w:after="0"/>
            </w:pPr>
            <w:r>
              <w:rPr>
                <w:rFonts w:ascii="Calibri" w:hAnsi="Calibri"/>
                <w:b w:val="0"/>
                <w:i w:val="0"/>
                <w:color w:val="000000"/>
                <w:sz w:val="19"/>
              </w:rPr>
              <w:t>Create a docs hierarchy, index, owners, and lifecycle labels.</w:t>
            </w:r>
          </w:p>
        </w:tc>
      </w:tr>
    </w:tbl>
    <w:p>
      <w:pPr>
        <w:spacing w:after="0"/>
      </w:pPr>
    </w:p>
    <w:p>
      <w:pPr>
        <w:pStyle w:val="Heading1"/>
        <w:keepNext/>
      </w:pPr>
      <w:r>
        <w:t>3. Proposed repository layout</w:t>
      </w:r>
    </w:p>
    <w:p>
      <w:pPr>
        <w:spacing w:after="120" w:line="300" w:lineRule="auto"/>
      </w:pPr>
      <w:r>
        <w:rPr>
          <w:rFonts w:ascii="Calibri" w:hAnsi="Calibri"/>
          <w:b w:val="0"/>
          <w:i w:val="0"/>
          <w:color w:val="000000"/>
          <w:sz w:val="22"/>
        </w:rPr>
        <w:t>Adopt the following layout in a later implementation session. Moves should be performed with git-aware commands and followed immediately by reference updates and validation.</w:t>
      </w:r>
    </w:p>
    <w:tbl>
      <w:tblPr>
        <w:tblStyle w:val="TableGrid"/>
        <w:tblW w:type="dxa" w:w="9360"/>
        <w:jc w:val="left"/>
        <w:tblLayout w:type="fixed"/>
        <w:tblLook w:firstColumn="1" w:firstRow="1" w:lastColumn="0" w:lastRow="0" w:noHBand="0" w:noVBand="1" w:val="04A0"/>
        <w:tblInd w:w="120" w:type="dxa"/>
      </w:tblPr>
      <w:tblGrid>
        <w:gridCol w:w="2300"/>
        <w:gridCol w:w="2500"/>
        <w:gridCol w:w="4560"/>
      </w:tblGrid>
      <w:tr>
        <w:tc>
          <w:tcPr>
            <w:tcW w:type="dxa" w:w="2300"/>
            <w:shd w:fill="E8EEF5"/>
            <w:tcMar>
              <w:top w:w="80" w:type="dxa"/>
              <w:start w:w="120" w:type="dxa"/>
              <w:bottom w:w="80" w:type="dxa"/>
              <w:end w:w="120" w:type="dxa"/>
            </w:tcMar>
            <w:vAlign w:val="center"/>
          </w:tcPr>
          <w:p>
            <w:pPr>
              <w:spacing w:after="0"/>
            </w:pPr>
            <w:r>
              <w:rPr>
                <w:rFonts w:ascii="Calibri" w:hAnsi="Calibri"/>
                <w:b/>
                <w:i w:val="0"/>
                <w:color w:val="1F4D78"/>
                <w:sz w:val="20"/>
              </w:rPr>
              <w:t>Proposed path</w:t>
            </w:r>
          </w:p>
        </w:tc>
        <w:tc>
          <w:tcPr>
            <w:tcW w:type="dxa" w:w="2500"/>
            <w:shd w:fill="E8EEF5"/>
            <w:tcMar>
              <w:top w:w="80" w:type="dxa"/>
              <w:start w:w="120" w:type="dxa"/>
              <w:bottom w:w="80" w:type="dxa"/>
              <w:end w:w="120" w:type="dxa"/>
            </w:tcMar>
            <w:vAlign w:val="center"/>
          </w:tcPr>
          <w:p>
            <w:pPr>
              <w:spacing w:after="0"/>
            </w:pPr>
            <w:r>
              <w:rPr>
                <w:rFonts w:ascii="Calibri" w:hAnsi="Calibri"/>
                <w:b/>
                <w:i w:val="0"/>
                <w:color w:val="1F4D78"/>
                <w:sz w:val="20"/>
              </w:rPr>
              <w:t>Purpose</w:t>
            </w:r>
          </w:p>
        </w:tc>
        <w:tc>
          <w:tcPr>
            <w:tcW w:type="dxa" w:w="4560"/>
            <w:shd w:fill="E8EEF5"/>
            <w:tcMar>
              <w:top w:w="80" w:type="dxa"/>
              <w:start w:w="120" w:type="dxa"/>
              <w:bottom w:w="80" w:type="dxa"/>
              <w:end w:w="120" w:type="dxa"/>
            </w:tcMar>
            <w:vAlign w:val="center"/>
          </w:tcPr>
          <w:p>
            <w:pPr>
              <w:spacing w:after="0"/>
            </w:pPr>
            <w:r>
              <w:rPr>
                <w:rFonts w:ascii="Calibri" w:hAnsi="Calibri"/>
                <w:b/>
                <w:i w:val="0"/>
                <w:color w:val="1F4D78"/>
                <w:sz w:val="20"/>
              </w:rPr>
              <w:t>Likely contents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docs/functional/</w:t>
            </w:r>
          </w:p>
        </w:tc>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User-facing behavior and business rules</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overview, roles, patient workflow, admin/configuration, data concepts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docs/operations/</w:t>
            </w:r>
          </w:p>
        </w:tc>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Maintainer runbooks</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local setup, environments, testing, deployment, backup/restore, troubleshooting</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docs/architecture/</w:t>
            </w:r>
          </w:p>
        </w:tc>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Technical design and decisions</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system overview, Firebase/BigQuery flows, security model, ADRs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docs/archive/</w:t>
            </w:r>
          </w:p>
        </w:tc>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Completed/superseded material</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PastMDocs content, old implementation plans, handovers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scripts/dev/</w:t>
            </w:r>
          </w:p>
        </w:tc>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Local development helpers</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start-dev.js, auto-save-emulator.js, sync-firestore.js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scripts/deploy/</w:t>
            </w:r>
          </w:p>
        </w:tc>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Deployment and environment operations</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deploy scripts, BigQuery sync, backfill scripts, CORS files if script paths are updated</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scripts/migrations/</w:t>
            </w:r>
          </w:p>
        </w:tc>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Repeatable or historical data migrations</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integrity fixes, patient-age migration, URL/path migration</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scripts/diagnostics/</w:t>
            </w:r>
          </w:p>
        </w:tc>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Read-only inspection utilities</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inspect/list/check/probe/size scripts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scripts/fixtures/</w:t>
            </w:r>
          </w:p>
        </w:tc>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Mock/seed utilities</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generate_mock_data, mock sweep, point data helpers</w:t>
            </w:r>
          </w:p>
        </w:tc>
      </w:tr>
      <w:tr>
        <w:tc>
          <w:tcPr>
            <w:tcW w:type="dxa" w:w="2300"/>
            <w:tcMar>
              <w:top w:w="80" w:type="dxa"/>
              <w:start w:w="120" w:type="dxa"/>
              <w:bottom w:w="80" w:type="dxa"/>
              <w:end w:w="120" w:type="dxa"/>
            </w:tcMar>
            <w:vAlign w:val="center"/>
          </w:tcPr>
          <w:p>
            <w:pPr>
              <w:spacing w:after="0"/>
            </w:pPr>
            <w:r>
              <w:rPr>
                <w:rFonts w:ascii="Calibri" w:hAnsi="Calibri"/>
                <w:b w:val="0"/>
                <w:i w:val="0"/>
                <w:color w:val="000000"/>
                <w:sz w:val="19"/>
              </w:rPr>
              <w:t>artifacts/local/ (ignored)</w:t>
            </w:r>
          </w:p>
        </w:tc>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Generated exports/logs only</w:t>
            </w:r>
          </w:p>
        </w:tc>
        <w:tc>
          <w:tcPr>
            <w:tcW w:type="dxa" w:w="4560"/>
            <w:tcMar>
              <w:top w:w="80" w:type="dxa"/>
              <w:start w:w="120" w:type="dxa"/>
              <w:bottom w:w="80" w:type="dxa"/>
              <w:end w:w="120" w:type="dxa"/>
            </w:tcMar>
            <w:vAlign w:val="center"/>
          </w:tcPr>
          <w:p>
            <w:pPr>
              <w:spacing w:after="0"/>
            </w:pPr>
            <w:r>
              <w:rPr>
                <w:rFonts w:ascii="Calibri" w:hAnsi="Calibri"/>
                <w:b w:val="0"/>
                <w:i w:val="0"/>
                <w:color w:val="000000"/>
                <w:sz w:val="19"/>
              </w:rPr>
              <w:t>emulator snapshots, Firebase exports, diagnostic output</w:t>
            </w:r>
          </w:p>
        </w:tc>
      </w:tr>
    </w:tbl>
    <w:p>
      <w:pPr>
        <w:spacing w:after="0"/>
      </w:pPr>
    </w:p>
    <w:p>
      <w:pPr>
        <w:spacing w:after="120" w:line="300" w:lineRule="auto"/>
      </w:pPr>
      <w:r>
        <w:rPr>
          <w:rFonts w:ascii="Calibri" w:hAnsi="Calibri"/>
          <w:b w:val="0"/>
          <w:i w:val="0"/>
          <w:color w:val="000000"/>
          <w:sz w:val="22"/>
        </w:rPr>
        <w:t>Keep at repository root only conventional entry/configuration files and a small set of discoverable commands: README.md, package manifests, TypeScript/Vite/Firebase configuration, security rules/indexes, and optionally thin wrapper deployment scripts.</w:t>
      </w:r>
    </w:p>
    <w:p>
      <w:pPr>
        <w:pStyle w:val="Heading1"/>
        <w:keepNext/>
      </w:pPr>
      <w:r>
        <w:t>4. Candidate disposition matrix</w:t>
      </w:r>
    </w:p>
    <w:p>
      <w:pPr>
        <w:spacing w:after="120" w:line="300" w:lineRule="auto"/>
      </w:pPr>
      <w:r>
        <w:rPr>
          <w:rFonts w:ascii="Calibri" w:hAnsi="Calibri"/>
          <w:b w:val="0"/>
          <w:i w:val="0"/>
          <w:color w:val="000000"/>
          <w:sz w:val="22"/>
        </w:rPr>
        <w:t>A file being unreferenced is evidence, not proof of uselessness. The proposed cleanup uses three confidence levels: remove only when generated or demonstrably redundant; quarantine when likely obsolete; retain when convention, history, or operational need applies.</w:t>
      </w:r>
    </w:p>
    <w:tbl>
      <w:tblPr>
        <w:tblStyle w:val="TableGrid"/>
        <w:tblW w:type="dxa" w:w="9360"/>
        <w:jc w:val="left"/>
        <w:tblLayout w:type="fixed"/>
        <w:tblLook w:firstColumn="1" w:firstRow="1" w:lastColumn="0" w:lastRow="0" w:noHBand="0" w:noVBand="1" w:val="04A0"/>
        <w:tblInd w:w="120" w:type="dxa"/>
      </w:tblPr>
      <w:tblGrid>
        <w:gridCol w:w="2800"/>
        <w:gridCol w:w="3000"/>
        <w:gridCol w:w="3560"/>
      </w:tblGrid>
      <w:tr>
        <w:tc>
          <w:tcPr>
            <w:tcW w:type="dxa" w:w="2800"/>
            <w:shd w:fill="E8EEF5"/>
            <w:tcMar>
              <w:top w:w="80" w:type="dxa"/>
              <w:start w:w="120" w:type="dxa"/>
              <w:bottom w:w="80" w:type="dxa"/>
              <w:end w:w="120" w:type="dxa"/>
            </w:tcMar>
            <w:vAlign w:val="center"/>
          </w:tcPr>
          <w:p>
            <w:pPr>
              <w:spacing w:after="0"/>
            </w:pPr>
            <w:r>
              <w:rPr>
                <w:rFonts w:ascii="Calibri" w:hAnsi="Calibri"/>
                <w:b/>
                <w:i w:val="0"/>
                <w:color w:val="1F4D78"/>
                <w:sz w:val="20"/>
              </w:rPr>
              <w:t>Candidate</w:t>
            </w:r>
          </w:p>
        </w:tc>
        <w:tc>
          <w:tcPr>
            <w:tcW w:type="dxa" w:w="3000"/>
            <w:shd w:fill="E8EEF5"/>
            <w:tcMar>
              <w:top w:w="80" w:type="dxa"/>
              <w:start w:w="120" w:type="dxa"/>
              <w:bottom w:w="80" w:type="dxa"/>
              <w:end w:w="120" w:type="dxa"/>
            </w:tcMar>
            <w:vAlign w:val="center"/>
          </w:tcPr>
          <w:p>
            <w:pPr>
              <w:spacing w:after="0"/>
            </w:pPr>
            <w:r>
              <w:rPr>
                <w:rFonts w:ascii="Calibri" w:hAnsi="Calibri"/>
                <w:b/>
                <w:i w:val="0"/>
                <w:color w:val="1F4D78"/>
                <w:sz w:val="20"/>
              </w:rPr>
              <w:t>Proposal</w:t>
            </w:r>
          </w:p>
        </w:tc>
        <w:tc>
          <w:tcPr>
            <w:tcW w:type="dxa" w:w="3560"/>
            <w:shd w:fill="E8EEF5"/>
            <w:tcMar>
              <w:top w:w="80" w:type="dxa"/>
              <w:start w:w="120" w:type="dxa"/>
              <w:bottom w:w="80" w:type="dxa"/>
              <w:end w:w="120" w:type="dxa"/>
            </w:tcMar>
            <w:vAlign w:val="center"/>
          </w:tcPr>
          <w:p>
            <w:pPr>
              <w:spacing w:after="0"/>
            </w:pPr>
            <w:r>
              <w:rPr>
                <w:rFonts w:ascii="Calibri" w:hAnsi="Calibri"/>
                <w:b/>
                <w:i w:val="0"/>
                <w:color w:val="1F4D78"/>
                <w:sz w:val="20"/>
              </w:rPr>
              <w:t>Confidence / required proof</w:t>
            </w:r>
          </w:p>
        </w:tc>
      </w:tr>
      <w:tr>
        <w:tc>
          <w:tcPr>
            <w:tcW w:type="dxa" w:w="2800"/>
            <w:tcMar>
              <w:top w:w="80" w:type="dxa"/>
              <w:start w:w="120" w:type="dxa"/>
              <w:bottom w:w="80" w:type="dxa"/>
              <w:end w:w="120" w:type="dxa"/>
            </w:tcMar>
            <w:vAlign w:val="center"/>
          </w:tcPr>
          <w:p>
            <w:pPr>
              <w:spacing w:after="0"/>
            </w:pPr>
            <w:r>
              <w:rPr>
                <w:rFonts w:ascii="Calibri" w:hAnsi="Calibri"/>
                <w:b w:val="0"/>
                <w:i w:val="0"/>
                <w:color w:val="000000"/>
                <w:sz w:val="19"/>
              </w:rPr>
              <w:t>src/components/BodyScene.tsx.bak; TreatmentExecution.module.css.bak</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Delete after diffing against active files</w:t>
            </w:r>
          </w:p>
        </w:tc>
        <w:tc>
          <w:tcPr>
            <w:tcW w:type="dxa" w:w="3560"/>
            <w:tcMar>
              <w:top w:w="80" w:type="dxa"/>
              <w:start w:w="120" w:type="dxa"/>
              <w:bottom w:w="80" w:type="dxa"/>
              <w:end w:w="120" w:type="dxa"/>
            </w:tcMar>
            <w:vAlign w:val="center"/>
          </w:tcPr>
          <w:p>
            <w:pPr>
              <w:spacing w:after="0"/>
            </w:pPr>
            <w:r>
              <w:rPr>
                <w:rFonts w:ascii="Calibri" w:hAnsi="Calibri"/>
                <w:b w:val="0"/>
                <w:i w:val="0"/>
                <w:color w:val="000000"/>
                <w:sz w:val="19"/>
              </w:rPr>
              <w:t>High. Backup suffix and no runtime reference; preserve history in Git.</w:t>
            </w:r>
          </w:p>
        </w:tc>
      </w:tr>
      <w:tr>
        <w:tc>
          <w:tcPr>
            <w:tcW w:type="dxa" w:w="2800"/>
            <w:tcMar>
              <w:top w:w="80" w:type="dxa"/>
              <w:start w:w="120" w:type="dxa"/>
              <w:bottom w:w="80" w:type="dxa"/>
              <w:end w:w="120" w:type="dxa"/>
            </w:tcMar>
            <w:vAlign w:val="center"/>
          </w:tcPr>
          <w:p>
            <w:pPr>
              <w:spacing w:after="0"/>
            </w:pPr>
            <w:r>
              <w:rPr>
                <w:rFonts w:ascii="Calibri" w:hAnsi="Calibri"/>
                <w:b w:val="0"/>
                <w:i w:val="0"/>
                <w:color w:val="000000"/>
                <w:sz w:val="19"/>
              </w:rPr>
              <w:t>firebase-export-*; emulator-data - Copy; firestore-debug.log; dist; .firebase</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Delete local copies or move required snapshot outside repo</w:t>
            </w:r>
          </w:p>
        </w:tc>
        <w:tc>
          <w:tcPr>
            <w:tcW w:type="dxa" w:w="3560"/>
            <w:tcMar>
              <w:top w:w="80" w:type="dxa"/>
              <w:start w:w="120" w:type="dxa"/>
              <w:bottom w:w="80" w:type="dxa"/>
              <w:end w:w="120" w:type="dxa"/>
            </w:tcMar>
            <w:vAlign w:val="center"/>
          </w:tcPr>
          <w:p>
            <w:pPr>
              <w:spacing w:after="0"/>
            </w:pPr>
            <w:r>
              <w:rPr>
                <w:rFonts w:ascii="Calibri" w:hAnsi="Calibri"/>
                <w:b w:val="0"/>
                <w:i w:val="0"/>
                <w:color w:val="000000"/>
                <w:sz w:val="19"/>
              </w:rPr>
              <w:t>High. Generated and ignored. Confirm which emulator snapshot is canonical first.</w:t>
            </w:r>
          </w:p>
        </w:tc>
      </w:tr>
      <w:tr>
        <w:tc>
          <w:tcPr>
            <w:tcW w:type="dxa" w:w="2800"/>
            <w:tcMar>
              <w:top w:w="80" w:type="dxa"/>
              <w:start w:w="120" w:type="dxa"/>
              <w:bottom w:w="80" w:type="dxa"/>
              <w:end w:w="120" w:type="dxa"/>
            </w:tcMar>
            <w:vAlign w:val="center"/>
          </w:tcPr>
          <w:p>
            <w:pPr>
              <w:spacing w:after="0"/>
            </w:pPr>
            <w:r>
              <w:rPr>
                <w:rFonts w:ascii="Calibri" w:hAnsi="Calibri"/>
                <w:b w:val="0"/>
                <w:i w:val="0"/>
                <w:color w:val="000000"/>
                <w:sz w:val="19"/>
              </w:rPr>
              <w:t>PastMDocs/</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Rename/move to docs/archive/ and add archive index</w:t>
            </w:r>
          </w:p>
        </w:tc>
        <w:tc>
          <w:tcPr>
            <w:tcW w:type="dxa" w:w="3560"/>
            <w:tcMar>
              <w:top w:w="80" w:type="dxa"/>
              <w:start w:w="120" w:type="dxa"/>
              <w:bottom w:w="80" w:type="dxa"/>
              <w:end w:w="120" w:type="dxa"/>
            </w:tcMar>
            <w:vAlign w:val="center"/>
          </w:tcPr>
          <w:p>
            <w:pPr>
              <w:spacing w:after="0"/>
            </w:pPr>
            <w:r>
              <w:rPr>
                <w:rFonts w:ascii="Calibri" w:hAnsi="Calibri"/>
                <w:b w:val="0"/>
                <w:i w:val="0"/>
                <w:color w:val="000000"/>
                <w:sz w:val="19"/>
              </w:rPr>
              <w:t>High for move; low for deletion. It contains useful decision/history context.</w:t>
            </w:r>
          </w:p>
        </w:tc>
      </w:tr>
      <w:tr>
        <w:tc>
          <w:tcPr>
            <w:tcW w:type="dxa" w:w="2800"/>
            <w:tcMar>
              <w:top w:w="80" w:type="dxa"/>
              <w:start w:w="120" w:type="dxa"/>
              <w:bottom w:w="80" w:type="dxa"/>
              <w:end w:w="120" w:type="dxa"/>
            </w:tcMar>
            <w:vAlign w:val="center"/>
          </w:tcPr>
          <w:p>
            <w:pPr>
              <w:spacing w:after="0"/>
            </w:pPr>
            <w:r>
              <w:rPr>
                <w:rFonts w:ascii="Calibri" w:hAnsi="Calibri"/>
                <w:b w:val="0"/>
                <w:i w:val="0"/>
                <w:color w:val="000000"/>
                <w:sz w:val="19"/>
              </w:rPr>
              <w:t>users.json</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Remove from repository history/current tree after security review</w:t>
            </w:r>
          </w:p>
        </w:tc>
        <w:tc>
          <w:tcPr>
            <w:tcW w:type="dxa" w:w="3560"/>
            <w:tcMar>
              <w:top w:w="80" w:type="dxa"/>
              <w:start w:w="120" w:type="dxa"/>
              <w:bottom w:w="80" w:type="dxa"/>
              <w:end w:w="120" w:type="dxa"/>
            </w:tcMar>
            <w:vAlign w:val="center"/>
          </w:tcPr>
          <w:p>
            <w:pPr>
              <w:spacing w:after="0"/>
            </w:pPr>
            <w:r>
              <w:rPr>
                <w:rFonts w:ascii="Calibri" w:hAnsi="Calibri"/>
                <w:b w:val="0"/>
                <w:i w:val="0"/>
                <w:color w:val="000000"/>
                <w:sz w:val="19"/>
              </w:rPr>
              <w:t>High-risk. Tracked auth export may contain personal/security data; inspect and rotate/remediate as needed.</w:t>
            </w:r>
          </w:p>
        </w:tc>
      </w:tr>
      <w:tr>
        <w:tc>
          <w:tcPr>
            <w:tcW w:type="dxa" w:w="2800"/>
            <w:tcMar>
              <w:top w:w="80" w:type="dxa"/>
              <w:start w:w="120" w:type="dxa"/>
              <w:bottom w:w="80" w:type="dxa"/>
              <w:end w:w="120" w:type="dxa"/>
            </w:tcMar>
            <w:vAlign w:val="center"/>
          </w:tcPr>
          <w:p>
            <w:pPr>
              <w:spacing w:after="0"/>
            </w:pPr>
            <w:r>
              <w:rPr>
                <w:rFonts w:ascii="Calibri" w:hAnsi="Calibri"/>
                <w:b w:val="0"/>
                <w:i w:val="0"/>
                <w:color w:val="000000"/>
                <w:sz w:val="19"/>
              </w:rPr>
              <w:t>metadata.json</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Verify origin and consumers; quarantine if template residue</w:t>
            </w:r>
          </w:p>
        </w:tc>
        <w:tc>
          <w:tcPr>
            <w:tcW w:type="dxa" w:w="3560"/>
            <w:tcMar>
              <w:top w:w="80" w:type="dxa"/>
              <w:start w:w="120" w:type="dxa"/>
              <w:bottom w:w="80" w:type="dxa"/>
              <w:end w:w="120" w:type="dxa"/>
            </w:tcMar>
            <w:vAlign w:val="center"/>
          </w:tcPr>
          <w:p>
            <w:pPr>
              <w:spacing w:after="0"/>
            </w:pPr>
            <w:r>
              <w:rPr>
                <w:rFonts w:ascii="Calibri" w:hAnsi="Calibri"/>
                <w:b w:val="0"/>
                <w:i w:val="0"/>
                <w:color w:val="000000"/>
                <w:sz w:val="19"/>
              </w:rPr>
              <w:t>Medium. No repository reference found.</w:t>
            </w:r>
          </w:p>
        </w:tc>
      </w:tr>
      <w:tr>
        <w:tc>
          <w:tcPr>
            <w:tcW w:type="dxa" w:w="2800"/>
            <w:tcMar>
              <w:top w:w="80" w:type="dxa"/>
              <w:start w:w="120" w:type="dxa"/>
              <w:bottom w:w="80" w:type="dxa"/>
              <w:end w:w="120" w:type="dxa"/>
            </w:tcMar>
            <w:vAlign w:val="center"/>
          </w:tcPr>
          <w:p>
            <w:pPr>
              <w:spacing w:after="0"/>
            </w:pPr>
            <w:r>
              <w:rPr>
                <w:rFonts w:ascii="Calibri" w:hAnsi="Calibri"/>
                <w:b w:val="0"/>
                <w:i w:val="0"/>
                <w:color w:val="000000"/>
                <w:sz w:val="19"/>
              </w:rPr>
              <w:t>src/components/PointsAdmin_new_styles.css</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Quarantine then delete if visual regression checks pass</w:t>
            </w:r>
          </w:p>
        </w:tc>
        <w:tc>
          <w:tcPr>
            <w:tcW w:type="dxa" w:w="3560"/>
            <w:tcMar>
              <w:top w:w="80" w:type="dxa"/>
              <w:start w:w="120" w:type="dxa"/>
              <w:bottom w:w="80" w:type="dxa"/>
              <w:end w:w="120" w:type="dxa"/>
            </w:tcMar>
            <w:vAlign w:val="center"/>
          </w:tcPr>
          <w:p>
            <w:pPr>
              <w:spacing w:after="0"/>
            </w:pPr>
            <w:r>
              <w:rPr>
                <w:rFonts w:ascii="Calibri" w:hAnsi="Calibri"/>
                <w:b w:val="0"/>
                <w:i w:val="0"/>
                <w:color w:val="000000"/>
                <w:sz w:val="19"/>
              </w:rPr>
              <w:t>Medium-high. Static scan found no import.</w:t>
            </w:r>
          </w:p>
        </w:tc>
      </w:tr>
      <w:tr>
        <w:tc>
          <w:tcPr>
            <w:tcW w:type="dxa" w:w="2800"/>
            <w:tcMar>
              <w:top w:w="80" w:type="dxa"/>
              <w:start w:w="120" w:type="dxa"/>
              <w:bottom w:w="80" w:type="dxa"/>
              <w:end w:w="120" w:type="dxa"/>
            </w:tcMar>
            <w:vAlign w:val="center"/>
          </w:tcPr>
          <w:p>
            <w:pPr>
              <w:spacing w:after="0"/>
            </w:pPr>
            <w:r>
              <w:rPr>
                <w:rFonts w:ascii="Calibri" w:hAnsi="Calibri"/>
                <w:b w:val="0"/>
                <w:i w:val="0"/>
                <w:color w:val="000000"/>
                <w:sz w:val="19"/>
              </w:rPr>
              <w:t>MeasureAdmin.module.css; MeasureList.module.css</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Review against MeasureAdmin imports, then quarantine</w:t>
            </w:r>
          </w:p>
        </w:tc>
        <w:tc>
          <w:tcPr>
            <w:tcW w:type="dxa" w:w="3560"/>
            <w:tcMar>
              <w:top w:w="80" w:type="dxa"/>
              <w:start w:w="120" w:type="dxa"/>
              <w:bottom w:w="80" w:type="dxa"/>
              <w:end w:w="120" w:type="dxa"/>
            </w:tcMar>
            <w:vAlign w:val="center"/>
          </w:tcPr>
          <w:p>
            <w:pPr>
              <w:spacing w:after="0"/>
            </w:pPr>
            <w:r>
              <w:rPr>
                <w:rFonts w:ascii="Calibri" w:hAnsi="Calibri"/>
                <w:b w:val="0"/>
                <w:i w:val="0"/>
                <w:color w:val="000000"/>
                <w:sz w:val="19"/>
              </w:rPr>
              <w:t>Medium. Current component imports PointsAdmin and MeasureForm styles instead.</w:t>
            </w:r>
          </w:p>
        </w:tc>
      </w:tr>
      <w:tr>
        <w:tc>
          <w:tcPr>
            <w:tcW w:type="dxa" w:w="2800"/>
            <w:tcMar>
              <w:top w:w="80" w:type="dxa"/>
              <w:start w:w="120" w:type="dxa"/>
              <w:bottom w:w="80" w:type="dxa"/>
              <w:end w:w="120" w:type="dxa"/>
            </w:tcMar>
            <w:vAlign w:val="center"/>
          </w:tcPr>
          <w:p>
            <w:pPr>
              <w:spacing w:after="0"/>
            </w:pPr>
            <w:r>
              <w:rPr>
                <w:rFonts w:ascii="Calibri" w:hAnsi="Calibri"/>
                <w:b w:val="0"/>
                <w:i w:val="0"/>
                <w:color w:val="000000"/>
                <w:sz w:val="19"/>
              </w:rPr>
              <w:t>src/data/mockProtocols.ts; apipunctureData.ts</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Move to fixtures or remove after confirming no runtime/admin use</w:t>
            </w:r>
          </w:p>
        </w:tc>
        <w:tc>
          <w:tcPr>
            <w:tcW w:type="dxa" w:w="3560"/>
            <w:tcMar>
              <w:top w:w="80" w:type="dxa"/>
              <w:start w:w="120" w:type="dxa"/>
              <w:bottom w:w="80" w:type="dxa"/>
              <w:end w:w="120" w:type="dxa"/>
            </w:tcMar>
            <w:vAlign w:val="center"/>
          </w:tcPr>
          <w:p>
            <w:pPr>
              <w:spacing w:after="0"/>
            </w:pPr>
            <w:r>
              <w:rPr>
                <w:rFonts w:ascii="Calibri" w:hAnsi="Calibri"/>
                <w:b w:val="0"/>
                <w:i w:val="0"/>
                <w:color w:val="000000"/>
                <w:sz w:val="19"/>
              </w:rPr>
              <w:t>Medium-high. No static references found.</w:t>
            </w:r>
          </w:p>
        </w:tc>
      </w:tr>
      <w:tr>
        <w:tc>
          <w:tcPr>
            <w:tcW w:type="dxa" w:w="2800"/>
            <w:tcMar>
              <w:top w:w="80" w:type="dxa"/>
              <w:start w:w="120" w:type="dxa"/>
              <w:bottom w:w="80" w:type="dxa"/>
              <w:end w:w="120" w:type="dxa"/>
            </w:tcMar>
            <w:vAlign w:val="center"/>
          </w:tcPr>
          <w:p>
            <w:pPr>
              <w:spacing w:after="0"/>
            </w:pPr>
            <w:r>
              <w:rPr>
                <w:rFonts w:ascii="Calibri" w:hAnsi="Calibri"/>
                <w:b w:val="0"/>
                <w:i w:val="0"/>
                <w:color w:val="000000"/>
                <w:sz w:val="19"/>
              </w:rPr>
              <w:t>useProblemForm.ts; useTreatments.ts; universalPointMapper.ts</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Quarantine and compile/smoke test</w:t>
            </w:r>
          </w:p>
        </w:tc>
        <w:tc>
          <w:tcPr>
            <w:tcW w:type="dxa" w:w="3560"/>
            <w:tcMar>
              <w:top w:w="80" w:type="dxa"/>
              <w:start w:w="120" w:type="dxa"/>
              <w:bottom w:w="80" w:type="dxa"/>
              <w:end w:w="120" w:type="dxa"/>
            </w:tcMar>
            <w:vAlign w:val="center"/>
          </w:tcPr>
          <w:p>
            <w:pPr>
              <w:spacing w:after="0"/>
            </w:pPr>
            <w:r>
              <w:rPr>
                <w:rFonts w:ascii="Calibri" w:hAnsi="Calibri"/>
                <w:b w:val="0"/>
                <w:i w:val="0"/>
                <w:color w:val="000000"/>
                <w:sz w:val="19"/>
              </w:rPr>
              <w:t>Medium-high. No static import found.</w:t>
            </w:r>
          </w:p>
        </w:tc>
      </w:tr>
      <w:tr>
        <w:tc>
          <w:tcPr>
            <w:tcW w:type="dxa" w:w="2800"/>
            <w:tcMar>
              <w:top w:w="80" w:type="dxa"/>
              <w:start w:w="120" w:type="dxa"/>
              <w:bottom w:w="80" w:type="dxa"/>
              <w:end w:w="120" w:type="dxa"/>
            </w:tcMar>
            <w:vAlign w:val="center"/>
          </w:tcPr>
          <w:p>
            <w:pPr>
              <w:spacing w:after="0"/>
            </w:pPr>
            <w:r>
              <w:rPr>
                <w:rFonts w:ascii="Calibri" w:hAnsi="Calibri"/>
                <w:b w:val="0"/>
                <w:i w:val="0"/>
                <w:color w:val="000000"/>
                <w:sz w:val="19"/>
              </w:rPr>
              <w:t>components/PatientIntake/index.ts; config.ts; questionnaire.d.ts</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Retain pending API/type review</w:t>
            </w:r>
          </w:p>
        </w:tc>
        <w:tc>
          <w:tcPr>
            <w:tcW w:type="dxa" w:w="3560"/>
            <w:tcMar>
              <w:top w:w="80" w:type="dxa"/>
              <w:start w:w="120" w:type="dxa"/>
              <w:bottom w:w="80" w:type="dxa"/>
              <w:end w:w="120" w:type="dxa"/>
            </w:tcMar>
            <w:vAlign w:val="center"/>
          </w:tcPr>
          <w:p>
            <w:pPr>
              <w:spacing w:after="0"/>
            </w:pPr>
            <w:r>
              <w:rPr>
                <w:rFonts w:ascii="Calibri" w:hAnsi="Calibri"/>
                <w:b w:val="0"/>
                <w:i w:val="0"/>
                <w:color w:val="000000"/>
                <w:sz w:val="19"/>
              </w:rPr>
              <w:t>Low. Barrel exports and declarations may be intentional even when unused internally.</w:t>
            </w:r>
          </w:p>
        </w:tc>
      </w:tr>
      <w:tr>
        <w:tc>
          <w:tcPr>
            <w:tcW w:type="dxa" w:w="2800"/>
            <w:tcMar>
              <w:top w:w="80" w:type="dxa"/>
              <w:start w:w="120" w:type="dxa"/>
              <w:bottom w:w="80" w:type="dxa"/>
              <w:end w:w="120" w:type="dxa"/>
            </w:tcMar>
            <w:vAlign w:val="center"/>
          </w:tcPr>
          <w:p>
            <w:pPr>
              <w:spacing w:after="0"/>
            </w:pPr>
            <w:r>
              <w:rPr>
                <w:rFonts w:ascii="Calibri" w:hAnsi="Calibri"/>
                <w:b w:val="0"/>
                <w:i w:val="0"/>
                <w:color w:val="000000"/>
                <w:sz w:val="19"/>
              </w:rPr>
              <w:t>one-off fix/migrate/cleanup scripts</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9"/>
              </w:rPr>
              <w:t>Archive with manifest, last-run evidence, and safety label</w:t>
            </w:r>
          </w:p>
        </w:tc>
        <w:tc>
          <w:tcPr>
            <w:tcW w:type="dxa" w:w="3560"/>
            <w:tcMar>
              <w:top w:w="80" w:type="dxa"/>
              <w:start w:w="120" w:type="dxa"/>
              <w:bottom w:w="80" w:type="dxa"/>
              <w:end w:w="120" w:type="dxa"/>
            </w:tcMar>
            <w:vAlign w:val="center"/>
          </w:tcPr>
          <w:p>
            <w:pPr>
              <w:spacing w:after="0"/>
            </w:pPr>
            <w:r>
              <w:rPr>
                <w:rFonts w:ascii="Calibri" w:hAnsi="Calibri"/>
                <w:b w:val="0"/>
                <w:i w:val="0"/>
                <w:color w:val="000000"/>
                <w:sz w:val="19"/>
              </w:rPr>
              <w:t>Medium. Non-imported scripts are normally invoked directly; reference counting cannot determine necessity.</w:t>
            </w:r>
          </w:p>
        </w:tc>
      </w:tr>
    </w:tbl>
    <w:p>
      <w:pPr>
        <w:spacing w:after="0"/>
      </w:pPr>
    </w:p>
    <w:p>
      <w:pPr>
        <w:pStyle w:val="Heading1"/>
        <w:keepNext/>
      </w:pPr>
      <w:r>
        <w:t>5. Documentation target state</w:t>
      </w:r>
    </w:p>
    <w:p>
      <w:pPr>
        <w:pStyle w:val="Heading2"/>
        <w:keepNext/>
      </w:pPr>
      <w:r>
        <w:t>Functional documentation</w:t>
      </w:r>
    </w:p>
    <w:p>
      <w:pPr>
        <w:spacing w:after="120" w:line="300" w:lineRule="auto"/>
      </w:pPr>
      <w:r>
        <w:rPr>
          <w:rFonts w:ascii="Calibri" w:hAnsi="Calibri"/>
          <w:b w:val="0"/>
          <w:i w:val="0"/>
          <w:color w:val="000000"/>
          <w:sz w:val="22"/>
        </w:rPr>
        <w:t>Create documentation that explains what the software does without requiring source-code knowledge. Recommended documents:</w:t>
      </w:r>
    </w:p>
    <w:p>
      <w:pPr>
        <w:pStyle w:val="ListBullet"/>
        <w:spacing w:after="80" w:line="300" w:lineRule="auto"/>
      </w:pPr>
      <w:r>
        <w:rPr>
          <w:rFonts w:ascii="Calibri" w:hAnsi="Calibri"/>
          <w:b w:val="0"/>
          <w:i w:val="0"/>
          <w:color w:val="000000"/>
          <w:sz w:val="22"/>
        </w:rPr>
        <w:t>docs/functional/overview.md - purpose, scope, supported roles, primary workflows, major constraints, and explicit medical/clinical responsibility boundaries.</w:t>
      </w:r>
    </w:p>
    <w:p>
      <w:pPr>
        <w:pStyle w:val="ListBullet"/>
        <w:spacing w:after="80" w:line="300" w:lineRule="auto"/>
      </w:pPr>
      <w:r>
        <w:rPr>
          <w:rFonts w:ascii="Calibri" w:hAnsi="Calibri"/>
          <w:b w:val="0"/>
          <w:i w:val="0"/>
          <w:color w:val="000000"/>
          <w:sz w:val="22"/>
        </w:rPr>
        <w:t>docs/functional/patient-workflow.md - patient creation, intake, questionnaire, consent/instructions, problem selection, protocol/free selection, treatment execution, feedback, and history.</w:t>
      </w:r>
    </w:p>
    <w:p>
      <w:pPr>
        <w:pStyle w:val="ListBullet"/>
        <w:spacing w:after="80" w:line="300" w:lineRule="auto"/>
      </w:pPr>
      <w:r>
        <w:rPr>
          <w:rFonts w:ascii="Calibri" w:hAnsi="Calibri"/>
          <w:b w:val="0"/>
          <w:i w:val="0"/>
          <w:color w:val="000000"/>
          <w:sz w:val="22"/>
        </w:rPr>
        <w:t>docs/functional/administration.md - users/roles, protocols, points, measures, problems, questionnaires, application configuration, and audit activity.</w:t>
      </w:r>
    </w:p>
    <w:p>
      <w:pPr>
        <w:pStyle w:val="ListBullet"/>
        <w:spacing w:after="80" w:line="300" w:lineRule="auto"/>
      </w:pPr>
      <w:r>
        <w:rPr>
          <w:rFonts w:ascii="Calibri" w:hAnsi="Calibri"/>
          <w:b w:val="0"/>
          <w:i w:val="0"/>
          <w:color w:val="000000"/>
          <w:sz w:val="22"/>
        </w:rPr>
        <w:t>docs/functional/data-and-reporting.md - core records, ownership, retention expectations, document storage, and BigQuery reporting behavior.</w:t>
      </w:r>
    </w:p>
    <w:p>
      <w:pPr>
        <w:pStyle w:val="ListBullet"/>
        <w:spacing w:after="80" w:line="300" w:lineRule="auto"/>
      </w:pPr>
      <w:r>
        <w:rPr>
          <w:rFonts w:ascii="Calibri" w:hAnsi="Calibri"/>
          <w:b w:val="0"/>
          <w:i w:val="0"/>
          <w:color w:val="000000"/>
          <w:sz w:val="22"/>
        </w:rPr>
        <w:t>docs/functional/localization.md - Hebrew/English behavior, RTL/LTR expectations, translation ownership, and missing-translation handling.</w:t>
      </w:r>
    </w:p>
    <w:p>
      <w:pPr>
        <w:spacing w:after="120" w:line="300" w:lineRule="auto"/>
      </w:pPr>
      <w:r>
        <w:rPr>
          <w:rFonts w:ascii="Calibri" w:hAnsi="Calibri"/>
          <w:b w:val="0"/>
          <w:i w:val="0"/>
          <w:color w:val="000000"/>
          <w:sz w:val="22"/>
        </w:rPr>
        <w:t>Each functional page should include: audience, preconditions, happy path, validation/business rules, failure states, permissions, data written, and links to related operational or architecture pages.</w:t>
      </w:r>
    </w:p>
    <w:p>
      <w:pPr>
        <w:pStyle w:val="Heading2"/>
        <w:keepNext/>
      </w:pPr>
      <w:r>
        <w:t>Operational documentation</w:t>
      </w:r>
    </w:p>
    <w:p>
      <w:pPr>
        <w:spacing w:after="120" w:line="300" w:lineRule="auto"/>
      </w:pPr>
      <w:r>
        <w:rPr>
          <w:rFonts w:ascii="Calibri" w:hAnsi="Calibri"/>
          <w:b w:val="0"/>
          <w:i w:val="0"/>
          <w:color w:val="000000"/>
          <w:sz w:val="22"/>
        </w:rPr>
        <w:t>Create a maintainer handbook under docs/operations/ with commands copied from verified configuration, not memory:</w:t>
      </w:r>
    </w:p>
    <w:p>
      <w:pPr>
        <w:pStyle w:val="ListBullet"/>
        <w:spacing w:after="80" w:line="300" w:lineRule="auto"/>
      </w:pPr>
      <w:r>
        <w:rPr>
          <w:rFonts w:ascii="Calibri" w:hAnsi="Calibri"/>
          <w:b w:val="0"/>
          <w:i w:val="0"/>
          <w:color w:val="000000"/>
          <w:sz w:val="22"/>
        </w:rPr>
        <w:t>maintenance-guide.md - prerequisites, repository orientation, dependency update approach, safe modification workflow, branch/commit policy, configuration ownership, and definition of done.</w:t>
      </w:r>
    </w:p>
    <w:p>
      <w:pPr>
        <w:pStyle w:val="ListBullet"/>
        <w:spacing w:after="80" w:line="300" w:lineRule="auto"/>
      </w:pPr>
      <w:r>
        <w:rPr>
          <w:rFonts w:ascii="Calibri" w:hAnsi="Calibri"/>
          <w:b w:val="0"/>
          <w:i w:val="0"/>
          <w:color w:val="000000"/>
          <w:sz w:val="22"/>
        </w:rPr>
        <w:t>environments.md - authoritative environment matrix, project IDs/aliases, data isolation, env-file selection, emulator endpoints, and prohibited cross-environment actions.</w:t>
      </w:r>
    </w:p>
    <w:p>
      <w:pPr>
        <w:pStyle w:val="ListBullet"/>
        <w:spacing w:after="80" w:line="300" w:lineRule="auto"/>
      </w:pPr>
      <w:r>
        <w:rPr>
          <w:rFonts w:ascii="Calibri" w:hAnsi="Calibri"/>
          <w:b w:val="0"/>
          <w:i w:val="0"/>
          <w:color w:val="000000"/>
          <w:sz w:val="22"/>
        </w:rPr>
        <w:t>testing.md - current checks (install/build/manual smoke test), future automated test tiers, seed data, and release acceptance criteria.</w:t>
      </w:r>
    </w:p>
    <w:p>
      <w:pPr>
        <w:pStyle w:val="ListBullet"/>
        <w:spacing w:after="80" w:line="300" w:lineRule="auto"/>
      </w:pPr>
      <w:r>
        <w:rPr>
          <w:rFonts w:ascii="Calibri" w:hAnsi="Calibri"/>
          <w:b w:val="0"/>
          <w:i w:val="0"/>
          <w:color w:val="000000"/>
          <w:sz w:val="22"/>
        </w:rPr>
        <w:t>deploy-staging.md and deploy-production.md - prerequisites, exact scripts, preflight checks, deploy phases, expected outputs, post-deploy smoke tests, and rollback/escalation.</w:t>
      </w:r>
    </w:p>
    <w:p>
      <w:pPr>
        <w:pStyle w:val="ListBullet"/>
        <w:spacing w:after="80" w:line="300" w:lineRule="auto"/>
      </w:pPr>
      <w:r>
        <w:rPr>
          <w:rFonts w:ascii="Calibri" w:hAnsi="Calibri"/>
          <w:b w:val="0"/>
          <w:i w:val="0"/>
          <w:color w:val="000000"/>
          <w:sz w:val="22"/>
        </w:rPr>
        <w:t>backup-restore.md - Firestore/Storage/BigQuery responsibilities, retention, restore rehearsal, RPO/RTO targets, and evidence collection.</w:t>
      </w:r>
    </w:p>
    <w:p>
      <w:pPr>
        <w:pStyle w:val="ListBullet"/>
        <w:spacing w:after="80" w:line="300" w:lineRule="auto"/>
      </w:pPr>
      <w:r>
        <w:rPr>
          <w:rFonts w:ascii="Calibri" w:hAnsi="Calibri"/>
          <w:b w:val="0"/>
          <w:i w:val="0"/>
          <w:color w:val="000000"/>
          <w:sz w:val="22"/>
        </w:rPr>
        <w:t>troubleshooting.md - emulator ports, authentication, App Check, Functions build/deploy, Storage CORS, BigQuery sync, and log locations.</w:t>
      </w:r>
    </w:p>
    <w:p>
      <w:pPr>
        <w:pStyle w:val="ListBullet"/>
        <w:spacing w:after="80" w:line="300" w:lineRule="auto"/>
      </w:pPr>
      <w:r>
        <w:rPr>
          <w:rFonts w:ascii="Calibri" w:hAnsi="Calibri"/>
          <w:b w:val="0"/>
          <w:i w:val="0"/>
          <w:color w:val="000000"/>
          <w:sz w:val="22"/>
        </w:rPr>
        <w:t>script-catalog.md - every maintenance script with purpose, environment, read/write behavior, prerequisites, owner, last validated date, and retirement status.</w:t>
      </w:r>
    </w:p>
    <w:p>
      <w:pPr>
        <w:pStyle w:val="Heading1"/>
        <w:keepNext/>
      </w:pPr>
      <w:r>
        <w:t>6. Authoritative environment model</w:t>
      </w:r>
    </w:p>
    <w:tbl>
      <w:tblPr>
        <w:tblStyle w:val="TableGrid"/>
        <w:tblW w:type="dxa" w:w="9360"/>
        <w:jc w:val="left"/>
        <w:tblLayout w:type="fixed"/>
        <w:tblLook w:firstColumn="1" w:firstRow="1" w:lastColumn="0" w:lastRow="0" w:noHBand="0" w:noVBand="1" w:val="04A0"/>
        <w:tblInd w:w="120" w:type="dxa"/>
      </w:tblPr>
      <w:tblGrid>
        <w:gridCol w:w="1500"/>
        <w:gridCol w:w="3300"/>
        <w:gridCol w:w="2000"/>
        <w:gridCol w:w="2560"/>
      </w:tblGrid>
      <w:tr>
        <w:tc>
          <w:tcPr>
            <w:tcW w:type="dxa" w:w="1500"/>
            <w:shd w:fill="E8EEF5"/>
            <w:tcMar>
              <w:top w:w="80" w:type="dxa"/>
              <w:start w:w="120" w:type="dxa"/>
              <w:bottom w:w="80" w:type="dxa"/>
              <w:end w:w="120" w:type="dxa"/>
            </w:tcMar>
            <w:vAlign w:val="center"/>
          </w:tcPr>
          <w:p>
            <w:pPr>
              <w:spacing w:after="0"/>
            </w:pPr>
            <w:r>
              <w:rPr>
                <w:rFonts w:ascii="Calibri" w:hAnsi="Calibri"/>
                <w:b/>
                <w:i w:val="0"/>
                <w:color w:val="1F4D78"/>
                <w:sz w:val="20"/>
              </w:rPr>
              <w:t>Context</w:t>
            </w:r>
          </w:p>
        </w:tc>
        <w:tc>
          <w:tcPr>
            <w:tcW w:type="dxa" w:w="3300"/>
            <w:shd w:fill="E8EEF5"/>
            <w:tcMar>
              <w:top w:w="80" w:type="dxa"/>
              <w:start w:w="120" w:type="dxa"/>
              <w:bottom w:w="80" w:type="dxa"/>
              <w:end w:w="120" w:type="dxa"/>
            </w:tcMar>
            <w:vAlign w:val="center"/>
          </w:tcPr>
          <w:p>
            <w:pPr>
              <w:spacing w:after="0"/>
            </w:pPr>
            <w:r>
              <w:rPr>
                <w:rFonts w:ascii="Calibri" w:hAnsi="Calibri"/>
                <w:b/>
                <w:i w:val="0"/>
                <w:color w:val="1F4D78"/>
                <w:sz w:val="20"/>
              </w:rPr>
              <w:t>Observed configuration</w:t>
            </w:r>
          </w:p>
        </w:tc>
        <w:tc>
          <w:tcPr>
            <w:tcW w:type="dxa" w:w="2000"/>
            <w:shd w:fill="E8EEF5"/>
            <w:tcMar>
              <w:top w:w="80" w:type="dxa"/>
              <w:start w:w="120" w:type="dxa"/>
              <w:bottom w:w="80" w:type="dxa"/>
              <w:end w:w="120" w:type="dxa"/>
            </w:tcMar>
            <w:vAlign w:val="center"/>
          </w:tcPr>
          <w:p>
            <w:pPr>
              <w:spacing w:after="0"/>
            </w:pPr>
            <w:r>
              <w:rPr>
                <w:rFonts w:ascii="Calibri" w:hAnsi="Calibri"/>
                <w:b/>
                <w:i w:val="0"/>
                <w:color w:val="1F4D78"/>
                <w:sz w:val="20"/>
              </w:rPr>
              <w:t>Permitted use</w:t>
            </w:r>
          </w:p>
        </w:tc>
        <w:tc>
          <w:tcPr>
            <w:tcW w:type="dxa" w:w="2560"/>
            <w:shd w:fill="E8EEF5"/>
            <w:tcMar>
              <w:top w:w="80" w:type="dxa"/>
              <w:start w:w="120" w:type="dxa"/>
              <w:bottom w:w="80" w:type="dxa"/>
              <w:end w:w="120" w:type="dxa"/>
            </w:tcMar>
            <w:vAlign w:val="center"/>
          </w:tcPr>
          <w:p>
            <w:pPr>
              <w:spacing w:after="0"/>
            </w:pPr>
            <w:r>
              <w:rPr>
                <w:rFonts w:ascii="Calibri" w:hAnsi="Calibri"/>
                <w:b/>
                <w:i w:val="0"/>
                <w:color w:val="1F4D78"/>
                <w:sz w:val="20"/>
              </w:rPr>
              <w:t>Key warning</w:t>
            </w:r>
          </w:p>
        </w:tc>
      </w:tr>
      <w:tr>
        <w:tc>
          <w:tcPr>
            <w:tcW w:type="dxa" w:w="1500"/>
            <w:tcMar>
              <w:top w:w="80" w:type="dxa"/>
              <w:start w:w="120" w:type="dxa"/>
              <w:bottom w:w="80" w:type="dxa"/>
              <w:end w:w="120" w:type="dxa"/>
            </w:tcMar>
            <w:vAlign w:val="center"/>
          </w:tcPr>
          <w:p>
            <w:pPr>
              <w:spacing w:after="0"/>
            </w:pPr>
            <w:r>
              <w:rPr>
                <w:rFonts w:ascii="Calibri" w:hAnsi="Calibri"/>
                <w:b w:val="0"/>
                <w:i w:val="0"/>
                <w:color w:val="000000"/>
                <w:sz w:val="19"/>
              </w:rPr>
              <w:t>Local development</w:t>
            </w:r>
          </w:p>
        </w:tc>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Vite DEV mode; Firebase emulators on Auth 9099, Functions 5001, Firestore 8080, Hosting 5000, Storage 9199, Pub/Sub 8085; UI enabled (normally 4000)</w:t>
            </w:r>
          </w:p>
        </w:tc>
        <w:tc>
          <w:tcPr>
            <w:tcW w:type="dxa" w:w="2000"/>
            <w:tcMar>
              <w:top w:w="80" w:type="dxa"/>
              <w:start w:w="120" w:type="dxa"/>
              <w:bottom w:w="80" w:type="dxa"/>
              <w:end w:w="120" w:type="dxa"/>
            </w:tcMar>
            <w:vAlign w:val="center"/>
          </w:tcPr>
          <w:p>
            <w:pPr>
              <w:spacing w:after="0"/>
            </w:pPr>
            <w:r>
              <w:rPr>
                <w:rFonts w:ascii="Calibri" w:hAnsi="Calibri"/>
                <w:b w:val="0"/>
                <w:i w:val="0"/>
                <w:color w:val="000000"/>
                <w:sz w:val="19"/>
              </w:rPr>
              <w:t>Feature work, destructive tests, seeded/manual verification</w:t>
            </w:r>
          </w:p>
        </w:tc>
        <w:tc>
          <w:tcPr>
            <w:tcW w:type="dxa" w:w="2560"/>
            <w:tcMar>
              <w:top w:w="80" w:type="dxa"/>
              <w:start w:w="120" w:type="dxa"/>
              <w:bottom w:w="80" w:type="dxa"/>
              <w:end w:w="120" w:type="dxa"/>
            </w:tcMar>
            <w:vAlign w:val="center"/>
          </w:tcPr>
          <w:p>
            <w:pPr>
              <w:spacing w:after="0"/>
            </w:pPr>
            <w:r>
              <w:rPr>
                <w:rFonts w:ascii="Calibri" w:hAnsi="Calibri"/>
                <w:b w:val="0"/>
                <w:i w:val="0"/>
                <w:color w:val="000000"/>
                <w:sz w:val="19"/>
              </w:rPr>
              <w:t>start-dev.js force-kills processes using emulator ports and builds functions; service-account dependency must be documented.</w:t>
            </w:r>
          </w:p>
        </w:tc>
      </w:tr>
      <w:tr>
        <w:tc>
          <w:tcPr>
            <w:tcW w:type="dxa" w:w="1500"/>
            <w:tcMar>
              <w:top w:w="80" w:type="dxa"/>
              <w:start w:w="120" w:type="dxa"/>
              <w:bottom w:w="80" w:type="dxa"/>
              <w:end w:w="120" w:type="dxa"/>
            </w:tcMar>
            <w:vAlign w:val="center"/>
          </w:tcPr>
          <w:p>
            <w:pPr>
              <w:spacing w:after="0"/>
            </w:pPr>
            <w:r>
              <w:rPr>
                <w:rFonts w:ascii="Calibri" w:hAnsi="Calibri"/>
                <w:b w:val="0"/>
                <w:i w:val="0"/>
                <w:color w:val="000000"/>
                <w:sz w:val="19"/>
              </w:rPr>
              <w:t>Staging</w:t>
            </w:r>
          </w:p>
        </w:tc>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Firebase project apitherapyv2; Vite --mode staging; manual deploy-staging.ps1</w:t>
            </w:r>
          </w:p>
        </w:tc>
        <w:tc>
          <w:tcPr>
            <w:tcW w:type="dxa" w:w="2000"/>
            <w:tcMar>
              <w:top w:w="80" w:type="dxa"/>
              <w:start w:w="120" w:type="dxa"/>
              <w:bottom w:w="80" w:type="dxa"/>
              <w:end w:w="120" w:type="dxa"/>
            </w:tcMar>
            <w:vAlign w:val="center"/>
          </w:tcPr>
          <w:p>
            <w:pPr>
              <w:spacing w:after="0"/>
            </w:pPr>
            <w:r>
              <w:rPr>
                <w:rFonts w:ascii="Calibri" w:hAnsi="Calibri"/>
                <w:b w:val="0"/>
                <w:i w:val="0"/>
                <w:color w:val="000000"/>
                <w:sz w:val="19"/>
              </w:rPr>
              <w:t>Release-candidate QA and stakeholder verification</w:t>
            </w:r>
          </w:p>
        </w:tc>
        <w:tc>
          <w:tcPr>
            <w:tcW w:type="dxa" w:w="2560"/>
            <w:tcMar>
              <w:top w:w="80" w:type="dxa"/>
              <w:start w:w="120" w:type="dxa"/>
              <w:bottom w:w="80" w:type="dxa"/>
              <w:end w:w="120" w:type="dxa"/>
            </w:tcMar>
            <w:vAlign w:val="center"/>
          </w:tcPr>
          <w:p>
            <w:pPr>
              <w:spacing w:after="0"/>
            </w:pPr>
            <w:r>
              <w:rPr>
                <w:rFonts w:ascii="Calibri" w:hAnsi="Calibri"/>
                <w:b w:val="0"/>
                <w:i w:val="0"/>
                <w:color w:val="000000"/>
                <w:sz w:val="19"/>
              </w:rPr>
              <w:t>The default alias and staging alias resolve to the same project. Staging deployment updates hosting, functions, storage, and Firestore.</w:t>
            </w:r>
          </w:p>
        </w:tc>
      </w:tr>
      <w:tr>
        <w:tc>
          <w:tcPr>
            <w:tcW w:type="dxa" w:w="1500"/>
            <w:tcMar>
              <w:top w:w="80" w:type="dxa"/>
              <w:start w:w="120" w:type="dxa"/>
              <w:bottom w:w="80" w:type="dxa"/>
              <w:end w:w="120" w:type="dxa"/>
            </w:tcMar>
            <w:vAlign w:val="center"/>
          </w:tcPr>
          <w:p>
            <w:pPr>
              <w:spacing w:after="0"/>
            </w:pPr>
            <w:r>
              <w:rPr>
                <w:rFonts w:ascii="Calibri" w:hAnsi="Calibri"/>
                <w:b w:val="0"/>
                <w:i w:val="0"/>
                <w:color w:val="000000"/>
                <w:sz w:val="19"/>
              </w:rPr>
              <w:t>Production</w:t>
            </w:r>
          </w:p>
        </w:tc>
        <w:tc>
          <w:tcPr>
            <w:tcW w:type="dxa" w:w="3300"/>
            <w:tcMar>
              <w:top w:w="80" w:type="dxa"/>
              <w:start w:w="120" w:type="dxa"/>
              <w:bottom w:w="80" w:type="dxa"/>
              <w:end w:w="120" w:type="dxa"/>
            </w:tcMar>
            <w:vAlign w:val="center"/>
          </w:tcPr>
          <w:p>
            <w:pPr>
              <w:spacing w:after="0"/>
            </w:pPr>
            <w:r>
              <w:rPr>
                <w:rFonts w:ascii="Calibri" w:hAnsi="Calibri"/>
                <w:b w:val="0"/>
                <w:i w:val="0"/>
                <w:color w:val="000000"/>
                <w:sz w:val="19"/>
              </w:rPr>
              <w:t>Firebase project/alias prod = apitherapy-c94a6; production Vite env; phased deploy-prod.ps1</w:t>
            </w:r>
          </w:p>
        </w:tc>
        <w:tc>
          <w:tcPr>
            <w:tcW w:type="dxa" w:w="2000"/>
            <w:tcMar>
              <w:top w:w="80" w:type="dxa"/>
              <w:start w:w="120" w:type="dxa"/>
              <w:bottom w:w="80" w:type="dxa"/>
              <w:end w:w="120" w:type="dxa"/>
            </w:tcMar>
            <w:vAlign w:val="center"/>
          </w:tcPr>
          <w:p>
            <w:pPr>
              <w:spacing w:after="0"/>
            </w:pPr>
            <w:r>
              <w:rPr>
                <w:rFonts w:ascii="Calibri" w:hAnsi="Calibri"/>
                <w:b w:val="0"/>
                <w:i w:val="0"/>
                <w:color w:val="000000"/>
                <w:sz w:val="19"/>
              </w:rPr>
              <w:t>Live clinical operation only</w:t>
            </w:r>
          </w:p>
        </w:tc>
        <w:tc>
          <w:tcPr>
            <w:tcW w:type="dxa" w:w="2560"/>
            <w:tcMar>
              <w:top w:w="80" w:type="dxa"/>
              <w:start w:w="120" w:type="dxa"/>
              <w:bottom w:w="80" w:type="dxa"/>
              <w:end w:w="120" w:type="dxa"/>
            </w:tcMar>
            <w:vAlign w:val="center"/>
          </w:tcPr>
          <w:p>
            <w:pPr>
              <w:spacing w:after="0"/>
            </w:pPr>
            <w:r>
              <w:rPr>
                <w:rFonts w:ascii="Calibri" w:hAnsi="Calibri"/>
                <w:b w:val="0"/>
                <w:i w:val="0"/>
                <w:color w:val="000000"/>
                <w:sz w:val="19"/>
              </w:rPr>
              <w:t>Production deploy changes rules/storage, possibly extensions, functions, then hosting. Require approval, backup confirmation, and smoke tests.</w:t>
            </w:r>
          </w:p>
        </w:tc>
      </w:tr>
    </w:tbl>
    <w:p>
      <w:pPr>
        <w:spacing w:after="0"/>
      </w:pPr>
    </w:p>
    <w:p>
      <w:pPr>
        <w:spacing w:after="120" w:line="300" w:lineRule="auto"/>
      </w:pPr>
      <w:r>
        <w:rPr>
          <w:rFonts w:ascii="Calibri" w:hAnsi="Calibri"/>
          <w:b w:val="0"/>
          <w:i w:val="0"/>
          <w:color w:val="000000"/>
          <w:sz w:val="22"/>
        </w:rPr>
        <w:t>Important proposal: describe these as three operating contexts, not three cloud projects. If a third cloud development project is still desired, treat it as a future architecture decision with migration work; do not present it as current state.</w:t>
      </w:r>
    </w:p>
    <w:p>
      <w:pPr>
        <w:pStyle w:val="Heading1"/>
        <w:keepNext/>
      </w:pPr>
      <w:r>
        <w:t>7. Maintenance workflows to document</w:t>
      </w:r>
    </w:p>
    <w:p>
      <w:pPr>
        <w:pStyle w:val="Heading2"/>
        <w:keepNext/>
      </w:pPr>
      <w:r>
        <w:t>Modify software safely</w:t>
      </w:r>
    </w:p>
    <w:p>
      <w:pPr>
        <w:pStyle w:val="ListNumber"/>
        <w:spacing w:after="80" w:line="300" w:lineRule="auto"/>
      </w:pPr>
      <w:r>
        <w:rPr>
          <w:rFonts w:ascii="Calibri" w:hAnsi="Calibri"/>
          <w:b w:val="0"/>
          <w:i w:val="0"/>
          <w:color w:val="000000"/>
          <w:sz w:val="22"/>
        </w:rPr>
        <w:t>Start from a clean working tree; identify and preserve unrelated user changes.</w:t>
      </w:r>
    </w:p>
    <w:p>
      <w:pPr>
        <w:pStyle w:val="ListNumber"/>
        <w:spacing w:after="80" w:line="300" w:lineRule="auto"/>
      </w:pPr>
      <w:r>
        <w:rPr>
          <w:rFonts w:ascii="Calibri" w:hAnsi="Calibri"/>
          <w:b w:val="0"/>
          <w:i w:val="0"/>
          <w:color w:val="000000"/>
          <w:sz w:val="22"/>
        </w:rPr>
        <w:t>Create an explicitly approved feature/fix branch and record the affected functional area and environment.</w:t>
      </w:r>
    </w:p>
    <w:p>
      <w:pPr>
        <w:pStyle w:val="ListNumber"/>
        <w:spacing w:after="80" w:line="300" w:lineRule="auto"/>
      </w:pPr>
      <w:r>
        <w:rPr>
          <w:rFonts w:ascii="Calibri" w:hAnsi="Calibri"/>
          <w:b w:val="0"/>
          <w:i w:val="0"/>
          <w:color w:val="000000"/>
          <w:sz w:val="22"/>
        </w:rPr>
        <w:t>Change source plus corresponding functional/operational documentation in the same work item.</w:t>
      </w:r>
    </w:p>
    <w:p>
      <w:pPr>
        <w:pStyle w:val="ListNumber"/>
        <w:spacing w:after="80" w:line="300" w:lineRule="auto"/>
      </w:pPr>
      <w:r>
        <w:rPr>
          <w:rFonts w:ascii="Calibri" w:hAnsi="Calibri"/>
          <w:b w:val="0"/>
          <w:i w:val="0"/>
          <w:color w:val="000000"/>
          <w:sz w:val="22"/>
        </w:rPr>
        <w:t>Run TypeScript/build checks, targeted tests, and local-emulator smoke tests using controlled seed data.</w:t>
      </w:r>
    </w:p>
    <w:p>
      <w:pPr>
        <w:pStyle w:val="ListNumber"/>
        <w:spacing w:after="80" w:line="300" w:lineRule="auto"/>
      </w:pPr>
      <w:r>
        <w:rPr>
          <w:rFonts w:ascii="Calibri" w:hAnsi="Calibri"/>
          <w:b w:val="0"/>
          <w:i w:val="0"/>
          <w:color w:val="000000"/>
          <w:sz w:val="22"/>
        </w:rPr>
        <w:t>Review security rules, indexes, Cloud Functions, migrations, and environment variables whenever data behavior changes.</w:t>
      </w:r>
    </w:p>
    <w:p>
      <w:pPr>
        <w:pStyle w:val="ListNumber"/>
        <w:spacing w:after="80" w:line="300" w:lineRule="auto"/>
      </w:pPr>
      <w:r>
        <w:rPr>
          <w:rFonts w:ascii="Calibri" w:hAnsi="Calibri"/>
          <w:b w:val="0"/>
          <w:i w:val="0"/>
          <w:color w:val="000000"/>
          <w:sz w:val="22"/>
        </w:rPr>
        <w:t>Deploy to staging, execute the release smoke checklist, record evidence, then request production approval.</w:t>
      </w:r>
    </w:p>
    <w:p>
      <w:pPr>
        <w:pStyle w:val="ListNumber"/>
        <w:spacing w:after="80" w:line="300" w:lineRule="auto"/>
      </w:pPr>
      <w:r>
        <w:rPr>
          <w:rFonts w:ascii="Calibri" w:hAnsi="Calibri"/>
          <w:b w:val="0"/>
          <w:i w:val="0"/>
          <w:color w:val="000000"/>
          <w:sz w:val="22"/>
        </w:rPr>
        <w:t>Deploy production in the existing phased order; verify logs and critical clinical workflows; document rollback decision points.</w:t>
      </w:r>
    </w:p>
    <w:p>
      <w:pPr>
        <w:pStyle w:val="Heading2"/>
        <w:keepNext/>
      </w:pPr>
      <w:r>
        <w:t>Testing proposal</w:t>
      </w:r>
    </w:p>
    <w:tbl>
      <w:tblPr>
        <w:tblStyle w:val="TableGrid"/>
        <w:tblW w:type="dxa" w:w="9360"/>
        <w:jc w:val="left"/>
        <w:tblLayout w:type="fixed"/>
        <w:tblLook w:firstColumn="1" w:firstRow="1" w:lastColumn="0" w:lastRow="0" w:noHBand="0" w:noVBand="1" w:val="04A0"/>
        <w:tblInd w:w="120" w:type="dxa"/>
      </w:tblPr>
      <w:tblGrid>
        <w:gridCol w:w="1500"/>
        <w:gridCol w:w="3480"/>
        <w:gridCol w:w="4380"/>
      </w:tblGrid>
      <w:tr>
        <w:tc>
          <w:tcPr>
            <w:tcW w:type="dxa" w:w="1500"/>
            <w:shd w:fill="E8EEF5"/>
            <w:tcMar>
              <w:top w:w="80" w:type="dxa"/>
              <w:start w:w="120" w:type="dxa"/>
              <w:bottom w:w="80" w:type="dxa"/>
              <w:end w:w="120" w:type="dxa"/>
            </w:tcMar>
            <w:vAlign w:val="center"/>
          </w:tcPr>
          <w:p>
            <w:pPr>
              <w:spacing w:after="0"/>
            </w:pPr>
            <w:r>
              <w:rPr>
                <w:rFonts w:ascii="Calibri" w:hAnsi="Calibri"/>
                <w:b/>
                <w:i w:val="0"/>
                <w:color w:val="1F4D78"/>
                <w:sz w:val="20"/>
              </w:rPr>
              <w:t>Gate</w:t>
            </w:r>
          </w:p>
        </w:tc>
        <w:tc>
          <w:tcPr>
            <w:tcW w:type="dxa" w:w="3480"/>
            <w:shd w:fill="E8EEF5"/>
            <w:tcMar>
              <w:top w:w="80" w:type="dxa"/>
              <w:start w:w="120" w:type="dxa"/>
              <w:bottom w:w="80" w:type="dxa"/>
              <w:end w:w="120" w:type="dxa"/>
            </w:tcMar>
            <w:vAlign w:val="center"/>
          </w:tcPr>
          <w:p>
            <w:pPr>
              <w:spacing w:after="0"/>
            </w:pPr>
            <w:r>
              <w:rPr>
                <w:rFonts w:ascii="Calibri" w:hAnsi="Calibri"/>
                <w:b/>
                <w:i w:val="0"/>
                <w:color w:val="1F4D78"/>
                <w:sz w:val="20"/>
              </w:rPr>
              <w:t>Now</w:t>
            </w:r>
          </w:p>
        </w:tc>
        <w:tc>
          <w:tcPr>
            <w:tcW w:type="dxa" w:w="4380"/>
            <w:shd w:fill="E8EEF5"/>
            <w:tcMar>
              <w:top w:w="80" w:type="dxa"/>
              <w:start w:w="120" w:type="dxa"/>
              <w:bottom w:w="80" w:type="dxa"/>
              <w:end w:w="120" w:type="dxa"/>
            </w:tcMar>
            <w:vAlign w:val="center"/>
          </w:tcPr>
          <w:p>
            <w:pPr>
              <w:spacing w:after="0"/>
            </w:pPr>
            <w:r>
              <w:rPr>
                <w:rFonts w:ascii="Calibri" w:hAnsi="Calibri"/>
                <w:b/>
                <w:i w:val="0"/>
                <w:color w:val="1F4D78"/>
                <w:sz w:val="20"/>
              </w:rPr>
              <w:t>Target</w:t>
            </w:r>
          </w:p>
        </w:tc>
      </w:tr>
      <w:tr>
        <w:tc>
          <w:tcPr>
            <w:tcW w:type="dxa" w:w="1500"/>
            <w:tcMar>
              <w:top w:w="80" w:type="dxa"/>
              <w:start w:w="120" w:type="dxa"/>
              <w:bottom w:w="80" w:type="dxa"/>
              <w:end w:w="120" w:type="dxa"/>
            </w:tcMar>
            <w:vAlign w:val="center"/>
          </w:tcPr>
          <w:p>
            <w:pPr>
              <w:spacing w:after="0"/>
            </w:pPr>
            <w:r>
              <w:rPr>
                <w:rFonts w:ascii="Calibri" w:hAnsi="Calibri"/>
                <w:b w:val="0"/>
                <w:i w:val="0"/>
                <w:color w:val="000000"/>
                <w:sz w:val="19"/>
              </w:rPr>
              <w:t>Static/build</w:t>
            </w:r>
          </w:p>
        </w:tc>
        <w:tc>
          <w:tcPr>
            <w:tcW w:type="dxa" w:w="3480"/>
            <w:tcMar>
              <w:top w:w="80" w:type="dxa"/>
              <w:start w:w="120" w:type="dxa"/>
              <w:bottom w:w="80" w:type="dxa"/>
              <w:end w:w="120" w:type="dxa"/>
            </w:tcMar>
            <w:vAlign w:val="center"/>
          </w:tcPr>
          <w:p>
            <w:pPr>
              <w:spacing w:after="0"/>
            </w:pPr>
            <w:r>
              <w:rPr>
                <w:rFonts w:ascii="Calibri" w:hAnsi="Calibri"/>
                <w:b w:val="0"/>
                <w:i w:val="0"/>
                <w:color w:val="000000"/>
                <w:sz w:val="19"/>
              </w:rPr>
              <w:t>npm install/ci; npm run build; functions npm run build</w:t>
            </w:r>
          </w:p>
        </w:tc>
        <w:tc>
          <w:tcPr>
            <w:tcW w:type="dxa" w:w="4380"/>
            <w:tcMar>
              <w:top w:w="80" w:type="dxa"/>
              <w:start w:w="120" w:type="dxa"/>
              <w:bottom w:w="80" w:type="dxa"/>
              <w:end w:w="120" w:type="dxa"/>
            </w:tcMar>
            <w:vAlign w:val="center"/>
          </w:tcPr>
          <w:p>
            <w:pPr>
              <w:spacing w:after="0"/>
            </w:pPr>
            <w:r>
              <w:rPr>
                <w:rFonts w:ascii="Calibri" w:hAnsi="Calibri"/>
                <w:b w:val="0"/>
                <w:i w:val="0"/>
                <w:color w:val="000000"/>
                <w:sz w:val="19"/>
              </w:rPr>
              <w:t>Add root typecheck/lint scripts and enforce both packages.</w:t>
            </w:r>
          </w:p>
        </w:tc>
      </w:tr>
      <w:tr>
        <w:tc>
          <w:tcPr>
            <w:tcW w:type="dxa" w:w="1500"/>
            <w:tcMar>
              <w:top w:w="80" w:type="dxa"/>
              <w:start w:w="120" w:type="dxa"/>
              <w:bottom w:w="80" w:type="dxa"/>
              <w:end w:w="120" w:type="dxa"/>
            </w:tcMar>
            <w:vAlign w:val="center"/>
          </w:tcPr>
          <w:p>
            <w:pPr>
              <w:spacing w:after="0"/>
            </w:pPr>
            <w:r>
              <w:rPr>
                <w:rFonts w:ascii="Calibri" w:hAnsi="Calibri"/>
                <w:b w:val="0"/>
                <w:i w:val="0"/>
                <w:color w:val="000000"/>
                <w:sz w:val="19"/>
              </w:rPr>
              <w:t>Unit/component</w:t>
            </w:r>
          </w:p>
        </w:tc>
        <w:tc>
          <w:tcPr>
            <w:tcW w:type="dxa" w:w="3480"/>
            <w:tcMar>
              <w:top w:w="80" w:type="dxa"/>
              <w:start w:w="120" w:type="dxa"/>
              <w:bottom w:w="80" w:type="dxa"/>
              <w:end w:w="120" w:type="dxa"/>
            </w:tcMar>
            <w:vAlign w:val="center"/>
          </w:tcPr>
          <w:p>
            <w:pPr>
              <w:spacing w:after="0"/>
            </w:pPr>
            <w:r>
              <w:rPr>
                <w:rFonts w:ascii="Calibri" w:hAnsi="Calibri"/>
                <w:b w:val="0"/>
                <w:i w:val="0"/>
                <w:color w:val="000000"/>
                <w:sz w:val="19"/>
              </w:rPr>
              <w:t>Not configured</w:t>
            </w:r>
          </w:p>
        </w:tc>
        <w:tc>
          <w:tcPr>
            <w:tcW w:type="dxa" w:w="4380"/>
            <w:tcMar>
              <w:top w:w="80" w:type="dxa"/>
              <w:start w:w="120" w:type="dxa"/>
              <w:bottom w:w="80" w:type="dxa"/>
              <w:end w:w="120" w:type="dxa"/>
            </w:tcMar>
            <w:vAlign w:val="center"/>
          </w:tcPr>
          <w:p>
            <w:pPr>
              <w:spacing w:after="0"/>
            </w:pPr>
            <w:r>
              <w:rPr>
                <w:rFonts w:ascii="Calibri" w:hAnsi="Calibri"/>
                <w:b w:val="0"/>
                <w:i w:val="0"/>
                <w:color w:val="000000"/>
                <w:sz w:val="19"/>
              </w:rPr>
              <w:t>Vitest + Testing Library for rules, transformations, and critical UI state.</w:t>
            </w:r>
          </w:p>
        </w:tc>
      </w:tr>
      <w:tr>
        <w:tc>
          <w:tcPr>
            <w:tcW w:type="dxa" w:w="1500"/>
            <w:tcMar>
              <w:top w:w="80" w:type="dxa"/>
              <w:start w:w="120" w:type="dxa"/>
              <w:bottom w:w="80" w:type="dxa"/>
              <w:end w:w="120" w:type="dxa"/>
            </w:tcMar>
            <w:vAlign w:val="center"/>
          </w:tcPr>
          <w:p>
            <w:pPr>
              <w:spacing w:after="0"/>
            </w:pPr>
            <w:r>
              <w:rPr>
                <w:rFonts w:ascii="Calibri" w:hAnsi="Calibri"/>
                <w:b w:val="0"/>
                <w:i w:val="0"/>
                <w:color w:val="000000"/>
                <w:sz w:val="19"/>
              </w:rPr>
              <w:t>Rules/integration</w:t>
            </w:r>
          </w:p>
        </w:tc>
        <w:tc>
          <w:tcPr>
            <w:tcW w:type="dxa" w:w="3480"/>
            <w:tcMar>
              <w:top w:w="80" w:type="dxa"/>
              <w:start w:w="120" w:type="dxa"/>
              <w:bottom w:w="80" w:type="dxa"/>
              <w:end w:w="120" w:type="dxa"/>
            </w:tcMar>
            <w:vAlign w:val="center"/>
          </w:tcPr>
          <w:p>
            <w:pPr>
              <w:spacing w:after="0"/>
            </w:pPr>
            <w:r>
              <w:rPr>
                <w:rFonts w:ascii="Calibri" w:hAnsi="Calibri"/>
                <w:b w:val="0"/>
                <w:i w:val="0"/>
                <w:color w:val="000000"/>
                <w:sz w:val="19"/>
              </w:rPr>
              <w:t>Manual emulator use</w:t>
            </w:r>
          </w:p>
        </w:tc>
        <w:tc>
          <w:tcPr>
            <w:tcW w:type="dxa" w:w="4380"/>
            <w:tcMar>
              <w:top w:w="80" w:type="dxa"/>
              <w:start w:w="120" w:type="dxa"/>
              <w:bottom w:w="80" w:type="dxa"/>
              <w:end w:w="120" w:type="dxa"/>
            </w:tcMar>
            <w:vAlign w:val="center"/>
          </w:tcPr>
          <w:p>
            <w:pPr>
              <w:spacing w:after="0"/>
            </w:pPr>
            <w:r>
              <w:rPr>
                <w:rFonts w:ascii="Calibri" w:hAnsi="Calibri"/>
                <w:b w:val="0"/>
                <w:i w:val="0"/>
                <w:color w:val="000000"/>
                <w:sz w:val="19"/>
              </w:rPr>
              <w:t>Firebase emulator tests for roles, Firestore/Storage rules, callable functions, and data integrity.</w:t>
            </w:r>
          </w:p>
        </w:tc>
      </w:tr>
      <w:tr>
        <w:tc>
          <w:tcPr>
            <w:tcW w:type="dxa" w:w="1500"/>
            <w:tcMar>
              <w:top w:w="80" w:type="dxa"/>
              <w:start w:w="120" w:type="dxa"/>
              <w:bottom w:w="80" w:type="dxa"/>
              <w:end w:w="120" w:type="dxa"/>
            </w:tcMar>
            <w:vAlign w:val="center"/>
          </w:tcPr>
          <w:p>
            <w:pPr>
              <w:spacing w:after="0"/>
            </w:pPr>
            <w:r>
              <w:rPr>
                <w:rFonts w:ascii="Calibri" w:hAnsi="Calibri"/>
                <w:b w:val="0"/>
                <w:i w:val="0"/>
                <w:color w:val="000000"/>
                <w:sz w:val="19"/>
              </w:rPr>
              <w:t>End-to-end</w:t>
            </w:r>
          </w:p>
        </w:tc>
        <w:tc>
          <w:tcPr>
            <w:tcW w:type="dxa" w:w="3480"/>
            <w:tcMar>
              <w:top w:w="80" w:type="dxa"/>
              <w:start w:w="120" w:type="dxa"/>
              <w:bottom w:w="80" w:type="dxa"/>
              <w:end w:w="120" w:type="dxa"/>
            </w:tcMar>
            <w:vAlign w:val="center"/>
          </w:tcPr>
          <w:p>
            <w:pPr>
              <w:spacing w:after="0"/>
            </w:pPr>
            <w:r>
              <w:rPr>
                <w:rFonts w:ascii="Calibri" w:hAnsi="Calibri"/>
                <w:b w:val="0"/>
                <w:i w:val="0"/>
                <w:color w:val="000000"/>
                <w:sz w:val="19"/>
              </w:rPr>
              <w:t>Plan only; Playwright absent</w:t>
            </w:r>
          </w:p>
        </w:tc>
        <w:tc>
          <w:tcPr>
            <w:tcW w:type="dxa" w:w="4380"/>
            <w:tcMar>
              <w:top w:w="80" w:type="dxa"/>
              <w:start w:w="120" w:type="dxa"/>
              <w:bottom w:w="80" w:type="dxa"/>
              <w:end w:w="120" w:type="dxa"/>
            </w:tcMar>
            <w:vAlign w:val="center"/>
          </w:tcPr>
          <w:p>
            <w:pPr>
              <w:spacing w:after="0"/>
            </w:pPr>
            <w:r>
              <w:rPr>
                <w:rFonts w:ascii="Calibri" w:hAnsi="Calibri"/>
                <w:b w:val="0"/>
                <w:i w:val="0"/>
                <w:color w:val="000000"/>
                <w:sz w:val="19"/>
              </w:rPr>
              <w:t>Automate the critical patient, authorization, resume, feedback, and admin flows.</w:t>
            </w:r>
          </w:p>
        </w:tc>
      </w:tr>
      <w:tr>
        <w:tc>
          <w:tcPr>
            <w:tcW w:type="dxa" w:w="1500"/>
            <w:tcMar>
              <w:top w:w="80" w:type="dxa"/>
              <w:start w:w="120" w:type="dxa"/>
              <w:bottom w:w="80" w:type="dxa"/>
              <w:end w:w="120" w:type="dxa"/>
            </w:tcMar>
            <w:vAlign w:val="center"/>
          </w:tcPr>
          <w:p>
            <w:pPr>
              <w:spacing w:after="0"/>
            </w:pPr>
            <w:r>
              <w:rPr>
                <w:rFonts w:ascii="Calibri" w:hAnsi="Calibri"/>
                <w:b w:val="0"/>
                <w:i w:val="0"/>
                <w:color w:val="000000"/>
                <w:sz w:val="19"/>
              </w:rPr>
              <w:t>Release smoke</w:t>
            </w:r>
          </w:p>
        </w:tc>
        <w:tc>
          <w:tcPr>
            <w:tcW w:type="dxa" w:w="3480"/>
            <w:tcMar>
              <w:top w:w="80" w:type="dxa"/>
              <w:start w:w="120" w:type="dxa"/>
              <w:bottom w:w="80" w:type="dxa"/>
              <w:end w:w="120" w:type="dxa"/>
            </w:tcMar>
            <w:vAlign w:val="center"/>
          </w:tcPr>
          <w:p>
            <w:pPr>
              <w:spacing w:after="0"/>
            </w:pPr>
            <w:r>
              <w:rPr>
                <w:rFonts w:ascii="Calibri" w:hAnsi="Calibri"/>
                <w:b w:val="0"/>
                <w:i w:val="0"/>
                <w:color w:val="000000"/>
                <w:sz w:val="19"/>
              </w:rPr>
              <w:t>Production checklist is incomplete</w:t>
            </w:r>
          </w:p>
        </w:tc>
        <w:tc>
          <w:tcPr>
            <w:tcW w:type="dxa" w:w="4380"/>
            <w:tcMar>
              <w:top w:w="80" w:type="dxa"/>
              <w:start w:w="120" w:type="dxa"/>
              <w:bottom w:w="80" w:type="dxa"/>
              <w:end w:w="120" w:type="dxa"/>
            </w:tcMar>
            <w:vAlign w:val="center"/>
          </w:tcPr>
          <w:p>
            <w:pPr>
              <w:spacing w:after="0"/>
            </w:pPr>
            <w:r>
              <w:rPr>
                <w:rFonts w:ascii="Calibri" w:hAnsi="Calibri"/>
                <w:b w:val="0"/>
                <w:i w:val="0"/>
                <w:color w:val="000000"/>
                <w:sz w:val="19"/>
              </w:rPr>
              <w:t>Versioned staging and production checklists with owner, evidence, and pass/fail.</w:t>
            </w:r>
          </w:p>
        </w:tc>
      </w:tr>
    </w:tbl>
    <w:p>
      <w:pPr>
        <w:spacing w:after="0"/>
      </w:pPr>
    </w:p>
    <w:p>
      <w:pPr>
        <w:pStyle w:val="Heading1"/>
        <w:keepNext/>
      </w:pPr>
      <w:r>
        <w:t>8. Phased cleanup execution plan</w:t>
      </w:r>
    </w:p>
    <w:tbl>
      <w:tblPr>
        <w:tblStyle w:val="TableGrid"/>
        <w:tblW w:type="dxa" w:w="9360"/>
        <w:jc w:val="left"/>
        <w:tblLayout w:type="fixed"/>
        <w:tblLook w:firstColumn="1" w:firstRow="1" w:lastColumn="0" w:lastRow="0" w:noHBand="0" w:noVBand="1" w:val="04A0"/>
        <w:tblInd w:w="120" w:type="dxa"/>
      </w:tblPr>
      <w:tblGrid>
        <w:gridCol w:w="1200"/>
        <w:gridCol w:w="5100"/>
        <w:gridCol w:w="3060"/>
      </w:tblGrid>
      <w:tr>
        <w:tc>
          <w:tcPr>
            <w:tcW w:type="dxa" w:w="1200"/>
            <w:shd w:fill="E8EEF5"/>
            <w:tcMar>
              <w:top w:w="80" w:type="dxa"/>
              <w:start w:w="120" w:type="dxa"/>
              <w:bottom w:w="80" w:type="dxa"/>
              <w:end w:w="120" w:type="dxa"/>
            </w:tcMar>
            <w:vAlign w:val="center"/>
          </w:tcPr>
          <w:p>
            <w:pPr>
              <w:spacing w:after="0"/>
            </w:pPr>
            <w:r>
              <w:rPr>
                <w:rFonts w:ascii="Calibri" w:hAnsi="Calibri"/>
                <w:b/>
                <w:i w:val="0"/>
                <w:color w:val="1F4D78"/>
                <w:sz w:val="20"/>
              </w:rPr>
              <w:t>Phase</w:t>
            </w:r>
          </w:p>
        </w:tc>
        <w:tc>
          <w:tcPr>
            <w:tcW w:type="dxa" w:w="5100"/>
            <w:shd w:fill="E8EEF5"/>
            <w:tcMar>
              <w:top w:w="80" w:type="dxa"/>
              <w:start w:w="120" w:type="dxa"/>
              <w:bottom w:w="80" w:type="dxa"/>
              <w:end w:w="120" w:type="dxa"/>
            </w:tcMar>
            <w:vAlign w:val="center"/>
          </w:tcPr>
          <w:p>
            <w:pPr>
              <w:spacing w:after="0"/>
            </w:pPr>
            <w:r>
              <w:rPr>
                <w:rFonts w:ascii="Calibri" w:hAnsi="Calibri"/>
                <w:b/>
                <w:i w:val="0"/>
                <w:color w:val="1F4D78"/>
                <w:sz w:val="20"/>
              </w:rPr>
              <w:t>Actions</w:t>
            </w:r>
          </w:p>
        </w:tc>
        <w:tc>
          <w:tcPr>
            <w:tcW w:type="dxa" w:w="3060"/>
            <w:shd w:fill="E8EEF5"/>
            <w:tcMar>
              <w:top w:w="80" w:type="dxa"/>
              <w:start w:w="120" w:type="dxa"/>
              <w:bottom w:w="80" w:type="dxa"/>
              <w:end w:w="120" w:type="dxa"/>
            </w:tcMar>
            <w:vAlign w:val="center"/>
          </w:tcPr>
          <w:p>
            <w:pPr>
              <w:spacing w:after="0"/>
            </w:pPr>
            <w:r>
              <w:rPr>
                <w:rFonts w:ascii="Calibri" w:hAnsi="Calibri"/>
                <w:b/>
                <w:i w:val="0"/>
                <w:color w:val="1F4D78"/>
                <w:sz w:val="20"/>
              </w:rPr>
              <w:t>Exit criteria</w:t>
            </w:r>
          </w:p>
        </w:tc>
      </w:tr>
      <w:tr>
        <w:tc>
          <w:tcPr>
            <w:tcW w:type="dxa" w:w="1200"/>
            <w:tcMar>
              <w:top w:w="80" w:type="dxa"/>
              <w:start w:w="120" w:type="dxa"/>
              <w:bottom w:w="80" w:type="dxa"/>
              <w:end w:w="120" w:type="dxa"/>
            </w:tcMar>
            <w:vAlign w:val="center"/>
          </w:tcPr>
          <w:p>
            <w:pPr>
              <w:spacing w:after="0"/>
            </w:pPr>
            <w:r>
              <w:rPr>
                <w:rFonts w:ascii="Calibri" w:hAnsi="Calibri"/>
                <w:b w:val="0"/>
                <w:i w:val="0"/>
                <w:color w:val="000000"/>
                <w:sz w:val="19"/>
              </w:rPr>
              <w:t>0 - Baseline</w:t>
            </w:r>
          </w:p>
        </w:tc>
        <w:tc>
          <w:tcPr>
            <w:tcW w:type="dxa" w:w="5100"/>
            <w:tcMar>
              <w:top w:w="80" w:type="dxa"/>
              <w:start w:w="120" w:type="dxa"/>
              <w:bottom w:w="80" w:type="dxa"/>
              <w:end w:w="120" w:type="dxa"/>
            </w:tcMar>
            <w:vAlign w:val="center"/>
          </w:tcPr>
          <w:p>
            <w:pPr>
              <w:spacing w:after="0"/>
            </w:pPr>
            <w:r>
              <w:rPr>
                <w:rFonts w:ascii="Calibri" w:hAnsi="Calibri"/>
                <w:b w:val="0"/>
                <w:i w:val="0"/>
                <w:color w:val="000000"/>
                <w:sz w:val="19"/>
              </w:rPr>
              <w:t>Freeze scope; inventory tracked/ignored files; capture builds, dependency state, routes, exports, and environment map</w:t>
            </w:r>
          </w:p>
        </w:tc>
        <w:tc>
          <w:tcPr>
            <w:tcW w:type="dxa" w:w="3060"/>
            <w:tcMar>
              <w:top w:w="80" w:type="dxa"/>
              <w:start w:w="120" w:type="dxa"/>
              <w:bottom w:w="80" w:type="dxa"/>
              <w:end w:w="120" w:type="dxa"/>
            </w:tcMar>
            <w:vAlign w:val="center"/>
          </w:tcPr>
          <w:p>
            <w:pPr>
              <w:spacing w:after="0"/>
            </w:pPr>
            <w:r>
              <w:rPr>
                <w:rFonts w:ascii="Calibri" w:hAnsi="Calibri"/>
                <w:b w:val="0"/>
                <w:i w:val="0"/>
                <w:color w:val="000000"/>
                <w:sz w:val="19"/>
              </w:rPr>
              <w:t>Approved inventory; clean baseline or documented existing changes.</w:t>
            </w:r>
          </w:p>
        </w:tc>
      </w:tr>
      <w:tr>
        <w:tc>
          <w:tcPr>
            <w:tcW w:type="dxa" w:w="1200"/>
            <w:tcMar>
              <w:top w:w="80" w:type="dxa"/>
              <w:start w:w="120" w:type="dxa"/>
              <w:bottom w:w="80" w:type="dxa"/>
              <w:end w:w="120" w:type="dxa"/>
            </w:tcMar>
            <w:vAlign w:val="center"/>
          </w:tcPr>
          <w:p>
            <w:pPr>
              <w:spacing w:after="0"/>
            </w:pPr>
            <w:r>
              <w:rPr>
                <w:rFonts w:ascii="Calibri" w:hAnsi="Calibri"/>
                <w:b w:val="0"/>
                <w:i w:val="0"/>
                <w:color w:val="000000"/>
                <w:sz w:val="19"/>
              </w:rPr>
              <w:t>1 - Documentation</w:t>
            </w:r>
          </w:p>
        </w:tc>
        <w:tc>
          <w:tcPr>
            <w:tcW w:type="dxa" w:w="5100"/>
            <w:tcMar>
              <w:top w:w="80" w:type="dxa"/>
              <w:start w:w="120" w:type="dxa"/>
              <w:bottom w:w="80" w:type="dxa"/>
              <w:end w:w="120" w:type="dxa"/>
            </w:tcMar>
            <w:vAlign w:val="center"/>
          </w:tcPr>
          <w:p>
            <w:pPr>
              <w:spacing w:after="0"/>
            </w:pPr>
            <w:r>
              <w:rPr>
                <w:rFonts w:ascii="Calibri" w:hAnsi="Calibri"/>
                <w:b w:val="0"/>
                <w:i w:val="0"/>
                <w:color w:val="000000"/>
                <w:sz w:val="19"/>
              </w:rPr>
              <w:t>Replace README; create docs index, functional docs, operations handbook, architecture overview; label stale/archive docs</w:t>
            </w:r>
          </w:p>
        </w:tc>
        <w:tc>
          <w:tcPr>
            <w:tcW w:type="dxa" w:w="3060"/>
            <w:tcMar>
              <w:top w:w="80" w:type="dxa"/>
              <w:start w:w="120" w:type="dxa"/>
              <w:bottom w:w="80" w:type="dxa"/>
              <w:end w:w="120" w:type="dxa"/>
            </w:tcMar>
            <w:vAlign w:val="center"/>
          </w:tcPr>
          <w:p>
            <w:pPr>
              <w:spacing w:after="0"/>
            </w:pPr>
            <w:r>
              <w:rPr>
                <w:rFonts w:ascii="Calibri" w:hAnsi="Calibri"/>
                <w:b w:val="0"/>
                <w:i w:val="0"/>
                <w:color w:val="000000"/>
                <w:sz w:val="19"/>
              </w:rPr>
              <w:t>Maintainer can set up, modify, test, and explain all three contexts from docs alone.</w:t>
            </w:r>
          </w:p>
        </w:tc>
      </w:tr>
      <w:tr>
        <w:tc>
          <w:tcPr>
            <w:tcW w:type="dxa" w:w="1200"/>
            <w:tcMar>
              <w:top w:w="80" w:type="dxa"/>
              <w:start w:w="120" w:type="dxa"/>
              <w:bottom w:w="80" w:type="dxa"/>
              <w:end w:w="120" w:type="dxa"/>
            </w:tcMar>
            <w:vAlign w:val="center"/>
          </w:tcPr>
          <w:p>
            <w:pPr>
              <w:spacing w:after="0"/>
            </w:pPr>
            <w:r>
              <w:rPr>
                <w:rFonts w:ascii="Calibri" w:hAnsi="Calibri"/>
                <w:b w:val="0"/>
                <w:i w:val="0"/>
                <w:color w:val="000000"/>
                <w:sz w:val="19"/>
              </w:rPr>
              <w:t>2 - Generated state</w:t>
            </w:r>
          </w:p>
        </w:tc>
        <w:tc>
          <w:tcPr>
            <w:tcW w:type="dxa" w:w="5100"/>
            <w:tcMar>
              <w:top w:w="80" w:type="dxa"/>
              <w:start w:w="120" w:type="dxa"/>
              <w:bottom w:w="80" w:type="dxa"/>
              <w:end w:w="120" w:type="dxa"/>
            </w:tcMar>
            <w:vAlign w:val="center"/>
          </w:tcPr>
          <w:p>
            <w:pPr>
              <w:spacing w:after="0"/>
            </w:pPr>
            <w:r>
              <w:rPr>
                <w:rFonts w:ascii="Calibri" w:hAnsi="Calibri"/>
                <w:b w:val="0"/>
                <w:i w:val="0"/>
                <w:color w:val="000000"/>
                <w:sz w:val="19"/>
              </w:rPr>
              <w:t>Select canonical emulator snapshot; delete redundant ignored exports/logs/build output; document regeneration</w:t>
            </w:r>
          </w:p>
        </w:tc>
        <w:tc>
          <w:tcPr>
            <w:tcW w:type="dxa" w:w="3060"/>
            <w:tcMar>
              <w:top w:w="80" w:type="dxa"/>
              <w:start w:w="120" w:type="dxa"/>
              <w:bottom w:w="80" w:type="dxa"/>
              <w:end w:w="120" w:type="dxa"/>
            </w:tcMar>
            <w:vAlign w:val="center"/>
          </w:tcPr>
          <w:p>
            <w:pPr>
              <w:spacing w:after="0"/>
            </w:pPr>
            <w:r>
              <w:rPr>
                <w:rFonts w:ascii="Calibri" w:hAnsi="Calibri"/>
                <w:b w:val="0"/>
                <w:i w:val="0"/>
                <w:color w:val="000000"/>
                <w:sz w:val="19"/>
              </w:rPr>
              <w:t>No required data lost; clean clone remains reproducible.</w:t>
            </w:r>
          </w:p>
        </w:tc>
      </w:tr>
      <w:tr>
        <w:tc>
          <w:tcPr>
            <w:tcW w:type="dxa" w:w="1200"/>
            <w:tcMar>
              <w:top w:w="80" w:type="dxa"/>
              <w:start w:w="120" w:type="dxa"/>
              <w:bottom w:w="80" w:type="dxa"/>
              <w:end w:w="120" w:type="dxa"/>
            </w:tcMar>
            <w:vAlign w:val="center"/>
          </w:tcPr>
          <w:p>
            <w:pPr>
              <w:spacing w:after="0"/>
            </w:pPr>
            <w:r>
              <w:rPr>
                <w:rFonts w:ascii="Calibri" w:hAnsi="Calibri"/>
                <w:b w:val="0"/>
                <w:i w:val="0"/>
                <w:color w:val="000000"/>
                <w:sz w:val="19"/>
              </w:rPr>
              <w:t>3 - Safe removals</w:t>
            </w:r>
          </w:p>
        </w:tc>
        <w:tc>
          <w:tcPr>
            <w:tcW w:type="dxa" w:w="5100"/>
            <w:tcMar>
              <w:top w:w="80" w:type="dxa"/>
              <w:start w:w="120" w:type="dxa"/>
              <w:bottom w:w="80" w:type="dxa"/>
              <w:end w:w="120" w:type="dxa"/>
            </w:tcMar>
            <w:vAlign w:val="center"/>
          </w:tcPr>
          <w:p>
            <w:pPr>
              <w:spacing w:after="0"/>
            </w:pPr>
            <w:r>
              <w:rPr>
                <w:rFonts w:ascii="Calibri" w:hAnsi="Calibri"/>
                <w:b w:val="0"/>
                <w:i w:val="0"/>
                <w:color w:val="000000"/>
                <w:sz w:val="19"/>
              </w:rPr>
              <w:t>Diff/delete .bak files; address tracked users.json; remove confirmed unused styles/modules one small batch at a time</w:t>
            </w:r>
          </w:p>
        </w:tc>
        <w:tc>
          <w:tcPr>
            <w:tcW w:type="dxa" w:w="3060"/>
            <w:tcMar>
              <w:top w:w="80" w:type="dxa"/>
              <w:start w:w="120" w:type="dxa"/>
              <w:bottom w:w="80" w:type="dxa"/>
              <w:end w:w="120" w:type="dxa"/>
            </w:tcMar>
            <w:vAlign w:val="center"/>
          </w:tcPr>
          <w:p>
            <w:pPr>
              <w:spacing w:after="0"/>
            </w:pPr>
            <w:r>
              <w:rPr>
                <w:rFonts w:ascii="Calibri" w:hAnsi="Calibri"/>
                <w:b w:val="0"/>
                <w:i w:val="0"/>
                <w:color w:val="000000"/>
                <w:sz w:val="19"/>
              </w:rPr>
              <w:t>Each batch passes build and smoke tests; security review complete.</w:t>
            </w:r>
          </w:p>
        </w:tc>
      </w:tr>
      <w:tr>
        <w:tc>
          <w:tcPr>
            <w:tcW w:type="dxa" w:w="1200"/>
            <w:tcMar>
              <w:top w:w="80" w:type="dxa"/>
              <w:start w:w="120" w:type="dxa"/>
              <w:bottom w:w="80" w:type="dxa"/>
              <w:end w:w="120" w:type="dxa"/>
            </w:tcMar>
            <w:vAlign w:val="center"/>
          </w:tcPr>
          <w:p>
            <w:pPr>
              <w:spacing w:after="0"/>
            </w:pPr>
            <w:r>
              <w:rPr>
                <w:rFonts w:ascii="Calibri" w:hAnsi="Calibri"/>
                <w:b w:val="0"/>
                <w:i w:val="0"/>
                <w:color w:val="000000"/>
                <w:sz w:val="19"/>
              </w:rPr>
              <w:t>4 - Restructure</w:t>
            </w:r>
          </w:p>
        </w:tc>
        <w:tc>
          <w:tcPr>
            <w:tcW w:type="dxa" w:w="5100"/>
            <w:tcMar>
              <w:top w:w="80" w:type="dxa"/>
              <w:start w:w="120" w:type="dxa"/>
              <w:bottom w:w="80" w:type="dxa"/>
              <w:end w:w="120" w:type="dxa"/>
            </w:tcMar>
            <w:vAlign w:val="center"/>
          </w:tcPr>
          <w:p>
            <w:pPr>
              <w:spacing w:after="0"/>
            </w:pPr>
            <w:r>
              <w:rPr>
                <w:rFonts w:ascii="Calibri" w:hAnsi="Calibri"/>
                <w:b w:val="0"/>
                <w:i w:val="0"/>
                <w:color w:val="000000"/>
                <w:sz w:val="19"/>
              </w:rPr>
              <w:t>Move docs and scripts using git mv; update every path/reference; add script catalog and wrappers</w:t>
            </w:r>
          </w:p>
        </w:tc>
        <w:tc>
          <w:tcPr>
            <w:tcW w:type="dxa" w:w="3060"/>
            <w:tcMar>
              <w:top w:w="80" w:type="dxa"/>
              <w:start w:w="120" w:type="dxa"/>
              <w:bottom w:w="80" w:type="dxa"/>
              <w:end w:w="120" w:type="dxa"/>
            </w:tcMar>
            <w:vAlign w:val="center"/>
          </w:tcPr>
          <w:p>
            <w:pPr>
              <w:spacing w:after="0"/>
            </w:pPr>
            <w:r>
              <w:rPr>
                <w:rFonts w:ascii="Calibri" w:hAnsi="Calibri"/>
                <w:b w:val="0"/>
                <w:i w:val="0"/>
                <w:color w:val="000000"/>
                <w:sz w:val="19"/>
              </w:rPr>
              <w:t>All commands/docs resolve; build/emulator/deploy dry-run checks pass.</w:t>
            </w:r>
          </w:p>
        </w:tc>
      </w:tr>
      <w:tr>
        <w:tc>
          <w:tcPr>
            <w:tcW w:type="dxa" w:w="1200"/>
            <w:tcMar>
              <w:top w:w="80" w:type="dxa"/>
              <w:start w:w="120" w:type="dxa"/>
              <w:bottom w:w="80" w:type="dxa"/>
              <w:end w:w="120" w:type="dxa"/>
            </w:tcMar>
            <w:vAlign w:val="center"/>
          </w:tcPr>
          <w:p>
            <w:pPr>
              <w:spacing w:after="0"/>
            </w:pPr>
            <w:r>
              <w:rPr>
                <w:rFonts w:ascii="Calibri" w:hAnsi="Calibri"/>
                <w:b w:val="0"/>
                <w:i w:val="0"/>
                <w:color w:val="000000"/>
                <w:sz w:val="19"/>
              </w:rPr>
              <w:t>5 - Test foundation</w:t>
            </w:r>
          </w:p>
        </w:tc>
        <w:tc>
          <w:tcPr>
            <w:tcW w:type="dxa" w:w="5100"/>
            <w:tcMar>
              <w:top w:w="80" w:type="dxa"/>
              <w:start w:w="120" w:type="dxa"/>
              <w:bottom w:w="80" w:type="dxa"/>
              <w:end w:w="120" w:type="dxa"/>
            </w:tcMar>
            <w:vAlign w:val="center"/>
          </w:tcPr>
          <w:p>
            <w:pPr>
              <w:spacing w:after="0"/>
            </w:pPr>
            <w:r>
              <w:rPr>
                <w:rFonts w:ascii="Calibri" w:hAnsi="Calibri"/>
                <w:b w:val="0"/>
                <w:i w:val="0"/>
                <w:color w:val="000000"/>
                <w:sz w:val="19"/>
              </w:rPr>
              <w:t>Implement automated test stack and release checklists</w:t>
            </w:r>
          </w:p>
        </w:tc>
        <w:tc>
          <w:tcPr>
            <w:tcW w:type="dxa" w:w="3060"/>
            <w:tcMar>
              <w:top w:w="80" w:type="dxa"/>
              <w:start w:w="120" w:type="dxa"/>
              <w:bottom w:w="80" w:type="dxa"/>
              <w:end w:w="120" w:type="dxa"/>
            </w:tcMar>
            <w:vAlign w:val="center"/>
          </w:tcPr>
          <w:p>
            <w:pPr>
              <w:spacing w:after="0"/>
            </w:pPr>
            <w:r>
              <w:rPr>
                <w:rFonts w:ascii="Calibri" w:hAnsi="Calibri"/>
                <w:b w:val="0"/>
                <w:i w:val="0"/>
                <w:color w:val="000000"/>
                <w:sz w:val="19"/>
              </w:rPr>
              <w:t>Critical workflows and security rules have repeatable coverage.</w:t>
            </w:r>
          </w:p>
        </w:tc>
      </w:tr>
      <w:tr>
        <w:tc>
          <w:tcPr>
            <w:tcW w:type="dxa" w:w="1200"/>
            <w:tcMar>
              <w:top w:w="80" w:type="dxa"/>
              <w:start w:w="120" w:type="dxa"/>
              <w:bottom w:w="80" w:type="dxa"/>
              <w:end w:w="120" w:type="dxa"/>
            </w:tcMar>
            <w:vAlign w:val="center"/>
          </w:tcPr>
          <w:p>
            <w:pPr>
              <w:spacing w:after="0"/>
            </w:pPr>
            <w:r>
              <w:rPr>
                <w:rFonts w:ascii="Calibri" w:hAnsi="Calibri"/>
                <w:b w:val="0"/>
                <w:i w:val="0"/>
                <w:color w:val="000000"/>
                <w:sz w:val="19"/>
              </w:rPr>
              <w:t>6 - Governance</w:t>
            </w:r>
          </w:p>
        </w:tc>
        <w:tc>
          <w:tcPr>
            <w:tcW w:type="dxa" w:w="5100"/>
            <w:tcMar>
              <w:top w:w="80" w:type="dxa"/>
              <w:start w:w="120" w:type="dxa"/>
              <w:bottom w:w="80" w:type="dxa"/>
              <w:end w:w="120" w:type="dxa"/>
            </w:tcMar>
            <w:vAlign w:val="center"/>
          </w:tcPr>
          <w:p>
            <w:pPr>
              <w:spacing w:after="0"/>
            </w:pPr>
            <w:r>
              <w:rPr>
                <w:rFonts w:ascii="Calibri" w:hAnsi="Calibri"/>
                <w:b w:val="0"/>
                <w:i w:val="0"/>
                <w:color w:val="000000"/>
                <w:sz w:val="19"/>
              </w:rPr>
              <w:t>Add ownership, review cadence, archive policy, dependency/security checks, and optional CI</w:t>
            </w:r>
          </w:p>
        </w:tc>
        <w:tc>
          <w:tcPr>
            <w:tcW w:type="dxa" w:w="3060"/>
            <w:tcMar>
              <w:top w:w="80" w:type="dxa"/>
              <w:start w:w="120" w:type="dxa"/>
              <w:bottom w:w="80" w:type="dxa"/>
              <w:end w:w="120" w:type="dxa"/>
            </w:tcMar>
            <w:vAlign w:val="center"/>
          </w:tcPr>
          <w:p>
            <w:pPr>
              <w:spacing w:after="0"/>
            </w:pPr>
            <w:r>
              <w:rPr>
                <w:rFonts w:ascii="Calibri" w:hAnsi="Calibri"/>
                <w:b w:val="0"/>
                <w:i w:val="0"/>
                <w:color w:val="000000"/>
                <w:sz w:val="19"/>
              </w:rPr>
              <w:t>Documentation and cleanup rules are enforced continuously.</w:t>
            </w:r>
          </w:p>
        </w:tc>
      </w:tr>
    </w:tbl>
    <w:p>
      <w:pPr>
        <w:spacing w:after="0"/>
      </w:pPr>
    </w:p>
    <w:p>
      <w:pPr>
        <w:pStyle w:val="Heading1"/>
        <w:keepNext/>
      </w:pPr>
      <w:r>
        <w:t>9. Cleanup safety gates</w:t>
      </w:r>
    </w:p>
    <w:p>
      <w:pPr>
        <w:pStyle w:val="ListBullet"/>
        <w:spacing w:after="80" w:line="300" w:lineRule="auto"/>
      </w:pPr>
      <w:r>
        <w:rPr>
          <w:rFonts w:ascii="Calibri" w:hAnsi="Calibri"/>
          <w:b w:val="0"/>
          <w:i w:val="0"/>
          <w:color w:val="000000"/>
          <w:sz w:val="22"/>
        </w:rPr>
        <w:t>Never delete solely because a file has no import reference. Check package scripts, Firebase conventions, direct CLI invocation, deployment configuration, documentation links, and external runbooks.</w:t>
      </w:r>
    </w:p>
    <w:p>
      <w:pPr>
        <w:pStyle w:val="ListBullet"/>
        <w:spacing w:after="80" w:line="300" w:lineRule="auto"/>
      </w:pPr>
      <w:r>
        <w:rPr>
          <w:rFonts w:ascii="Calibri" w:hAnsi="Calibri"/>
          <w:b w:val="0"/>
          <w:i w:val="0"/>
          <w:color w:val="000000"/>
          <w:sz w:val="22"/>
        </w:rPr>
        <w:t>Quarantine uncertain files for one release cycle (for example under archive/quarantine with a manifest) before permanent deletion.</w:t>
      </w:r>
    </w:p>
    <w:p>
      <w:pPr>
        <w:pStyle w:val="ListBullet"/>
        <w:spacing w:after="80" w:line="300" w:lineRule="auto"/>
      </w:pPr>
      <w:r>
        <w:rPr>
          <w:rFonts w:ascii="Calibri" w:hAnsi="Calibri"/>
          <w:b w:val="0"/>
          <w:i w:val="0"/>
          <w:color w:val="000000"/>
          <w:sz w:val="22"/>
        </w:rPr>
        <w:t>Make small commits by category: documentation, generated data, backup files, scripts, source modules, then folder moves.</w:t>
      </w:r>
    </w:p>
    <w:p>
      <w:pPr>
        <w:pStyle w:val="ListBullet"/>
        <w:spacing w:after="80" w:line="300" w:lineRule="auto"/>
      </w:pPr>
      <w:r>
        <w:rPr>
          <w:rFonts w:ascii="Calibri" w:hAnsi="Calibri"/>
          <w:b w:val="0"/>
          <w:i w:val="0"/>
          <w:color w:val="000000"/>
          <w:sz w:val="22"/>
        </w:rPr>
        <w:t>For every source deletion: run frontend build/type checks, functions build, emulator start, and relevant smoke paths.</w:t>
      </w:r>
    </w:p>
    <w:p>
      <w:pPr>
        <w:pStyle w:val="ListBullet"/>
        <w:spacing w:after="80" w:line="300" w:lineRule="auto"/>
      </w:pPr>
      <w:r>
        <w:rPr>
          <w:rFonts w:ascii="Calibri" w:hAnsi="Calibri"/>
          <w:b w:val="0"/>
          <w:i w:val="0"/>
          <w:color w:val="000000"/>
          <w:sz w:val="22"/>
        </w:rPr>
        <w:t>For every deployment-script move: test path resolution and provide a non-deploying preflight/dry-run mode before production use.</w:t>
      </w:r>
    </w:p>
    <w:p>
      <w:pPr>
        <w:pStyle w:val="ListBullet"/>
        <w:spacing w:after="80" w:line="300" w:lineRule="auto"/>
      </w:pPr>
      <w:r>
        <w:rPr>
          <w:rFonts w:ascii="Calibri" w:hAnsi="Calibri"/>
          <w:b w:val="0"/>
          <w:i w:val="0"/>
          <w:color w:val="000000"/>
          <w:sz w:val="22"/>
        </w:rPr>
        <w:t>Treat users.json as a security issue, not ordinary clutter. Determine whether secrets or personal data entered Git history and follow an approved remediation procedure.</w:t>
      </w:r>
    </w:p>
    <w:p>
      <w:pPr>
        <w:pStyle w:val="Heading1"/>
        <w:keepNext/>
      </w:pPr>
      <w:r>
        <w:t>10. Decisions required before implementation</w:t>
      </w:r>
    </w:p>
    <w:tbl>
      <w:tblPr>
        <w:tblStyle w:val="TableGrid"/>
        <w:tblW w:type="dxa" w:w="9360"/>
        <w:jc w:val="left"/>
        <w:tblLayout w:type="fixed"/>
        <w:tblLook w:firstColumn="1" w:firstRow="1" w:lastColumn="0" w:lastRow="0" w:noHBand="0" w:noVBand="1" w:val="04A0"/>
        <w:tblInd w:w="120" w:type="dxa"/>
      </w:tblPr>
      <w:tblGrid>
        <w:gridCol w:w="3100"/>
        <w:gridCol w:w="6260"/>
      </w:tblGrid>
      <w:tr>
        <w:tc>
          <w:tcPr>
            <w:tcW w:type="dxa" w:w="3100"/>
            <w:shd w:fill="E8EEF5"/>
            <w:tcMar>
              <w:top w:w="80" w:type="dxa"/>
              <w:start w:w="120" w:type="dxa"/>
              <w:bottom w:w="80" w:type="dxa"/>
              <w:end w:w="120" w:type="dxa"/>
            </w:tcMar>
            <w:vAlign w:val="center"/>
          </w:tcPr>
          <w:p>
            <w:pPr>
              <w:spacing w:after="0"/>
            </w:pPr>
            <w:r>
              <w:rPr>
                <w:rFonts w:ascii="Calibri" w:hAnsi="Calibri"/>
                <w:b/>
                <w:i w:val="0"/>
                <w:color w:val="1F4D78"/>
                <w:sz w:val="20"/>
              </w:rPr>
              <w:t>Decision</w:t>
            </w:r>
          </w:p>
        </w:tc>
        <w:tc>
          <w:tcPr>
            <w:tcW w:type="dxa" w:w="6260"/>
            <w:shd w:fill="E8EEF5"/>
            <w:tcMar>
              <w:top w:w="80" w:type="dxa"/>
              <w:start w:w="120" w:type="dxa"/>
              <w:bottom w:w="80" w:type="dxa"/>
              <w:end w:w="120" w:type="dxa"/>
            </w:tcMar>
            <w:vAlign w:val="center"/>
          </w:tcPr>
          <w:p>
            <w:pPr>
              <w:spacing w:after="0"/>
            </w:pPr>
            <w:r>
              <w:rPr>
                <w:rFonts w:ascii="Calibri" w:hAnsi="Calibri"/>
                <w:b/>
                <w:i w:val="0"/>
                <w:color w:val="1F4D78"/>
                <w:sz w:val="20"/>
              </w:rPr>
              <w:t>Recommended answer</w:t>
            </w:r>
          </w:p>
        </w:tc>
      </w:tr>
      <w:tr>
        <w:tc>
          <w:tcPr>
            <w:tcW w:type="dxa" w:w="3100"/>
            <w:tcMar>
              <w:top w:w="80" w:type="dxa"/>
              <w:start w:w="120" w:type="dxa"/>
              <w:bottom w:w="80" w:type="dxa"/>
              <w:end w:w="120" w:type="dxa"/>
            </w:tcMar>
            <w:vAlign w:val="center"/>
          </w:tcPr>
          <w:p>
            <w:pPr>
              <w:spacing w:after="0"/>
            </w:pPr>
            <w:r>
              <w:rPr>
                <w:rFonts w:ascii="Calibri" w:hAnsi="Calibri"/>
                <w:b w:val="0"/>
                <w:i w:val="0"/>
                <w:color w:val="000000"/>
                <w:sz w:val="19"/>
              </w:rPr>
              <w:t>Deliverable documentation format</w:t>
            </w:r>
          </w:p>
        </w:tc>
        <w:tc>
          <w:tcPr>
            <w:tcW w:type="dxa" w:w="6260"/>
            <w:tcMar>
              <w:top w:w="80" w:type="dxa"/>
              <w:start w:w="120" w:type="dxa"/>
              <w:bottom w:w="80" w:type="dxa"/>
              <w:end w:w="120" w:type="dxa"/>
            </w:tcMar>
            <w:vAlign w:val="center"/>
          </w:tcPr>
          <w:p>
            <w:pPr>
              <w:spacing w:after="0"/>
            </w:pPr>
            <w:r>
              <w:rPr>
                <w:rFonts w:ascii="Calibri" w:hAnsi="Calibri"/>
                <w:b w:val="0"/>
                <w:i w:val="0"/>
                <w:color w:val="000000"/>
                <w:sz w:val="19"/>
              </w:rPr>
              <w:t>Markdown in-repository for maintainability; optional generated DOCX/PDF releases only when needed.</w:t>
            </w:r>
          </w:p>
        </w:tc>
      </w:tr>
      <w:tr>
        <w:tc>
          <w:tcPr>
            <w:tcW w:type="dxa" w:w="3100"/>
            <w:tcMar>
              <w:top w:w="80" w:type="dxa"/>
              <w:start w:w="120" w:type="dxa"/>
              <w:bottom w:w="80" w:type="dxa"/>
              <w:end w:w="120" w:type="dxa"/>
            </w:tcMar>
            <w:vAlign w:val="center"/>
          </w:tcPr>
          <w:p>
            <w:pPr>
              <w:spacing w:after="0"/>
            </w:pPr>
            <w:r>
              <w:rPr>
                <w:rFonts w:ascii="Calibri" w:hAnsi="Calibri"/>
                <w:b w:val="0"/>
                <w:i w:val="0"/>
                <w:color w:val="000000"/>
                <w:sz w:val="19"/>
              </w:rPr>
              <w:t>Environment terminology</w:t>
            </w:r>
          </w:p>
        </w:tc>
        <w:tc>
          <w:tcPr>
            <w:tcW w:type="dxa" w:w="6260"/>
            <w:tcMar>
              <w:top w:w="80" w:type="dxa"/>
              <w:start w:w="120" w:type="dxa"/>
              <w:bottom w:w="80" w:type="dxa"/>
              <w:end w:w="120" w:type="dxa"/>
            </w:tcMar>
            <w:vAlign w:val="center"/>
          </w:tcPr>
          <w:p>
            <w:pPr>
              <w:spacing w:after="0"/>
            </w:pPr>
            <w:r>
              <w:rPr>
                <w:rFonts w:ascii="Calibri" w:hAnsi="Calibri"/>
                <w:b w:val="0"/>
                <w:i w:val="0"/>
                <w:color w:val="000000"/>
                <w:sz w:val="19"/>
              </w:rPr>
              <w:t>Local/Emulator, Staging Cloud, Production Cloud. Reserve Dev Cloud for a future separate project.</w:t>
            </w:r>
          </w:p>
        </w:tc>
      </w:tr>
      <w:tr>
        <w:tc>
          <w:tcPr>
            <w:tcW w:type="dxa" w:w="3100"/>
            <w:tcMar>
              <w:top w:w="80" w:type="dxa"/>
              <w:start w:w="120" w:type="dxa"/>
              <w:bottom w:w="80" w:type="dxa"/>
              <w:end w:w="120" w:type="dxa"/>
            </w:tcMar>
            <w:vAlign w:val="center"/>
          </w:tcPr>
          <w:p>
            <w:pPr>
              <w:spacing w:after="0"/>
            </w:pPr>
            <w:r>
              <w:rPr>
                <w:rFonts w:ascii="Calibri" w:hAnsi="Calibri"/>
                <w:b w:val="0"/>
                <w:i w:val="0"/>
                <w:color w:val="000000"/>
                <w:sz w:val="19"/>
              </w:rPr>
              <w:t>Historical documentation</w:t>
            </w:r>
          </w:p>
        </w:tc>
        <w:tc>
          <w:tcPr>
            <w:tcW w:type="dxa" w:w="6260"/>
            <w:tcMar>
              <w:top w:w="80" w:type="dxa"/>
              <w:start w:w="120" w:type="dxa"/>
              <w:bottom w:w="80" w:type="dxa"/>
              <w:end w:w="120" w:type="dxa"/>
            </w:tcMar>
            <w:vAlign w:val="center"/>
          </w:tcPr>
          <w:p>
            <w:pPr>
              <w:spacing w:after="0"/>
            </w:pPr>
            <w:r>
              <w:rPr>
                <w:rFonts w:ascii="Calibri" w:hAnsi="Calibri"/>
                <w:b w:val="0"/>
                <w:i w:val="0"/>
                <w:color w:val="000000"/>
                <w:sz w:val="19"/>
              </w:rPr>
              <w:t>Retain in docs/archive with an index, status, completion date, and superseded-by link.</w:t>
            </w:r>
          </w:p>
        </w:tc>
      </w:tr>
      <w:tr>
        <w:tc>
          <w:tcPr>
            <w:tcW w:type="dxa" w:w="3100"/>
            <w:tcMar>
              <w:top w:w="80" w:type="dxa"/>
              <w:start w:w="120" w:type="dxa"/>
              <w:bottom w:w="80" w:type="dxa"/>
              <w:end w:w="120" w:type="dxa"/>
            </w:tcMar>
            <w:vAlign w:val="center"/>
          </w:tcPr>
          <w:p>
            <w:pPr>
              <w:spacing w:after="0"/>
            </w:pPr>
            <w:r>
              <w:rPr>
                <w:rFonts w:ascii="Calibri" w:hAnsi="Calibri"/>
                <w:b w:val="0"/>
                <w:i w:val="0"/>
                <w:color w:val="000000"/>
                <w:sz w:val="19"/>
              </w:rPr>
              <w:t>Uncertain unused files</w:t>
            </w:r>
          </w:p>
        </w:tc>
        <w:tc>
          <w:tcPr>
            <w:tcW w:type="dxa" w:w="6260"/>
            <w:tcMar>
              <w:top w:w="80" w:type="dxa"/>
              <w:start w:w="120" w:type="dxa"/>
              <w:bottom w:w="80" w:type="dxa"/>
              <w:end w:w="120" w:type="dxa"/>
            </w:tcMar>
            <w:vAlign w:val="center"/>
          </w:tcPr>
          <w:p>
            <w:pPr>
              <w:spacing w:after="0"/>
            </w:pPr>
            <w:r>
              <w:rPr>
                <w:rFonts w:ascii="Calibri" w:hAnsi="Calibri"/>
                <w:b w:val="0"/>
                <w:i w:val="0"/>
                <w:color w:val="000000"/>
                <w:sz w:val="19"/>
              </w:rPr>
              <w:t>Quarantine for one release, then delete after checks and owner approval.</w:t>
            </w:r>
          </w:p>
        </w:tc>
      </w:tr>
      <w:tr>
        <w:tc>
          <w:tcPr>
            <w:tcW w:type="dxa" w:w="3100"/>
            <w:tcMar>
              <w:top w:w="80" w:type="dxa"/>
              <w:start w:w="120" w:type="dxa"/>
              <w:bottom w:w="80" w:type="dxa"/>
              <w:end w:w="120" w:type="dxa"/>
            </w:tcMar>
            <w:vAlign w:val="center"/>
          </w:tcPr>
          <w:p>
            <w:pPr>
              <w:spacing w:after="0"/>
            </w:pPr>
            <w:r>
              <w:rPr>
                <w:rFonts w:ascii="Calibri" w:hAnsi="Calibri"/>
                <w:b w:val="0"/>
                <w:i w:val="0"/>
                <w:color w:val="000000"/>
                <w:sz w:val="19"/>
              </w:rPr>
              <w:t>Emulator data</w:t>
            </w:r>
          </w:p>
        </w:tc>
        <w:tc>
          <w:tcPr>
            <w:tcW w:type="dxa" w:w="6260"/>
            <w:tcMar>
              <w:top w:w="80" w:type="dxa"/>
              <w:start w:w="120" w:type="dxa"/>
              <w:bottom w:w="80" w:type="dxa"/>
              <w:end w:w="120" w:type="dxa"/>
            </w:tcMar>
            <w:vAlign w:val="center"/>
          </w:tcPr>
          <w:p>
            <w:pPr>
              <w:spacing w:after="0"/>
            </w:pPr>
            <w:r>
              <w:rPr>
                <w:rFonts w:ascii="Calibri" w:hAnsi="Calibri"/>
                <w:b w:val="0"/>
                <w:i w:val="0"/>
                <w:color w:val="000000"/>
                <w:sz w:val="19"/>
              </w:rPr>
              <w:t>Keep exactly one intentional seed/snapshot strategy; store large/sensitive snapshots outside Git.</w:t>
            </w:r>
          </w:p>
        </w:tc>
      </w:tr>
      <w:tr>
        <w:tc>
          <w:tcPr>
            <w:tcW w:type="dxa" w:w="3100"/>
            <w:tcMar>
              <w:top w:w="80" w:type="dxa"/>
              <w:start w:w="120" w:type="dxa"/>
              <w:bottom w:w="80" w:type="dxa"/>
              <w:end w:w="120" w:type="dxa"/>
            </w:tcMar>
            <w:vAlign w:val="center"/>
          </w:tcPr>
          <w:p>
            <w:pPr>
              <w:spacing w:after="0"/>
            </w:pPr>
            <w:r>
              <w:rPr>
                <w:rFonts w:ascii="Calibri" w:hAnsi="Calibri"/>
                <w:b w:val="0"/>
                <w:i w:val="0"/>
                <w:color w:val="000000"/>
                <w:sz w:val="19"/>
              </w:rPr>
              <w:t>Deployment automation</w:t>
            </w:r>
          </w:p>
        </w:tc>
        <w:tc>
          <w:tcPr>
            <w:tcW w:type="dxa" w:w="6260"/>
            <w:tcMar>
              <w:top w:w="80" w:type="dxa"/>
              <w:start w:w="120" w:type="dxa"/>
              <w:bottom w:w="80" w:type="dxa"/>
              <w:end w:w="120" w:type="dxa"/>
            </w:tcMar>
            <w:vAlign w:val="center"/>
          </w:tcPr>
          <w:p>
            <w:pPr>
              <w:spacing w:after="0"/>
            </w:pPr>
            <w:r>
              <w:rPr>
                <w:rFonts w:ascii="Calibri" w:hAnsi="Calibri"/>
                <w:b w:val="0"/>
                <w:i w:val="0"/>
                <w:color w:val="000000"/>
                <w:sz w:val="19"/>
              </w:rPr>
              <w:t>First make manual scripts safe and documented; add CI/CD only after tests and approvals are reliable.</w:t>
            </w:r>
          </w:p>
        </w:tc>
      </w:tr>
    </w:tbl>
    <w:p>
      <w:pPr>
        <w:spacing w:after="0"/>
      </w:pPr>
    </w:p>
    <w:p>
      <w:pPr>
        <w:pStyle w:val="Heading1"/>
        <w:keepNext/>
      </w:pPr>
      <w:r>
        <w:t>Appendix A - Evidence and limitations</w:t>
      </w:r>
    </w:p>
    <w:p>
      <w:pPr>
        <w:spacing w:after="120" w:line="300" w:lineRule="auto"/>
      </w:pPr>
      <w:r>
        <w:rPr>
          <w:rFonts w:ascii="Calibri" w:hAnsi="Calibri"/>
          <w:b w:val="0"/>
          <w:i w:val="0"/>
          <w:color w:val="000000"/>
          <w:sz w:val="22"/>
        </w:rPr>
        <w:t>Evidence inspected included Git status/tracked paths, package manifests, Vite/TypeScript/Firebase configuration, Firebase project aliases, environment-variable names (values were not reproduced), frontend Firebase initialization, emulator scripts, deployment scripts, source imports, documentation inventory, and file sizes. No build, emulator, migration, deployment, data mutation, file move, or deletion was performed.</w:t>
      </w:r>
    </w:p>
    <w:p>
      <w:pPr>
        <w:spacing w:after="120" w:line="300" w:lineRule="auto"/>
      </w:pPr>
      <w:r>
        <w:rPr>
          <w:rFonts w:ascii="Calibri" w:hAnsi="Calibri"/>
          <w:b w:val="0"/>
          <w:i w:val="0"/>
          <w:color w:val="000000"/>
          <w:sz w:val="22"/>
        </w:rPr>
        <w:t>The static reference scan is heuristic. It identified candidate files without relative import references, but it cannot prove absence of runtime, external, convention-based, or direct-command use. Final removal decisions require the phase-specific gates above.</w:t>
      </w:r>
    </w:p>
    <w:p>
      <w:pPr>
        <w:spacing w:after="120" w:line="300" w:lineRule="auto"/>
      </w:pPr>
      <w:r>
        <w:rPr>
          <w:rFonts w:ascii="Calibri" w:hAnsi="Calibri"/>
          <w:b w:val="0"/>
          <w:i w:val="0"/>
          <w:color w:val="000000"/>
          <w:sz w:val="22"/>
        </w:rPr>
        <w:t>Working-tree state observed and intentionally preserved: prepare-prod-env.md modified; two migration scripts already marked deleted; gsutil-to-gcloud-storage-verification-plan.md untracked. These were not attributed to this planning work and must be reconciled by the repository owner before cleanup begins.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777777"/>
        <w:sz w:val="18"/>
      </w:rPr>
      <w:t>Planning artifact - no cleanup actions executed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666666"/>
        <w:sz w:val="18"/>
      </w:rPr>
      <w:t>APITHERAPYV2  |  REPOSITORY CLEANUP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