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80"/>
        <w:jc w:val="right"/>
      </w:pPr>
      <w:r>
        <w:rPr>
          <w:rFonts w:ascii="Noto Sans JP" w:cs="Noto Sans JP" w:eastAsia="Noto Sans JP" w:hAnsi="Noto Sans JP"/>
          <w:b w:val="false"/>
          <w:bCs w:val="false"/>
          <w:i w:val="false"/>
          <w:iCs w:val="false"/>
          <w:color w:val="B84A4A"/>
          <w:sz w:val="18"/>
          <w:szCs w:val="18"/>
        </w:rPr>
        <w:t xml:space="preserve">（ドラフト・社内検討用　／　法務確認前）</w:t>
      </w:r>
    </w:p>
    <w:p>
      <w:pPr>
        <w:spacing w:after="120" w:before="400"/>
        <w:jc w:val="center"/>
      </w:pPr>
      <w:r>
        <w:rPr>
          <w:rFonts w:ascii="Noto Serif JP" w:cs="Noto Serif JP" w:eastAsia="Noto Serif JP" w:hAnsi="Noto Serif JP"/>
          <w:b/>
          <w:bCs/>
          <w:color w:val="1B6E30"/>
          <w:sz w:val="52"/>
          <w:szCs w:val="52"/>
        </w:rPr>
        <w:t xml:space="preserve">タダサポ 介護情報基盤版</w:t>
      </w:r>
    </w:p>
    <w:p>
      <w:pPr>
        <w:spacing w:after="80" w:before="0"/>
        <w:jc w:val="center"/>
      </w:pPr>
      <w:r>
        <w:rPr>
          <w:rFonts w:ascii="Noto Serif JP" w:cs="Noto Serif JP" w:eastAsia="Noto Serif JP" w:hAnsi="Noto Serif JP"/>
          <w:b/>
          <w:bCs/>
          <w:color w:val="1B6E30"/>
          <w:sz w:val="40"/>
          <w:szCs w:val="40"/>
        </w:rPr>
        <w:t xml:space="preserve">パートナーシップ協定書</w:t>
      </w:r>
    </w:p>
    <w:p>
      <w:pPr>
        <w:spacing w:after="60" w:before="60"/>
      </w:pPr>
      <w:r>
        <w:t xml:space="preserve"/>
      </w:r>
    </w:p>
    <w:p>
      <w:pPr>
        <w:spacing w:after="400" w:before="80"/>
        <w:jc w:val="center"/>
      </w:pPr>
      <w:r>
        <w:rPr>
          <w:rFonts w:ascii="Noto Sans JP" w:cs="Noto Sans JP" w:eastAsia="Noto Sans JP" w:hAnsi="Noto Sans JP"/>
          <w:color w:val="555555"/>
          <w:sz w:val="22"/>
          <w:szCs w:val="22"/>
        </w:rPr>
        <w:t xml:space="preserve">（第1版　2026年　　月　　日）</w:t>
      </w:r>
    </w:p>
    <w:p>
      <w:pPr>
        <w:spacing w:after="80" w:before="80"/>
        <w:jc w:val="left"/>
      </w:pPr>
      <w:r>
        <w:rPr>
          <w:rFonts w:ascii="Noto Sans JP" w:cs="Noto Sans JP" w:eastAsia="Noto Sans JP" w:hAnsi="Noto Sans JP"/>
          <w:b w:val="false"/>
          <w:bCs w:val="false"/>
          <w:i w:val="false"/>
          <w:iCs w:val="false"/>
          <w:color w:val="222222"/>
          <w:sz w:val="22"/>
          <w:szCs w:val="22"/>
        </w:rPr>
        <w:t xml:space="preserve">NPO法人タダカヨ（以下「甲」という）と、</w:t>
      </w:r>
      <w:r>
        <w:rPr>
          <w:rFonts w:ascii="Noto Sans JP" w:cs="Noto Sans JP" w:eastAsia="Noto Sans JP" w:hAnsi="Noto Sans JP"/>
          <w:b w:val="false"/>
          <w:bCs w:val="false"/>
          <w:i w:val="false"/>
          <w:iCs w:val="false"/>
          <w:color w:val="222222"/>
          <w:sz w:val="22"/>
          <w:szCs w:val="22"/>
          <w:u w:val="single"/>
        </w:rPr>
        <w:t xml:space="preserve">　　　　　　　　　　　　　　　　　　　　　　</w:t>
      </w:r>
      <w:r>
        <w:rPr>
          <w:rFonts w:ascii="Noto Sans JP" w:cs="Noto Sans JP" w:eastAsia="Noto Sans JP" w:hAnsi="Noto Sans JP"/>
          <w:b w:val="false"/>
          <w:bCs w:val="false"/>
          <w:i w:val="false"/>
          <w:iCs w:val="false"/>
          <w:color w:val="222222"/>
          <w:sz w:val="22"/>
          <w:szCs w:val="22"/>
        </w:rPr>
        <w:t xml:space="preserve">（以下「乙」という）は、</w:t>
      </w:r>
    </w:p>
    <w:p>
      <w:pPr>
        <w:spacing w:after="80" w:before="80"/>
        <w:jc w:val="left"/>
      </w:pPr>
      <w:r>
        <w:rPr>
          <w:rFonts w:ascii="Noto Sans JP" w:cs="Noto Sans JP" w:eastAsia="Noto Sans JP" w:hAnsi="Noto Sans JP"/>
          <w:b w:val="false"/>
          <w:bCs w:val="false"/>
          <w:i w:val="false"/>
          <w:iCs w:val="false"/>
          <w:color w:val="222222"/>
          <w:sz w:val="22"/>
          <w:szCs w:val="22"/>
        </w:rPr>
        <w:t xml:space="preserve">タダサポ 介護情報基盤版プログラム（以下「本プログラム」という）の普及・推進に関して、互いの役割を確認し、対等なパートナーとして協力するため、以下のとおり協定を締結する。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第1条（目的）</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は、介護事業所の介護情報基盤（介護施設・事業所等における電子的な情報連携基盤）への対応を支援するため、甲が乙にデバイスの卸供給および支援プログラムを提供し、乙が地域の介護事業所に対して本プログラムを案内・導入支援することにより、地域介護の質的向上に共同して貢献することを目的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第2条（定義）</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本協定において、以下の用語は次の意味で使用する。</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c>
          <w:tcPr>
            <w:tcW w:type="dxa" w:w="240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用語</w:t>
            </w:r>
          </w:p>
        </w:tc>
        <w:tc>
          <w:tcPr>
            <w:tcW w:type="dxa" w:w="624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定義</w:t>
            </w:r>
          </w:p>
        </w:tc>
      </w:tr>
      <w:tr>
        <w:tc>
          <w:tcPr>
            <w:tcW w:type="dxa" w:w="240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本プログラム</w:t>
            </w:r>
          </w:p>
        </w:tc>
        <w:tc>
          <w:tcPr>
            <w:tcW w:type="dxa" w:w="624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甲が提供する「タダサポ 介護情報基盤版」の総称。デバイス供給・設定支援・操作研修・助成金申請支援を含む一連のサービス</w:t>
            </w:r>
          </w:p>
        </w:tc>
      </w:tr>
      <w:tr>
        <w:tc>
          <w:tcPr>
            <w:tcW w:type="dxa" w:w="240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対象デバイス</w:t>
            </w:r>
          </w:p>
        </w:tc>
        <w:tc>
          <w:tcPr>
            <w:tcW w:type="dxa" w:w="624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ABサークル株式会社製カードリーダー CIR415A（Bluetooth）および CIR315A（USB Type-A）、またはこれに相当する甲が指定するデバイス</w:t>
            </w:r>
          </w:p>
        </w:tc>
      </w:tr>
      <w:tr>
        <w:tc>
          <w:tcPr>
            <w:tcW w:type="dxa" w:w="240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エンド事業所</w:t>
            </w:r>
          </w:p>
        </w:tc>
        <w:tc>
          <w:tcPr>
            <w:tcW w:type="dxa" w:w="624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乙が本プログラムを案内・導入支援する介護事業所</w:t>
            </w:r>
          </w:p>
        </w:tc>
      </w:tr>
      <w:tr>
        <w:tc>
          <w:tcPr>
            <w:tcW w:type="dxa" w:w="240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導入完了</w:t>
            </w:r>
          </w:p>
        </w:tc>
        <w:tc>
          <w:tcPr>
            <w:tcW w:type="dxa" w:w="624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エンド事業所において対象デバイスの設置・設定が完了し、介護情報基盤システムとの接続が確認された状態</w:t>
            </w:r>
          </w:p>
        </w:tc>
      </w:tr>
      <w:tr>
        <w:tc>
          <w:tcPr>
            <w:tcW w:type="dxa" w:w="240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助成金</w:t>
            </w:r>
          </w:p>
        </w:tc>
        <w:tc>
          <w:tcPr>
            <w:tcW w:type="dxa" w:w="624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介護情報基盤整備のために国または地方公共団体が定める補助金・助成金。制度内容は随時変更される場合がある</w:t>
            </w:r>
          </w:p>
        </w:tc>
      </w:tr>
    </w:tbl>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第3条（乙の役割）</w:t>
      </w:r>
    </w:p>
    <w:p>
      <w:pPr>
        <w:spacing w:after="80" w:before="80"/>
        <w:jc w:val="left"/>
      </w:pPr>
      <w:r>
        <w:rPr>
          <w:rFonts w:ascii="Noto Sans JP" w:cs="Noto Sans JP" w:eastAsia="Noto Sans JP" w:hAnsi="Noto Sans JP"/>
          <w:b w:val="false"/>
          <w:bCs w:val="false"/>
          <w:i w:val="false"/>
          <w:iCs w:val="false"/>
          <w:color w:val="222222"/>
          <w:sz w:val="22"/>
          <w:szCs w:val="22"/>
        </w:rPr>
        <w:t xml:space="preserve">乙は本プログラムの普及にあたり、以下の役割を担うものとする。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エンド事業所への本プログラムの案内・説明</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エンド事業所の申し込み手続きの支援</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対象デバイスの受取・エンド事業所への配送または持参</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(4)　デバイスの初期設定・操作研修の実施（甲提供のマニュアルに基づく）</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(5)　助成金申請書類の作成支援（甲提供のテンプレートに基づく）</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(6)　エンド事業所からの問い合わせの一次受付（解決困難な場合は甲へエスカレーション）</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(7)　甲が定めるパートナー研修の受講（年1回以上）</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第4条（甲の役割）</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甲は乙に対し、以下のサポートを提供するものとする。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対象デバイスの乙への卸供給（本協定別表1に定める卸価格による）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本プログラムに関するマニュアル・申請書類テンプレートの提供</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乙スタッフへの導入支援研修の実施</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(4)　乙からのエスカレーション問い合わせへの対応（原則3営業日以内）</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(5)　本プログラムに関する情報（制度改正・価格変更等）の乙への適時通知</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(6)　乙の活動実績の開示（甲の許可を得た広報物への掲載）</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第5条（デバイスの供給条件）</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甲が乙にデバイスを供給する場合の条件は以下のとおりとする。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卸価格および最小発注単位は本協定別表1のとおりとする。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乙はエンド事業所への販売価格を甲の定める顧客向け価格テーブル（別表2）の範囲内で設定するものとする。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乙はデバイスをエンド事業所以外の第三者に販売してはならない。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(4)　甲はやむを得ない事情（仕入先都合・制度変更等）により、合理的な事前通知をもって卸価格・供給条件を変更できるものとする。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第6条（支援費の設定）</w:t>
      </w:r>
    </w:p>
    <w:p>
      <w:pPr>
        <w:spacing w:after="80" w:before="80"/>
        <w:jc w:val="left"/>
      </w:pPr>
      <w:r>
        <w:rPr>
          <w:rFonts w:ascii="Noto Sans JP" w:cs="Noto Sans JP" w:eastAsia="Noto Sans JP" w:hAnsi="Noto Sans JP"/>
          <w:b w:val="false"/>
          <w:bCs w:val="false"/>
          <w:i w:val="false"/>
          <w:iCs w:val="false"/>
          <w:color w:val="222222"/>
          <w:sz w:val="22"/>
          <w:szCs w:val="22"/>
        </w:rPr>
        <w:t xml:space="preserve">乙がエンド事業所から収受する伴走支援費は以下の範囲で乙が自由に設定できる。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デバイス代金と伴走支援費の合計（税込）が、適用される助成金の上限額を超えないこと。</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甲は参考価格テーブル（別表2）を提示するが、最終的な価格設定は乙の判断による。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助成金制度の変更により上限額が変動した場合、乙は速やかに価格を見直すものとする。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第7条（タダカヨへの任意寄付）</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甲は認定NPO法人の取得を目指しており、本プログラムを通じて得られた収益の一部を地域介護支援活動（無償タダサポの継続・研究・普及活動）に充当している。</w:t>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乙は、本プログラムの趣旨に賛同する場合に限り、</w:t>
      </w:r>
      <w:r>
        <w:rPr>
          <w:rFonts w:ascii="Noto Sans JP" w:cs="Noto Sans JP" w:eastAsia="Noto Sans JP" w:hAnsi="Noto Sans JP"/>
          <w:b/>
          <w:bCs/>
          <w:i w:val="false"/>
          <w:iCs w:val="false"/>
          <w:color w:val="222222"/>
          <w:sz w:val="22"/>
          <w:szCs w:val="22"/>
          <w:u w:val="single"/>
        </w:rPr>
        <w:t xml:space="preserve">任意の意思に基づいて</w:t>
      </w:r>
      <w:r>
        <w:rPr>
          <w:rFonts w:ascii="Noto Sans JP" w:cs="Noto Sans JP" w:eastAsia="Noto Sans JP" w:hAnsi="Noto Sans JP"/>
          <w:b w:val="false"/>
          <w:bCs w:val="false"/>
          <w:i w:val="false"/>
          <w:iCs w:val="false"/>
          <w:color w:val="222222"/>
          <w:sz w:val="22"/>
          <w:szCs w:val="22"/>
        </w:rPr>
        <w:t xml:space="preserve">甲（NPO法人タダカヨ）へ寄付を行うことができる。</w:t>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は、1件の導入完了につき金10,000円（税別）程度を目安として案内しているが、これはあくまで目安であり、寄付の実施・金額・タイミングはすべて乙の自由な判断に委ねられる。本協定は、乙に対して寄付を義務付けるものではない。</w:t>
      </w:r>
    </w:p>
    <w:p>
      <w:pPr>
        <w:spacing w:after="60" w:before="60"/>
      </w:pPr>
      <w:r>
        <w:t xml:space="preserve"/>
      </w:r>
    </w:p>
    <w:p>
      <w:pPr>
        <w:spacing w:after="80" w:before="80"/>
        <w:jc w:val="left"/>
      </w:pPr>
      <w:r>
        <w:rPr>
          <w:rFonts w:ascii="Noto Sans JP" w:cs="Noto Sans JP" w:eastAsia="Noto Sans JP" w:hAnsi="Noto Sans JP"/>
          <w:b w:val="false"/>
          <w:bCs w:val="false"/>
          <w:i w:val="false"/>
          <w:iCs w:val="false"/>
          <w:color w:val="222222"/>
          <w:sz w:val="22"/>
          <w:szCs w:val="22"/>
        </w:rPr>
        <w:t xml:space="preserve">【参考】</w:t>
      </w:r>
      <w:r>
        <w:rPr>
          <w:rFonts w:ascii="Noto Sans JP" w:cs="Noto Sans JP" w:eastAsia="Noto Sans JP" w:hAnsi="Noto Sans JP"/>
          <w:b w:val="false"/>
          <w:bCs w:val="false"/>
          <w:i w:val="false"/>
          <w:iCs w:val="false"/>
          <w:color w:val="555555"/>
          <w:sz w:val="18"/>
          <w:szCs w:val="18"/>
        </w:rPr>
        <w:t xml:space="preserve">甲が認定NPO法人に認定された後は、乙が行う寄付は「特定公益増進法人への寄付金」として特別損金算入の対象となる場合があります（法人税法施行令第77条の2・租税特別措置法第66条の11の2）。詳細は乙の顧問税理士にご確認ください。</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区分</w:t>
            </w:r>
          </w:p>
        </w:tc>
        <w:tc>
          <w:tcPr>
            <w:tcW w:type="dxa" w:w="432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内容</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寄付の性質</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任意（強制ではない）</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目安金額（参考）</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導入完了1件につき ¥10,000（税別）</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実施タイミング</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乙の任意。導入完了後いつでも可</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寄付方法</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甲が指定する銀行口座への振込。または現金書留</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領収書</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甲が寄付領収書を発行（認定NPO取得後は特別損金算入対応の領収書を発行）</w:t>
            </w:r>
          </w:p>
        </w:tc>
      </w:tr>
    </w:tbl>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第8条（知的財産・商標）</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甲は乙に対し、本プログラムの実施に必要な範囲に限り、「タダサポ」「タダカヨ」の名称およびロゴの非独占的使用を許諾する。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乙は甲の書面による事前承諾なく、第三者に対して上記使用権を再許諾してはならない。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乙は本プログラムに関する広告・宣伝物を作成する場合、事前に甲の確認を得るものとする。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第9条（個人情報の取扱い）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甲および乙は、本プログラムの実施において取得したエンド事業所関係者の個人情報を、当該目的の範囲内でのみ使用する。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甲および乙は、個人情報の保護に関する法律（個人情報保護法）ならびに各自の個人情報保護方針に従い、適切な管理を行う。</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甲がNPO法人タダカヨとして取得するPマーク認証の規程に準拠した取扱いを行う。</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第10条（秘密保持）</w:t>
      </w:r>
    </w:p>
    <w:p>
      <w:pPr>
        <w:spacing w:after="80" w:before="80"/>
        <w:jc w:val="left"/>
      </w:pPr>
      <w:r>
        <w:rPr>
          <w:rFonts w:ascii="Noto Sans JP" w:cs="Noto Sans JP" w:eastAsia="Noto Sans JP" w:hAnsi="Noto Sans JP"/>
          <w:b w:val="false"/>
          <w:bCs w:val="false"/>
          <w:i w:val="false"/>
          <w:iCs w:val="false"/>
          <w:color w:val="222222"/>
          <w:sz w:val="22"/>
          <w:szCs w:val="22"/>
        </w:rPr>
        <w:t xml:space="preserve">甲および乙は、本協定の締結および履行において知り得た相手方の営業上・技術上の秘密情報を、相手方の書面による事前承諾なく第三者に開示・漏洩してはならない。この義務は本協定終了後3年間継続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第11条（免責）</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甲はデバイスのメーカー（ABサークル株式会社）の製品品質・不具合に関して責任を負わない。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甲は助成金の採択・不採択について保証するものではなく、制度変更によるエンド事業所への影響について責任を負わない。</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乙が本協定の定めに反する行為を行い、エンド事業所またはその他の第三者に損害を与えた場合、乙が当該責任を負うものとする。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第12条（協定の有効期間）</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本協定の有効期間は締結日から1年間とする。ただし、期間満了の1ヶ月前までに甲乙いずれからも書面による更新拒絶の通知がない場合、同一条件で1年間自動更新するものとし、以降も同様とする。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第13条（協定の解除）</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(1)　甲または乙は、相手方が本協定に違反し、書面による催告後14日以内に違反が是正されない場合、本協定を解除できる。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(2)　甲または乙は、3ヶ月前の書面による通知をもって、理由を問わず本協定を解約できる。</w:t>
      </w:r>
    </w:p>
    <w:p>
      <w:pPr>
        <w:spacing w:after="80" w:before="80"/>
        <w:ind w:left="480"/>
        <w:jc w:val="left"/>
      </w:pPr>
      <w:r>
        <w:rPr>
          <w:rFonts w:ascii="Noto Sans JP" w:cs="Noto Sans JP" w:eastAsia="Noto Sans JP" w:hAnsi="Noto Sans JP"/>
          <w:b w:val="false"/>
          <w:bCs w:val="false"/>
          <w:i w:val="false"/>
          <w:iCs w:val="false"/>
          <w:color w:val="222222"/>
          <w:sz w:val="22"/>
          <w:szCs w:val="22"/>
        </w:rPr>
        <w:t xml:space="preserve">(3)　本協定が終了した場合、乙は甲から提供された資料・テンプレート・ロゴ等を速やかに返却または廃棄するものとする。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第14条（協議・紛争解決）</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に定めのない事項または本協定の解釈につき疑義が生じた場合、甲乙は誠意をもって協議の上、解決するものとする。協議が整わない場合は、甲の所在地を管轄する地方裁判所を第一審の専属的合意管轄裁判所とする。</w:t>
      </w:r>
    </w:p>
    <w:p>
      <w:pPr>
        <w:spacing w:after="60" w:before="60"/>
      </w:pPr>
      <w:r>
        <w:t xml:space="preserve"/>
      </w:r>
    </w:p>
    <w:p>
      <w:pPr>
        <w:spacing w:after="100" w:before="280"/>
      </w:pPr>
      <w:r>
        <w:rPr>
          <w:rFonts w:ascii="Noto Serif JP" w:cs="Noto Serif JP" w:eastAsia="Noto Serif JP" w:hAnsi="Noto Serif JP"/>
          <w:b/>
          <w:bCs/>
          <w:color w:val="1B6E30"/>
          <w:sz w:val="22"/>
          <w:szCs w:val="22"/>
        </w:rPr>
        <w:t xml:space="preserve">第15条（準拠法）</w:t>
      </w:r>
    </w:p>
    <w:p>
      <w:pPr>
        <w:spacing w:after="80" w:before="80"/>
        <w:jc w:val="left"/>
      </w:pPr>
      <w:r>
        <w:rPr>
          <w:rFonts w:ascii="Noto Sans JP" w:cs="Noto Sans JP" w:eastAsia="Noto Sans JP" w:hAnsi="Noto Sans JP"/>
          <w:b w:val="false"/>
          <w:bCs w:val="false"/>
          <w:i w:val="false"/>
          <w:iCs w:val="false"/>
          <w:color w:val="222222"/>
          <w:sz w:val="22"/>
          <w:szCs w:val="22"/>
        </w:rPr>
        <w:t xml:space="preserve">本協定は日本国法に準拠し、日本国法に従って解釈されるものとする。</w:t>
      </w:r>
    </w:p>
    <w:p>
      <w:pPr>
        <w:spacing w:after="60" w:before="60"/>
      </w:pPr>
      <w:r>
        <w:t xml:space="preserve"/>
      </w:r>
    </w:p>
    <w:p>
      <w:pPr>
        <w:spacing w:after="60" w:before="60"/>
      </w:pPr>
      <w:r>
        <w:t xml:space="preserve"/>
      </w:r>
    </w:p>
    <w:p>
      <w:pPr>
        <w:spacing w:after="240" w:before="240"/>
        <w:jc w:val="left"/>
      </w:pPr>
      <w:r>
        <w:rPr>
          <w:rFonts w:ascii="Noto Sans JP" w:cs="Noto Sans JP" w:eastAsia="Noto Sans JP" w:hAnsi="Noto Sans JP"/>
          <w:b w:val="false"/>
          <w:bCs w:val="false"/>
          <w:i w:val="false"/>
          <w:iCs w:val="false"/>
          <w:color w:val="222222"/>
          <w:sz w:val="22"/>
          <w:szCs w:val="22"/>
        </w:rPr>
        <w:t xml:space="preserve">以上を証するため、本協定書を2通作成し、甲乙記名押印のうえ各1通を保有する。</w:t>
      </w:r>
    </w:p>
    <w:p>
      <w:pPr>
        <w:spacing w:after="60" w:before="60"/>
      </w:pPr>
      <w:r>
        <w:t xml:space="preserve"/>
      </w:r>
    </w:p>
    <w:p>
      <w:pPr>
        <w:spacing w:after="80" w:before="80"/>
        <w:jc w:val="right"/>
      </w:pPr>
      <w:r>
        <w:rPr>
          <w:rFonts w:ascii="Noto Sans JP" w:cs="Noto Sans JP" w:eastAsia="Noto Sans JP" w:hAnsi="Noto Sans JP"/>
          <w:b w:val="false"/>
          <w:bCs w:val="false"/>
          <w:i w:val="false"/>
          <w:iCs w:val="false"/>
          <w:color w:val="222222"/>
          <w:sz w:val="22"/>
          <w:szCs w:val="22"/>
        </w:rPr>
        <w:t xml:space="preserve">　　　　　　　　　　　年　　月　　日</w:t>
      </w:r>
    </w:p>
    <w:p>
      <w:pPr>
        <w:spacing w:after="60" w:before="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4"/>
              <w:left w:val="single" w:color="AAAAAA" w:sz="4"/>
              <w:bottom w:val="single" w:color="AAAAAA" w:sz="4"/>
              <w:right w:val="single" w:color="AAAAAA" w:sz="4"/>
            </w:tcBorders>
            <w:tcMar>
              <w:top w:type="dxa" w:w="200"/>
              <w:left w:type="dxa" w:w="240"/>
              <w:bottom w:type="dxa" w:w="600"/>
              <w:right w:type="dxa" w:w="240"/>
            </w:tcMar>
          </w:tcPr>
          <w:p>
            <w:pPr>
              <w:spacing w:after="80" w:before="80"/>
              <w:jc w:val="left"/>
            </w:pPr>
            <w:r>
              <w:rPr>
                <w:rFonts w:ascii="Noto Sans JP" w:cs="Noto Sans JP" w:eastAsia="Noto Sans JP" w:hAnsi="Noto Sans JP"/>
                <w:b w:val="false"/>
                <w:bCs w:val="false"/>
                <w:i w:val="false"/>
                <w:iCs w:val="false"/>
                <w:color w:val="555555"/>
                <w:sz w:val="18"/>
                <w:szCs w:val="18"/>
              </w:rPr>
              <w:t xml:space="preserve">甲（委託者・プログラム提供者）</w:t>
            </w:r>
          </w:p>
          <w:p>
            <w:pPr>
              <w:spacing w:after="80" w:before="80"/>
              <w:jc w:val="left"/>
            </w:pPr>
            <w:r>
              <w:rPr>
                <w:rFonts w:ascii="Noto Sans JP" w:cs="Noto Sans JP" w:eastAsia="Noto Sans JP" w:hAnsi="Noto Sans JP"/>
                <w:b w:val="false"/>
                <w:bCs w:val="false"/>
                <w:i w:val="false"/>
                <w:iCs w:val="false"/>
                <w:color w:val="222222"/>
                <w:sz w:val="22"/>
                <w:szCs w:val="22"/>
              </w:rPr>
              <w:t xml:space="preserve">NPO法人タダカヨ</w:t>
            </w:r>
          </w:p>
          <w:p>
            <w:pPr>
              <w:spacing w:after="80" w:before="80"/>
              <w:jc w:val="left"/>
            </w:pPr>
            <w:r>
              <w:rPr>
                <w:rFonts w:ascii="Noto Sans JP" w:cs="Noto Sans JP" w:eastAsia="Noto Sans JP" w:hAnsi="Noto Sans JP"/>
                <w:b w:val="false"/>
                <w:bCs w:val="false"/>
                <w:i w:val="false"/>
                <w:iCs w:val="false"/>
                <w:color w:val="222222"/>
                <w:sz w:val="22"/>
                <w:szCs w:val="22"/>
              </w:rPr>
              <w:t xml:space="preserve">所在地：北海道</w:t>
            </w:r>
          </w:p>
          <w:p>
            <w:pPr>
              <w:spacing w:after="80" w:before="80"/>
              <w:jc w:val="left"/>
            </w:pPr>
            <w:r>
              <w:rPr>
                <w:rFonts w:ascii="Noto Sans JP" w:cs="Noto Sans JP" w:eastAsia="Noto Sans JP" w:hAnsi="Noto Sans JP"/>
                <w:b w:val="false"/>
                <w:bCs w:val="false"/>
                <w:i w:val="false"/>
                <w:iCs w:val="false"/>
                <w:color w:val="222222"/>
                <w:sz w:val="22"/>
                <w:szCs w:val="22"/>
              </w:rPr>
              <w:t xml:space="preserve">代表者：理事長　　　　　　　　　　　印</w:t>
            </w:r>
          </w:p>
        </w:tc>
        <w:tc>
          <w:tcPr>
            <w:tcW w:type="dxa" w:w="4320"/>
            <w:tcBorders>
              <w:top w:val="single" w:color="AAAAAA" w:sz="4"/>
              <w:left w:val="single" w:color="AAAAAA" w:sz="4"/>
              <w:bottom w:val="single" w:color="AAAAAA" w:sz="4"/>
              <w:right w:val="single" w:color="AAAAAA" w:sz="4"/>
            </w:tcBorders>
            <w:tcMar>
              <w:top w:type="dxa" w:w="200"/>
              <w:left w:type="dxa" w:w="240"/>
              <w:bottom w:type="dxa" w:w="600"/>
              <w:right w:type="dxa" w:w="240"/>
            </w:tcMar>
          </w:tcPr>
          <w:p>
            <w:pPr>
              <w:spacing w:after="80" w:before="80"/>
              <w:jc w:val="left"/>
            </w:pPr>
            <w:r>
              <w:rPr>
                <w:rFonts w:ascii="Noto Sans JP" w:cs="Noto Sans JP" w:eastAsia="Noto Sans JP" w:hAnsi="Noto Sans JP"/>
                <w:b w:val="false"/>
                <w:bCs w:val="false"/>
                <w:i w:val="false"/>
                <w:iCs w:val="false"/>
                <w:color w:val="555555"/>
                <w:sz w:val="18"/>
                <w:szCs w:val="18"/>
              </w:rPr>
              <w:t xml:space="preserve">乙（支援事業所・パートナー）</w:t>
            </w:r>
          </w:p>
          <w:p>
            <w:pPr>
              <w:spacing w:after="80" w:before="80"/>
              <w:jc w:val="left"/>
            </w:pPr>
            <w:r>
              <w:rPr>
                <w:rFonts w:ascii="Noto Sans JP" w:cs="Noto Sans JP" w:eastAsia="Noto Sans JP" w:hAnsi="Noto Sans JP"/>
                <w:b w:val="false"/>
                <w:bCs w:val="false"/>
                <w:i w:val="false"/>
                <w:iCs w:val="false"/>
                <w:color w:val="222222"/>
                <w:sz w:val="22"/>
                <w:szCs w:val="22"/>
              </w:rPr>
              <w:t xml:space="preserve">法人名：　　　　　　　　　　　　　　　　</w:t>
            </w:r>
          </w:p>
          <w:p>
            <w:pPr>
              <w:spacing w:after="80" w:before="80"/>
              <w:jc w:val="left"/>
            </w:pPr>
            <w:r>
              <w:rPr>
                <w:rFonts w:ascii="Noto Sans JP" w:cs="Noto Sans JP" w:eastAsia="Noto Sans JP" w:hAnsi="Noto Sans JP"/>
                <w:b w:val="false"/>
                <w:bCs w:val="false"/>
                <w:i w:val="false"/>
                <w:iCs w:val="false"/>
                <w:color w:val="222222"/>
                <w:sz w:val="22"/>
                <w:szCs w:val="22"/>
              </w:rPr>
              <w:t xml:space="preserve">所在地：　　　　　　　　　　　　　　　　</w:t>
            </w:r>
          </w:p>
          <w:p>
            <w:pPr>
              <w:spacing w:after="80" w:before="80"/>
              <w:jc w:val="left"/>
            </w:pPr>
            <w:r>
              <w:rPr>
                <w:rFonts w:ascii="Noto Sans JP" w:cs="Noto Sans JP" w:eastAsia="Noto Sans JP" w:hAnsi="Noto Sans JP"/>
                <w:b w:val="false"/>
                <w:bCs w:val="false"/>
                <w:i w:val="false"/>
                <w:iCs w:val="false"/>
                <w:color w:val="222222"/>
                <w:sz w:val="22"/>
                <w:szCs w:val="22"/>
              </w:rPr>
              <w:t xml:space="preserve">代表者：　　　　　　　　　　　　　　印</w:t>
            </w:r>
          </w:p>
        </w:tc>
      </w:tr>
    </w:tbl>
    <w:p>
      <w:r>
        <w:br w:type="page"/>
      </w:r>
    </w:p>
    <w:p>
      <w:pPr>
        <w:spacing w:after="180" w:before="360"/>
      </w:pPr>
      <w:r>
        <w:rPr>
          <w:rFonts w:ascii="Noto Serif JP" w:cs="Noto Serif JP" w:eastAsia="Noto Serif JP" w:hAnsi="Noto Serif JP"/>
          <w:b/>
          <w:bCs/>
          <w:color w:val="1B6E30"/>
          <w:sz w:val="30"/>
          <w:szCs w:val="30"/>
        </w:rPr>
        <w:t xml:space="preserve">別表1　デバイス卸価格表</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機種</w:t>
            </w:r>
          </w:p>
        </w:tc>
        <w:tc>
          <w:tcPr>
            <w:tcW w:type="dxa" w:w="28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卸価格（税別）</w:t>
            </w:r>
          </w:p>
        </w:tc>
        <w:tc>
          <w:tcPr>
            <w:tcW w:type="dxa" w:w="28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備考</w:t>
            </w:r>
          </w:p>
        </w:tc>
      </w:tr>
      <w:tr>
        <w:tc>
          <w:tcPr>
            <w:tcW w:type="dxa" w:w="28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CIR415A（Bluetooth）</w:t>
            </w:r>
          </w:p>
        </w:tc>
        <w:tc>
          <w:tcPr>
            <w:tcW w:type="dxa" w:w="28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¥8,000 / 台</w:t>
            </w:r>
          </w:p>
        </w:tc>
        <w:tc>
          <w:tcPr>
            <w:tcW w:type="dxa" w:w="28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2〜10台仕入れ時</w:t>
            </w:r>
          </w:p>
        </w:tc>
      </w:tr>
      <w:tr>
        <w:tc>
          <w:tcPr>
            <w:tcW w:type="dxa" w:w="28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CIR315A（USB Type-A）</w:t>
            </w:r>
          </w:p>
        </w:tc>
        <w:tc>
          <w:tcPr>
            <w:tcW w:type="dxa" w:w="28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¥4,000 / 台</w:t>
            </w:r>
          </w:p>
        </w:tc>
        <w:tc>
          <w:tcPr>
            <w:tcW w:type="dxa" w:w="28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left"/>
            </w:pPr>
            <w:r>
              <w:rPr>
                <w:rFonts w:ascii="Noto Sans JP" w:cs="Noto Sans JP" w:eastAsia="Noto Sans JP" w:hAnsi="Noto Sans JP"/>
                <w:b w:val="false"/>
                <w:bCs w:val="false"/>
                <w:color w:val="222222"/>
                <w:sz w:val="20"/>
                <w:szCs w:val="20"/>
              </w:rPr>
              <w:t xml:space="preserve">2〜10台仕入れ時</w:t>
            </w:r>
          </w:p>
        </w:tc>
      </w:tr>
    </w:tbl>
    <w:p>
      <w:pPr>
        <w:spacing w:after="60" w:before="60"/>
      </w:pPr>
      <w:r>
        <w:t xml:space="preserve"/>
      </w:r>
    </w:p>
    <w:p>
      <w:pPr>
        <w:spacing w:after="60" w:before="60"/>
        <w:ind w:left="240"/>
      </w:pPr>
      <w:r>
        <w:rPr>
          <w:rFonts w:ascii="Noto Sans JP" w:cs="Noto Sans JP" w:eastAsia="Noto Sans JP" w:hAnsi="Noto Sans JP"/>
          <w:i/>
          <w:iCs/>
          <w:color w:val="888888"/>
          <w:sz w:val="18"/>
          <w:szCs w:val="18"/>
        </w:rPr>
        <w:t xml:space="preserve">※ 11台以上の大口発注については甲と別途協議の上で価格を決定する。</w:t>
      </w:r>
    </w:p>
    <w:p>
      <w:pPr>
        <w:spacing w:after="60" w:before="60"/>
        <w:ind w:left="240"/>
      </w:pPr>
      <w:r>
        <w:rPr>
          <w:rFonts w:ascii="Noto Sans JP" w:cs="Noto Sans JP" w:eastAsia="Noto Sans JP" w:hAnsi="Noto Sans JP"/>
          <w:i/>
          <w:iCs/>
          <w:color w:val="888888"/>
          <w:sz w:val="18"/>
          <w:szCs w:val="18"/>
        </w:rPr>
        <w:t xml:space="preserve">※ 消費税は別途加算。</w:t>
      </w:r>
    </w:p>
    <w:p>
      <w:pPr>
        <w:spacing w:after="60" w:before="60"/>
        <w:ind w:left="240"/>
      </w:pPr>
      <w:r>
        <w:rPr>
          <w:rFonts w:ascii="Noto Sans JP" w:cs="Noto Sans JP" w:eastAsia="Noto Sans JP" w:hAnsi="Noto Sans JP"/>
          <w:i/>
          <w:iCs/>
          <w:color w:val="888888"/>
          <w:sz w:val="18"/>
          <w:szCs w:val="18"/>
        </w:rPr>
        <w:t xml:space="preserve">※ 卸価格は市場状況・仕入れ条件の変化により変更する場合があり、その場合は甲が1ヶ月前に書面にて通知する。</w:t>
      </w:r>
    </w:p>
    <w:p>
      <w:pPr>
        <w:spacing w:after="60" w:before="60"/>
      </w:pPr>
      <w:r>
        <w:t xml:space="preserve"/>
      </w:r>
    </w:p>
    <w:p>
      <w:pPr>
        <w:spacing w:after="60" w:before="60"/>
      </w:pPr>
      <w:r>
        <w:t xml:space="preserve"/>
      </w:r>
    </w:p>
    <w:p>
      <w:pPr>
        <w:spacing w:after="180" w:before="360"/>
      </w:pPr>
      <w:r>
        <w:rPr>
          <w:rFonts w:ascii="Noto Serif JP" w:cs="Noto Serif JP" w:eastAsia="Noto Serif JP" w:hAnsi="Noto Serif JP"/>
          <w:b/>
          <w:bCs/>
          <w:color w:val="1B6E30"/>
          <w:sz w:val="30"/>
          <w:szCs w:val="30"/>
        </w:rPr>
        <w:t xml:space="preserve">別表2　顧客向け参考価格テーブル（訪問・通所系　3台・税込）</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1680"/>
        <w:gridCol w:w="1680"/>
        <w:gridCol w:w="1680"/>
      </w:tblGrid>
      <w:tr>
        <w:tc>
          <w:tcPr>
            <w:tcW w:type="dxa" w:w="144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
            </w:r>
          </w:p>
        </w:tc>
        <w:tc>
          <w:tcPr>
            <w:tcW w:type="dxa" w:w="16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S1（¥9,000/台）</w:t>
            </w:r>
          </w:p>
        </w:tc>
        <w:tc>
          <w:tcPr>
            <w:tcW w:type="dxa" w:w="16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S2（¥11,000/台）</w:t>
            </w:r>
          </w:p>
        </w:tc>
        <w:tc>
          <w:tcPr>
            <w:tcW w:type="dxa" w:w="16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S3（¥13,000/台）</w:t>
            </w:r>
          </w:p>
        </w:tc>
        <w:tc>
          <w:tcPr>
            <w:tcW w:type="dxa" w:w="16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S4（¥15,800/台）</w:t>
            </w:r>
          </w:p>
        </w:tc>
        <w:tc>
          <w:tcPr>
            <w:tcW w:type="dxa" w:w="168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助成金上限</w:t>
            </w:r>
          </w:p>
        </w:tc>
      </w:tr>
      <w:tr>
        <w:tc>
          <w:tcPr>
            <w:tcW w:type="dxa" w:w="144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CIR415A</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¥62,700</w:t>
            </w:r>
          </w:p>
        </w:tc>
        <w:tc>
          <w:tcPr>
            <w:tcW w:type="dxa" w:w="1680"/>
            <w:tcBorders>
              <w:top w:val="single" w:color="AAAAAA" w:sz="4"/>
              <w:left w:val="single" w:color="AAAAAA" w:sz="4"/>
              <w:bottom w:val="single" w:color="AAAAAA" w:sz="4"/>
              <w:right w:val="single" w:color="AAAAAA" w:sz="4"/>
            </w:tcBorders>
            <w:shd w:fill="E8F5E9" w:val="clear"/>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¥63,800</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¥63,800</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¥63,690</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bCs/>
                <w:color w:val="222222"/>
                <w:sz w:val="20"/>
                <w:szCs w:val="20"/>
              </w:rPr>
              <w:t xml:space="preserve">¥64,000</w:t>
            </w:r>
          </w:p>
        </w:tc>
      </w:tr>
      <w:tr>
        <w:tc>
          <w:tcPr>
            <w:tcW w:type="dxa" w:w="144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CIR315A</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¥49,500</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¥52,800</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¥54,450</w:t>
            </w:r>
          </w:p>
        </w:tc>
        <w:tc>
          <w:tcPr>
            <w:tcW w:type="dxa" w:w="1680"/>
            <w:tcBorders>
              <w:top w:val="single" w:color="AAAAAA" w:sz="4"/>
              <w:left w:val="single" w:color="AAAAAA" w:sz="4"/>
              <w:bottom w:val="single" w:color="AAAAAA" w:sz="4"/>
              <w:right w:val="single" w:color="AAAAAA" w:sz="4"/>
            </w:tcBorders>
            <w:shd w:fill="E8F5E9" w:val="clear"/>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¥58,410</w:t>
            </w:r>
          </w:p>
        </w:tc>
        <w:tc>
          <w:tcPr>
            <w:tcW w:type="dxa" w:w="168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bCs/>
                <w:color w:val="222222"/>
                <w:sz w:val="20"/>
                <w:szCs w:val="20"/>
              </w:rPr>
              <w:t xml:space="preserve">¥64,000</w:t>
            </w:r>
          </w:p>
        </w:tc>
      </w:tr>
    </w:tbl>
    <w:p>
      <w:pPr>
        <w:spacing w:after="60" w:before="60"/>
      </w:pPr>
      <w:r>
        <w:t xml:space="preserve"/>
      </w:r>
    </w:p>
    <w:p>
      <w:pPr>
        <w:spacing w:after="60" w:before="60"/>
        <w:ind w:left="240"/>
      </w:pPr>
      <w:r>
        <w:rPr>
          <w:rFonts w:ascii="Noto Sans JP" w:cs="Noto Sans JP" w:eastAsia="Noto Sans JP" w:hAnsi="Noto Sans JP"/>
          <w:i/>
          <w:iCs/>
          <w:color w:val="888888"/>
          <w:sz w:val="18"/>
          <w:szCs w:val="18"/>
        </w:rPr>
        <w:t xml:space="preserve">※ 緑セルが各機種の推奨ステージ（S2 / S4）。</w:t>
      </w:r>
    </w:p>
    <w:p>
      <w:pPr>
        <w:spacing w:after="60" w:before="60"/>
        <w:ind w:left="240"/>
      </w:pPr>
      <w:r>
        <w:rPr>
          <w:rFonts w:ascii="Noto Sans JP" w:cs="Noto Sans JP" w:eastAsia="Noto Sans JP" w:hAnsi="Noto Sans JP"/>
          <w:i/>
          <w:iCs/>
          <w:color w:val="888888"/>
          <w:sz w:val="18"/>
          <w:szCs w:val="18"/>
        </w:rPr>
        <w:t xml:space="preserve">※ 伴走支援費はデバイス代と合計して助成金上限（¥64,000税込）を超えないよう設定すること。</w:t>
      </w:r>
    </w:p>
    <w:p>
      <w:pPr>
        <w:spacing w:after="60" w:before="60"/>
        <w:ind w:left="240"/>
      </w:pPr>
      <w:r>
        <w:rPr>
          <w:rFonts w:ascii="Noto Sans JP" w:cs="Noto Sans JP" w:eastAsia="Noto Sans JP" w:hAnsi="Noto Sans JP"/>
          <w:i/>
          <w:iCs/>
          <w:color w:val="888888"/>
          <w:sz w:val="18"/>
          <w:szCs w:val="18"/>
        </w:rPr>
        <w:t xml:space="preserve">※ 最終的な価格設定は乙の判断による（第6条参照）。</w:t>
      </w:r>
    </w:p>
    <w:p>
      <w:pPr>
        <w:spacing w:after="60" w:before="60"/>
      </w:pPr>
      <w:r>
        <w:t xml:space="preserve"/>
      </w:r>
    </w:p>
    <w:p>
      <w:pPr>
        <w:spacing w:after="60" w:before="60"/>
      </w:pPr>
      <w:r>
        <w:t xml:space="preserve"/>
      </w:r>
    </w:p>
    <w:p>
      <w:pPr>
        <w:spacing w:after="180" w:before="360"/>
      </w:pPr>
      <w:r>
        <w:rPr>
          <w:rFonts w:ascii="Noto Serif JP" w:cs="Noto Serif JP" w:eastAsia="Noto Serif JP" w:hAnsi="Noto Serif JP"/>
          <w:b/>
          <w:bCs/>
          <w:color w:val="1B6E30"/>
          <w:sz w:val="30"/>
          <w:szCs w:val="30"/>
        </w:rPr>
        <w:t xml:space="preserve">別表3　任意寄付の目安（参考）</w:t>
      </w:r>
    </w:p>
    <w:p>
      <w:pPr>
        <w:spacing w:after="160" w:before="80"/>
        <w:jc w:val="left"/>
      </w:pPr>
      <w:r>
        <w:rPr>
          <w:rFonts w:ascii="Noto Sans JP" w:cs="Noto Sans JP" w:eastAsia="Noto Sans JP" w:hAnsi="Noto Sans JP"/>
          <w:b w:val="false"/>
          <w:bCs w:val="false"/>
          <w:i w:val="false"/>
          <w:iCs w:val="false"/>
          <w:color w:val="222222"/>
          <w:sz w:val="22"/>
          <w:szCs w:val="22"/>
        </w:rPr>
        <w:t xml:space="preserve">本別表は参考情報であり、寄付の義務を規定するものではない（第7条参照）。</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導入完了件数の目安</w:t>
            </w:r>
          </w:p>
        </w:tc>
        <w:tc>
          <w:tcPr>
            <w:tcW w:type="dxa" w:w="4320"/>
            <w:tcBorders>
              <w:top w:val="single" w:color="AAAAAA" w:sz="4"/>
              <w:left w:val="single" w:color="AAAAAA" w:sz="4"/>
              <w:bottom w:val="single" w:color="AAAAAA" w:sz="4"/>
              <w:right w:val="single" w:color="AAAAAA" w:sz="4"/>
            </w:tcBorders>
            <w:shd w:fill="D5EDD9" w:val="clear"/>
            <w:tcMar>
              <w:top w:type="dxa" w:w="100"/>
              <w:left w:type="dxa" w:w="160"/>
              <w:bottom w:type="dxa" w:w="100"/>
              <w:right w:type="dxa" w:w="160"/>
            </w:tcMar>
            <w:vAlign w:val="center"/>
          </w:tcPr>
          <w:p>
            <w:pPr>
              <w:jc w:val="center"/>
            </w:pPr>
            <w:r>
              <w:rPr>
                <w:rFonts w:ascii="Noto Sans JP" w:cs="Noto Sans JP" w:eastAsia="Noto Sans JP" w:hAnsi="Noto Sans JP"/>
                <w:b/>
                <w:bCs/>
                <w:sz w:val="20"/>
                <w:szCs w:val="20"/>
              </w:rPr>
              <w:t xml:space="preserve">寄付の目安金額（参考・任意）</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1件</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¥10,000（税別）</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5件</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¥50,000（税別）</w:t>
            </w:r>
          </w:p>
        </w:tc>
      </w:tr>
      <w:tr>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10件</w:t>
            </w:r>
          </w:p>
        </w:tc>
        <w:tc>
          <w:tcPr>
            <w:tcW w:type="dxa" w:w="4320"/>
            <w:tcBorders>
              <w:top w:val="single" w:color="AAAAAA" w:sz="4"/>
              <w:left w:val="single" w:color="AAAAAA" w:sz="4"/>
              <w:bottom w:val="single" w:color="AAAAAA" w:sz="4"/>
              <w:right w:val="single" w:color="AAAAAA" w:sz="4"/>
            </w:tcBorders>
            <w:tcMar>
              <w:top w:type="dxa" w:w="100"/>
              <w:left w:type="dxa" w:w="160"/>
              <w:bottom w:type="dxa" w:w="100"/>
              <w:right w:type="dxa" w:w="160"/>
            </w:tcMar>
            <w:vAlign w:val="center"/>
          </w:tcPr>
          <w:p>
            <w:pPr>
              <w:jc w:val="center"/>
            </w:pPr>
            <w:r>
              <w:rPr>
                <w:rFonts w:ascii="Noto Sans JP" w:cs="Noto Sans JP" w:eastAsia="Noto Sans JP" w:hAnsi="Noto Sans JP"/>
                <w:b w:val="false"/>
                <w:bCs w:val="false"/>
                <w:color w:val="222222"/>
                <w:sz w:val="20"/>
                <w:szCs w:val="20"/>
              </w:rPr>
              <w:t xml:space="preserve">¥100,000（税別）</w:t>
            </w:r>
          </w:p>
        </w:tc>
      </w:tr>
    </w:tbl>
    <w:p>
      <w:pPr>
        <w:spacing w:after="60" w:before="60"/>
      </w:pPr>
      <w:r>
        <w:t xml:space="preserve"/>
      </w:r>
    </w:p>
    <w:p>
      <w:pPr>
        <w:spacing w:after="60" w:before="60"/>
        <w:ind w:left="240"/>
      </w:pPr>
      <w:r>
        <w:rPr>
          <w:rFonts w:ascii="Noto Sans JP" w:cs="Noto Sans JP" w:eastAsia="Noto Sans JP" w:hAnsi="Noto Sans JP"/>
          <w:i/>
          <w:iCs/>
          <w:color w:val="888888"/>
          <w:sz w:val="18"/>
          <w:szCs w:val="18"/>
        </w:rPr>
        <w:t xml:space="preserve">※ 上記は目安であり、いかなる金額・頻度での寄付も乙の自由な意思によるものとする。</w:t>
      </w:r>
    </w:p>
    <w:p>
      <w:pPr>
        <w:spacing w:after="60" w:before="60"/>
        <w:ind w:left="240"/>
      </w:pPr>
      <w:r>
        <w:rPr>
          <w:rFonts w:ascii="Noto Sans JP" w:cs="Noto Sans JP" w:eastAsia="Noto Sans JP" w:hAnsi="Noto Sans JP"/>
          <w:i/>
          <w:iCs/>
          <w:color w:val="888888"/>
          <w:sz w:val="18"/>
          <w:szCs w:val="18"/>
        </w:rPr>
        <w:t xml:space="preserve">※ 寄付の都度、甲より領収書を発行する。NPO法人タダカヨが認定NPO法人に認定された後は、特別損金算入対応の領収書を発行する（認定取得時に別途ご案内）。</w:t>
      </w:r>
    </w:p>
    <w:p>
      <w:pPr>
        <w:spacing w:after="60" w:before="60"/>
      </w:pPr>
      <w:r>
        <w:t xml:space="preserve"/>
      </w:r>
    </w:p>
    <w:p>
      <w:pPr>
        <w:spacing w:after="60" w:before="60"/>
      </w:pPr>
      <w:r>
        <w:t xml:space="preserve"/>
      </w:r>
    </w:p>
    <w:p>
      <w:pPr>
        <w:spacing w:after="80" w:before="80"/>
        <w:jc w:val="left"/>
      </w:pPr>
      <w:r>
        <w:rPr>
          <w:rFonts w:ascii="Noto Sans JP" w:cs="Noto Sans JP" w:eastAsia="Noto Sans JP" w:hAnsi="Noto Sans JP"/>
          <w:b/>
          <w:bCs/>
          <w:i w:val="false"/>
          <w:iCs w:val="false"/>
          <w:color w:val="B84A4A"/>
          <w:sz w:val="22"/>
          <w:szCs w:val="22"/>
        </w:rPr>
        <w:t xml:space="preserve">【免責注記】</w:t>
      </w:r>
    </w:p>
    <w:p>
      <w:pPr>
        <w:spacing w:after="80" w:before="80"/>
        <w:jc w:val="left"/>
      </w:pPr>
      <w:r>
        <w:rPr>
          <w:rFonts w:ascii="Noto Sans JP" w:cs="Noto Sans JP" w:eastAsia="Noto Sans JP" w:hAnsi="Noto Sans JP"/>
          <w:b w:val="false"/>
          <w:bCs w:val="false"/>
          <w:i w:val="false"/>
          <w:iCs w:val="false"/>
          <w:color w:val="B84A4A"/>
          <w:sz w:val="18"/>
          <w:szCs w:val="18"/>
        </w:rPr>
        <w:t xml:space="preserve">本ドラフトは内部検討用であり、法的効力を有するものではありません。締結前に必ず弁護士・税理士による法務・税務確認を行ってください。特に第7条（任意寄付）の文言は、認定NPO法人の取得状況・税務上の扱いによって調整が必要です。</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2026-05-09T04:34:59.287Z</dcterms:created>
  <dcterms:modified xsi:type="dcterms:W3CDTF">2026-05-09T04:34:59.288Z</dcterms:modified>
</cp:coreProperties>
</file>

<file path=docProps/custom.xml><?xml version="1.0" encoding="utf-8"?>
<Properties xmlns="http://schemas.openxmlformats.org/officeDocument/2006/custom-properties" xmlns:vt="http://schemas.openxmlformats.org/officeDocument/2006/docPropsVTypes"/>
</file>