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4FB" w:rsidRPr="00520599" w:rsidRDefault="00CB48E3" w:rsidP="0082048D">
      <w:pPr>
        <w:pStyle w:val="Heading1"/>
        <w:rPr>
          <w:rStyle w:val="Emphasis"/>
          <w:rFonts w:ascii="Constantia" w:hAnsi="Constantia"/>
          <w:sz w:val="22"/>
          <w:szCs w:val="22"/>
        </w:rPr>
      </w:pPr>
      <w:r>
        <w:rPr>
          <w:rStyle w:val="Emphasis"/>
          <w:rFonts w:ascii="Constantia" w:hAnsi="Constantia"/>
          <w:sz w:val="22"/>
          <w:szCs w:val="22"/>
        </w:rPr>
        <w:t>Could</w:t>
      </w:r>
      <w:r w:rsidR="009B488A" w:rsidRPr="00520599">
        <w:rPr>
          <w:rStyle w:val="Emphasis"/>
          <w:rFonts w:ascii="Constantia" w:hAnsi="Constantia"/>
          <w:sz w:val="22"/>
          <w:szCs w:val="22"/>
        </w:rPr>
        <w:t xml:space="preserve"> raising </w:t>
      </w:r>
      <w:r>
        <w:rPr>
          <w:rStyle w:val="Emphasis"/>
          <w:rFonts w:ascii="Constantia" w:hAnsi="Constantia"/>
          <w:sz w:val="22"/>
          <w:szCs w:val="22"/>
        </w:rPr>
        <w:t xml:space="preserve">Chicago’s </w:t>
      </w:r>
      <w:r w:rsidR="009B488A" w:rsidRPr="00520599">
        <w:rPr>
          <w:rStyle w:val="Emphasis"/>
          <w:rFonts w:ascii="Constantia" w:hAnsi="Constantia"/>
          <w:sz w:val="22"/>
          <w:szCs w:val="22"/>
        </w:rPr>
        <w:t>high school graduation rates improve women’s health?</w:t>
      </w:r>
    </w:p>
    <w:p w:rsidR="009B488A" w:rsidRPr="00520599" w:rsidRDefault="009B488A" w:rsidP="0082048D">
      <w:pPr>
        <w:rPr>
          <w:rFonts w:ascii="Constantia" w:hAnsi="Constantia"/>
          <w:b/>
        </w:rPr>
      </w:pPr>
    </w:p>
    <w:p w:rsidR="0082048D" w:rsidRDefault="009B488A" w:rsidP="0082048D">
      <w:pPr>
        <w:rPr>
          <w:rFonts w:ascii="Constantia" w:hAnsi="Constantia"/>
          <w:b/>
        </w:rPr>
      </w:pPr>
      <w:r w:rsidRPr="00520599">
        <w:rPr>
          <w:rFonts w:ascii="Constantia" w:hAnsi="Constantia"/>
          <w:b/>
        </w:rPr>
        <w:t>Abstract:</w:t>
      </w:r>
    </w:p>
    <w:p w:rsidR="008D4B5B" w:rsidRPr="00520599" w:rsidRDefault="008D4B5B" w:rsidP="008D4B5B">
      <w:pPr>
        <w:rPr>
          <w:rFonts w:ascii="Constantia" w:hAnsi="Constantia"/>
        </w:rPr>
      </w:pPr>
      <w:r w:rsidRPr="00520599">
        <w:rPr>
          <w:rFonts w:ascii="Constantia" w:hAnsi="Constantia"/>
        </w:rPr>
        <w:t xml:space="preserve">Chicago is nationally known for having great disparity in socioeconomic status by neighborhood.  </w:t>
      </w:r>
      <w:r>
        <w:rPr>
          <w:rFonts w:ascii="Constantia" w:hAnsi="Constantia"/>
        </w:rPr>
        <w:t>The impact on women leads to poor health.</w:t>
      </w:r>
      <w:r>
        <w:rPr>
          <w:rFonts w:ascii="Constantia" w:hAnsi="Constantia"/>
        </w:rPr>
        <w:t xml:space="preserve">  </w:t>
      </w:r>
      <w:r w:rsidRPr="00520599">
        <w:rPr>
          <w:rFonts w:ascii="Constantia" w:hAnsi="Constantia"/>
        </w:rPr>
        <w:t>In order to improve their and their children’s lives, the link between high school diploma rates and four health indicators was evaluated to determine whet</w:t>
      </w:r>
      <w:r>
        <w:rPr>
          <w:rFonts w:ascii="Constantia" w:hAnsi="Constantia"/>
        </w:rPr>
        <w:t>her focus</w:t>
      </w:r>
      <w:r w:rsidRPr="00520599">
        <w:rPr>
          <w:rFonts w:ascii="Constantia" w:hAnsi="Constantia"/>
        </w:rPr>
        <w:t xml:space="preserve"> on high school retention could </w:t>
      </w:r>
      <w:r>
        <w:rPr>
          <w:rFonts w:ascii="Constantia" w:hAnsi="Constantia"/>
        </w:rPr>
        <w:t xml:space="preserve">influence </w:t>
      </w:r>
      <w:r w:rsidRPr="00520599">
        <w:rPr>
          <w:rFonts w:ascii="Constantia" w:hAnsi="Constantia"/>
        </w:rPr>
        <w:t xml:space="preserve">women’s health. </w:t>
      </w:r>
    </w:p>
    <w:p w:rsidR="008D4B5B" w:rsidRDefault="008D4B5B" w:rsidP="008D4B5B">
      <w:pPr>
        <w:rPr>
          <w:rFonts w:ascii="Constantia" w:hAnsi="Constantia"/>
        </w:rPr>
      </w:pPr>
      <w:r w:rsidRPr="00520599">
        <w:rPr>
          <w:rFonts w:ascii="Constantia" w:hAnsi="Constantia"/>
        </w:rPr>
        <w:t>First, two claims from the research were tested.  The study confirmed other research findings that low birth weight rate was linked to teen pregnancy (r = 0.6229, p &lt; 0.0001), but did not show that reported incidence of gonorrhea was higher for females than males (</w:t>
      </w:r>
      <w:proofErr w:type="spellStart"/>
      <w:proofErr w:type="gramStart"/>
      <w:r w:rsidRPr="00520599">
        <w:rPr>
          <w:rFonts w:ascii="Constantia" w:hAnsi="Constantia"/>
        </w:rPr>
        <w:t>df</w:t>
      </w:r>
      <w:proofErr w:type="spellEnd"/>
      <w:proofErr w:type="gramEnd"/>
      <w:r w:rsidRPr="00520599">
        <w:rPr>
          <w:rFonts w:ascii="Constantia" w:hAnsi="Constantia"/>
        </w:rPr>
        <w:t xml:space="preserve"> = 63, t = 1.24, p = 0.2185).  </w:t>
      </w:r>
    </w:p>
    <w:p w:rsidR="008D4B5B" w:rsidRDefault="008D4B5B" w:rsidP="0082048D">
      <w:pPr>
        <w:rPr>
          <w:rFonts w:ascii="Constantia" w:hAnsi="Constantia"/>
        </w:rPr>
      </w:pPr>
      <w:r w:rsidRPr="00520599">
        <w:rPr>
          <w:rFonts w:ascii="Constantia" w:hAnsi="Constantia"/>
        </w:rPr>
        <w:t xml:space="preserve">In examining the correlation between lack of high school diploma and teen birth rates, diabetes mortality, breast cancer mortality, and female gonorrhea rates, only teen birth rates appeared linked at r = 0.5378. </w:t>
      </w:r>
      <w:r>
        <w:rPr>
          <w:rFonts w:ascii="Constantia" w:hAnsi="Constantia"/>
        </w:rPr>
        <w:t xml:space="preserve"> </w:t>
      </w:r>
      <w:r w:rsidRPr="00520599">
        <w:rPr>
          <w:rFonts w:ascii="Constantia" w:hAnsi="Constantia"/>
        </w:rPr>
        <w:t>The teen birth rate is also correlated to diabetes mortality (r = 0.7212) and female gonorrhea (0.7451).  Diabetes is correlated to female gonorrhea incidence (r = 0.6902).  After adjusting for poverty, the relationsh</w:t>
      </w:r>
      <w:r>
        <w:rPr>
          <w:rFonts w:ascii="Constantia" w:hAnsi="Constantia"/>
        </w:rPr>
        <w:t xml:space="preserve">ips were the same but weaker.  </w:t>
      </w:r>
      <w:r w:rsidRPr="00520599">
        <w:rPr>
          <w:rFonts w:ascii="Constantia" w:hAnsi="Constantia"/>
        </w:rPr>
        <w:t>Possibly, women who do not have children at a young age, gonorrhea infection, or unmanaged diabetes are taking greater self-care measures</w:t>
      </w:r>
      <w:r>
        <w:rPr>
          <w:rFonts w:ascii="Constantia" w:hAnsi="Constantia"/>
        </w:rPr>
        <w:t xml:space="preserve"> that explain these links for various age groups</w:t>
      </w:r>
      <w:r w:rsidRPr="00520599">
        <w:rPr>
          <w:rFonts w:ascii="Constantia" w:hAnsi="Constantia"/>
        </w:rPr>
        <w:t>.</w:t>
      </w:r>
      <w:r w:rsidR="001C11BE">
        <w:rPr>
          <w:rFonts w:ascii="Constantia" w:hAnsi="Constantia"/>
        </w:rPr>
        <w:t xml:space="preserve">  </w:t>
      </w:r>
      <w:r>
        <w:rPr>
          <w:rFonts w:ascii="Constantia" w:hAnsi="Constantia"/>
        </w:rPr>
        <w:t xml:space="preserve">Finally, high school retention rates </w:t>
      </w:r>
      <w:r>
        <w:rPr>
          <w:rFonts w:ascii="Constantia" w:hAnsi="Constantia"/>
        </w:rPr>
        <w:t xml:space="preserve">were </w:t>
      </w:r>
      <w:r w:rsidR="001C11BE">
        <w:rPr>
          <w:rFonts w:ascii="Constantia" w:hAnsi="Constantia"/>
        </w:rPr>
        <w:t>found</w:t>
      </w:r>
      <w:r>
        <w:rPr>
          <w:rFonts w:ascii="Constantia" w:hAnsi="Constantia"/>
        </w:rPr>
        <w:t xml:space="preserve"> to be better </w:t>
      </w:r>
      <w:r>
        <w:rPr>
          <w:rFonts w:ascii="Constantia" w:hAnsi="Constantia"/>
        </w:rPr>
        <w:t>addressed by specific neighborhood rather than geographic region</w:t>
      </w:r>
      <w:r w:rsidR="001C11BE">
        <w:rPr>
          <w:rFonts w:ascii="Constantia" w:hAnsi="Constantia"/>
        </w:rPr>
        <w:t xml:space="preserve"> due to large spread in the region groups</w:t>
      </w:r>
      <w:r>
        <w:rPr>
          <w:rFonts w:ascii="Constantia" w:hAnsi="Constantia"/>
        </w:rPr>
        <w:t xml:space="preserve">.  </w:t>
      </w:r>
    </w:p>
    <w:p w:rsidR="00D8451E" w:rsidRPr="008D4B5B" w:rsidRDefault="00D8451E" w:rsidP="0082048D">
      <w:pPr>
        <w:rPr>
          <w:rFonts w:ascii="Constantia" w:hAnsi="Constantia"/>
        </w:rPr>
      </w:pPr>
      <w:r>
        <w:rPr>
          <w:rFonts w:ascii="Constantia" w:hAnsi="Constantia"/>
        </w:rPr>
        <w:t>While city leaders should still provide more high school resources to places</w:t>
      </w:r>
      <w:r w:rsidR="005C5DD7">
        <w:rPr>
          <w:rFonts w:ascii="Constantia" w:hAnsi="Constantia"/>
        </w:rPr>
        <w:t xml:space="preserve"> with less educated populace</w:t>
      </w:r>
      <w:r>
        <w:rPr>
          <w:rFonts w:ascii="Constantia" w:hAnsi="Constantia"/>
        </w:rPr>
        <w:t xml:space="preserve"> like Gage Park and South Lawndale, a more direct approach is required to improve women’s health.  </w:t>
      </w:r>
    </w:p>
    <w:p w:rsidR="00E31AA0" w:rsidRPr="00520599" w:rsidRDefault="00E31AA0" w:rsidP="00B2630B">
      <w:pPr>
        <w:rPr>
          <w:rFonts w:ascii="Constantia" w:hAnsi="Constantia"/>
          <w:b/>
        </w:rPr>
      </w:pPr>
      <w:r w:rsidRPr="00520599">
        <w:rPr>
          <w:rFonts w:ascii="Constantia" w:hAnsi="Constantia"/>
          <w:b/>
        </w:rPr>
        <w:t>Background:</w:t>
      </w:r>
    </w:p>
    <w:p w:rsidR="00D43FEC" w:rsidRPr="00520599" w:rsidRDefault="00D43FEC" w:rsidP="00D43FEC">
      <w:pPr>
        <w:rPr>
          <w:rFonts w:ascii="Constantia" w:hAnsi="Constantia"/>
        </w:rPr>
      </w:pPr>
      <w:r w:rsidRPr="00520599">
        <w:rPr>
          <w:rFonts w:ascii="Constantia" w:hAnsi="Constantia"/>
        </w:rPr>
        <w:t xml:space="preserve">While there are currently excellent programs to help target specific conditions, such as the Chicago Southeast Diabetes Community Action Coalition, </w:t>
      </w:r>
      <w:r w:rsidR="008D4B5B">
        <w:rPr>
          <w:rFonts w:ascii="Constantia" w:hAnsi="Constantia"/>
        </w:rPr>
        <w:t>the study tested</w:t>
      </w:r>
      <w:r w:rsidRPr="00520599">
        <w:rPr>
          <w:rFonts w:ascii="Constantia" w:hAnsi="Constantia"/>
        </w:rPr>
        <w:t xml:space="preserve"> whether there was one common factor that would address multiple women’s health indicators.  If high school graduation rates are a link to diabetes, gonorrhea, breast cancer, and teen birth rates, government leaders can focus shrinking resources on this one category to have a greater impact on an underserved group.  </w:t>
      </w:r>
    </w:p>
    <w:p w:rsidR="00D43FEC" w:rsidRPr="00520599" w:rsidRDefault="00D43FEC" w:rsidP="00B2630B">
      <w:pPr>
        <w:rPr>
          <w:rFonts w:ascii="Constantia" w:hAnsi="Constantia"/>
        </w:rPr>
      </w:pPr>
      <w:r w:rsidRPr="00520599">
        <w:rPr>
          <w:rFonts w:ascii="Constantia" w:hAnsi="Constantia"/>
        </w:rPr>
        <w:t xml:space="preserve">To this effect, </w:t>
      </w:r>
      <w:r w:rsidR="008D4B5B">
        <w:rPr>
          <w:rFonts w:ascii="Constantia" w:hAnsi="Constantia"/>
        </w:rPr>
        <w:t>the study</w:t>
      </w:r>
      <w:r w:rsidRPr="00520599">
        <w:rPr>
          <w:rFonts w:ascii="Constantia" w:hAnsi="Constantia"/>
        </w:rPr>
        <w:t xml:space="preserve"> examine</w:t>
      </w:r>
      <w:r w:rsidR="008D4B5B">
        <w:rPr>
          <w:rFonts w:ascii="Constantia" w:hAnsi="Constantia"/>
        </w:rPr>
        <w:t>d</w:t>
      </w:r>
      <w:r w:rsidRPr="00520599">
        <w:rPr>
          <w:rFonts w:ascii="Constantia" w:hAnsi="Constantia"/>
        </w:rPr>
        <w:t xml:space="preserve"> whether there was statistical significance in association between high school graduation and incidence of diabetes, breast cancer, teen birth rates, a</w:t>
      </w:r>
      <w:r w:rsidR="008D4B5B">
        <w:rPr>
          <w:rFonts w:ascii="Constantia" w:hAnsi="Constantia"/>
        </w:rPr>
        <w:t>nd gonorrhea in females.  Next,</w:t>
      </w:r>
      <w:r w:rsidRPr="00520599">
        <w:rPr>
          <w:rFonts w:ascii="Constantia" w:hAnsi="Constantia"/>
        </w:rPr>
        <w:t xml:space="preserve"> specific regions </w:t>
      </w:r>
      <w:r w:rsidR="008D4B5B">
        <w:rPr>
          <w:rFonts w:ascii="Constantia" w:hAnsi="Constantia"/>
        </w:rPr>
        <w:t>were evaluated by proportion of the population without high school diplomas</w:t>
      </w:r>
      <w:r w:rsidRPr="00520599">
        <w:rPr>
          <w:rFonts w:ascii="Constantia" w:hAnsi="Constantia"/>
        </w:rPr>
        <w:t>.</w:t>
      </w:r>
    </w:p>
    <w:p w:rsidR="00B2630B" w:rsidRPr="00520599" w:rsidRDefault="00B2630B">
      <w:pPr>
        <w:rPr>
          <w:rFonts w:ascii="Constantia" w:hAnsi="Constantia"/>
        </w:rPr>
      </w:pPr>
      <w:r w:rsidRPr="00520599">
        <w:rPr>
          <w:rFonts w:ascii="Constantia" w:hAnsi="Constantia"/>
        </w:rPr>
        <w:t xml:space="preserve">Diabetes data was collected for both men and women, and </w:t>
      </w:r>
      <w:r w:rsidR="00ED4C5C" w:rsidRPr="00520599">
        <w:rPr>
          <w:rFonts w:ascii="Constantia" w:hAnsi="Constantia"/>
        </w:rPr>
        <w:t>included in this study</w:t>
      </w:r>
      <w:r w:rsidR="00582103" w:rsidRPr="00520599">
        <w:rPr>
          <w:rFonts w:ascii="Constantia" w:hAnsi="Constantia"/>
        </w:rPr>
        <w:t xml:space="preserve"> because the disease </w:t>
      </w:r>
      <w:r w:rsidRPr="00520599">
        <w:rPr>
          <w:rFonts w:ascii="Constantia" w:hAnsi="Constantia"/>
        </w:rPr>
        <w:t xml:space="preserve">disproportionally affects women.   </w:t>
      </w:r>
      <w:r w:rsidR="00967E56" w:rsidRPr="00520599">
        <w:rPr>
          <w:rFonts w:ascii="Constantia" w:hAnsi="Constantia"/>
        </w:rPr>
        <w:t xml:space="preserve">While diabetes sufferers of both sexes face increased </w:t>
      </w:r>
      <w:r w:rsidR="00967E56" w:rsidRPr="00520599">
        <w:rPr>
          <w:rFonts w:ascii="Constantia" w:hAnsi="Constantia"/>
        </w:rPr>
        <w:lastRenderedPageBreak/>
        <w:t>risk of cardiovascular disease, women receive lower quality medical care in the control of associated symptoms such as high cholesterol, even after accounting for covariates in age, race, socioeconomic status, and healthcare plan</w:t>
      </w:r>
      <w:r w:rsidR="006C182A" w:rsidRPr="00520599">
        <w:rPr>
          <w:rStyle w:val="EndnoteReference"/>
          <w:rFonts w:ascii="Constantia" w:hAnsi="Constantia"/>
        </w:rPr>
        <w:endnoteReference w:id="1"/>
      </w:r>
      <w:r w:rsidR="00967E56" w:rsidRPr="00520599">
        <w:rPr>
          <w:rFonts w:ascii="Constantia" w:hAnsi="Constantia"/>
        </w:rPr>
        <w:t>.</w:t>
      </w:r>
      <w:r w:rsidR="00582103" w:rsidRPr="00520599">
        <w:rPr>
          <w:rFonts w:ascii="Constantia" w:hAnsi="Constantia"/>
        </w:rPr>
        <w:t xml:space="preserve">  Both sexes are approximately equally likely to have diabetes, but w</w:t>
      </w:r>
      <w:r w:rsidR="00967E56" w:rsidRPr="00520599">
        <w:rPr>
          <w:rFonts w:ascii="Constantia" w:hAnsi="Constantia"/>
        </w:rPr>
        <w:t>omen reported greater mobility limitations</w:t>
      </w:r>
      <w:r w:rsidR="00582103" w:rsidRPr="00520599">
        <w:rPr>
          <w:rFonts w:ascii="Constantia" w:hAnsi="Constantia"/>
        </w:rPr>
        <w:t xml:space="preserve"> and visual impairment</w:t>
      </w:r>
      <w:r w:rsidR="00967E56" w:rsidRPr="00520599">
        <w:rPr>
          <w:rFonts w:ascii="Constantia" w:hAnsi="Constantia"/>
        </w:rPr>
        <w:t xml:space="preserve"> than men</w:t>
      </w:r>
      <w:r w:rsidR="006C182A" w:rsidRPr="00520599">
        <w:rPr>
          <w:rStyle w:val="EndnoteReference"/>
          <w:rFonts w:ascii="Constantia" w:hAnsi="Constantia"/>
        </w:rPr>
        <w:endnoteReference w:id="2"/>
      </w:r>
      <w:r w:rsidR="006C182A" w:rsidRPr="00520599">
        <w:rPr>
          <w:rFonts w:ascii="Constantia" w:hAnsi="Constantia"/>
        </w:rPr>
        <w:t>.</w:t>
      </w:r>
      <w:r w:rsidR="00967E56" w:rsidRPr="00520599">
        <w:rPr>
          <w:rFonts w:ascii="Constantia" w:hAnsi="Constantia"/>
        </w:rPr>
        <w:t xml:space="preserve"> </w:t>
      </w:r>
      <w:r w:rsidR="006C182A" w:rsidRPr="00520599">
        <w:rPr>
          <w:rFonts w:ascii="Constantia" w:hAnsi="Constantia"/>
        </w:rPr>
        <w:t>O</w:t>
      </w:r>
      <w:r w:rsidR="00582103" w:rsidRPr="00520599">
        <w:rPr>
          <w:rFonts w:ascii="Constantia" w:hAnsi="Constantia"/>
        </w:rPr>
        <w:t xml:space="preserve">verall, diabetic women </w:t>
      </w:r>
      <w:r w:rsidR="006C182A" w:rsidRPr="00520599">
        <w:rPr>
          <w:rFonts w:ascii="Constantia" w:hAnsi="Constantia"/>
        </w:rPr>
        <w:t>see</w:t>
      </w:r>
      <w:r w:rsidR="00582103" w:rsidRPr="00520599">
        <w:rPr>
          <w:rFonts w:ascii="Constantia" w:hAnsi="Constantia"/>
        </w:rPr>
        <w:t xml:space="preserve"> a higher impact</w:t>
      </w:r>
      <w:r w:rsidR="006C182A" w:rsidRPr="00520599">
        <w:rPr>
          <w:rFonts w:ascii="Constantia" w:hAnsi="Constantia"/>
        </w:rPr>
        <w:t xml:space="preserve"> to </w:t>
      </w:r>
      <w:r w:rsidR="00582103" w:rsidRPr="00520599">
        <w:rPr>
          <w:rFonts w:ascii="Constantia" w:hAnsi="Constantia"/>
        </w:rPr>
        <w:t>their lifespan, which is reduced on average by 8.2 years as compared to 7.5 years for men</w:t>
      </w:r>
      <w:r w:rsidR="00582103" w:rsidRPr="00520599">
        <w:rPr>
          <w:rStyle w:val="EndnoteReference"/>
          <w:rFonts w:ascii="Constantia" w:hAnsi="Constantia"/>
        </w:rPr>
        <w:endnoteReference w:id="3"/>
      </w:r>
      <w:r w:rsidR="00582103" w:rsidRPr="00520599">
        <w:rPr>
          <w:rFonts w:ascii="Constantia" w:hAnsi="Constantia"/>
        </w:rPr>
        <w:t>.</w:t>
      </w:r>
    </w:p>
    <w:p w:rsidR="006C182A" w:rsidRPr="00520599" w:rsidRDefault="004F4918">
      <w:pPr>
        <w:rPr>
          <w:rFonts w:ascii="Constantia" w:hAnsi="Constantia"/>
        </w:rPr>
      </w:pPr>
      <w:r w:rsidRPr="00520599">
        <w:rPr>
          <w:rFonts w:ascii="Constantia" w:hAnsi="Constantia"/>
        </w:rPr>
        <w:t xml:space="preserve">In an American Cancer Society study, </w:t>
      </w:r>
      <w:r w:rsidR="00D92786" w:rsidRPr="00520599">
        <w:rPr>
          <w:rFonts w:ascii="Constantia" w:hAnsi="Constantia"/>
        </w:rPr>
        <w:t>the investigators showed that in the 1980s and 1990s</w:t>
      </w:r>
      <w:r w:rsidRPr="00520599">
        <w:rPr>
          <w:rFonts w:ascii="Constantia" w:hAnsi="Constantia"/>
        </w:rPr>
        <w:t xml:space="preserve"> diabetes incidence was increasing faster in those with less education.  This same study indicated that breast cancer rates were higher among better educated women, though there was a weak trend to higher mortality among less educated persons</w:t>
      </w:r>
      <w:r w:rsidRPr="00520599">
        <w:rPr>
          <w:rStyle w:val="EndnoteReference"/>
          <w:rFonts w:ascii="Constantia" w:hAnsi="Constantia"/>
        </w:rPr>
        <w:endnoteReference w:id="4"/>
      </w:r>
      <w:r w:rsidRPr="00520599">
        <w:rPr>
          <w:rFonts w:ascii="Constantia" w:hAnsi="Constantia"/>
        </w:rPr>
        <w:t xml:space="preserve">.  </w:t>
      </w:r>
      <w:r w:rsidR="00E31AA0" w:rsidRPr="00520599">
        <w:rPr>
          <w:rFonts w:ascii="Constantia" w:hAnsi="Constantia"/>
        </w:rPr>
        <w:t>A later study found that while breast cancer mortality had decreased by 4.3% for women with more than 16 years of education between 1993 and 2001, the decrease was only 1.4% for women with less than 12 years of education</w:t>
      </w:r>
      <w:r w:rsidR="00D92786" w:rsidRPr="00520599">
        <w:rPr>
          <w:rFonts w:ascii="Constantia" w:hAnsi="Constantia"/>
        </w:rPr>
        <w:t>, a fact likely related to the importance of early detection and regular screening</w:t>
      </w:r>
      <w:r w:rsidR="00D92786" w:rsidRPr="00520599">
        <w:rPr>
          <w:rStyle w:val="EndnoteReference"/>
          <w:rFonts w:ascii="Constantia" w:hAnsi="Constantia"/>
        </w:rPr>
        <w:endnoteReference w:id="5"/>
      </w:r>
      <w:r w:rsidR="00E31AA0" w:rsidRPr="00520599">
        <w:rPr>
          <w:rFonts w:ascii="Constantia" w:hAnsi="Constantia"/>
        </w:rPr>
        <w:t>.</w:t>
      </w:r>
    </w:p>
    <w:p w:rsidR="00CD6D1F" w:rsidRPr="00520599" w:rsidRDefault="00B71A05">
      <w:pPr>
        <w:rPr>
          <w:rFonts w:ascii="Constantia" w:hAnsi="Constantia"/>
        </w:rPr>
      </w:pPr>
      <w:r w:rsidRPr="00520599">
        <w:rPr>
          <w:rFonts w:ascii="Constantia" w:hAnsi="Constantia"/>
        </w:rPr>
        <w:t xml:space="preserve">The </w:t>
      </w:r>
      <w:r w:rsidR="00D92786" w:rsidRPr="00520599">
        <w:rPr>
          <w:rFonts w:ascii="Constantia" w:hAnsi="Constantia"/>
        </w:rPr>
        <w:t>third</w:t>
      </w:r>
      <w:r w:rsidRPr="00520599">
        <w:rPr>
          <w:rFonts w:ascii="Constantia" w:hAnsi="Constantia"/>
        </w:rPr>
        <w:t xml:space="preserve"> criterion examined was incidence of teen birth rates.</w:t>
      </w:r>
      <w:r w:rsidR="00FF1D63" w:rsidRPr="00520599">
        <w:rPr>
          <w:rFonts w:ascii="Constantia" w:hAnsi="Constantia"/>
        </w:rPr>
        <w:t xml:space="preserve">  The majority of teen mothers were characterized as unmarried, receiving little financial support from the father, and having parents with little education</w:t>
      </w:r>
      <w:r w:rsidR="00FF1D63" w:rsidRPr="00520599">
        <w:rPr>
          <w:rStyle w:val="EndnoteReference"/>
          <w:rFonts w:ascii="Constantia" w:hAnsi="Constantia"/>
        </w:rPr>
        <w:endnoteReference w:id="6"/>
      </w:r>
      <w:r w:rsidR="00FF1D63" w:rsidRPr="00520599">
        <w:rPr>
          <w:rFonts w:ascii="Constantia" w:hAnsi="Constantia"/>
        </w:rPr>
        <w:t>.</w:t>
      </w:r>
      <w:r w:rsidRPr="00520599">
        <w:rPr>
          <w:rFonts w:ascii="Constantia" w:hAnsi="Constantia"/>
        </w:rPr>
        <w:t xml:space="preserve"> </w:t>
      </w:r>
      <w:r w:rsidR="00CD6D1F" w:rsidRPr="00520599">
        <w:rPr>
          <w:rFonts w:ascii="Constantia" w:hAnsi="Constantia"/>
        </w:rPr>
        <w:t>Teen mothers were found to be 10-12% l</w:t>
      </w:r>
      <w:r w:rsidR="00FF1D63" w:rsidRPr="00520599">
        <w:rPr>
          <w:rFonts w:ascii="Constantia" w:hAnsi="Constantia"/>
        </w:rPr>
        <w:t>ess likely to finish high school</w:t>
      </w:r>
      <w:r w:rsidR="00CD6D1F" w:rsidRPr="00520599">
        <w:rPr>
          <w:rFonts w:ascii="Constantia" w:hAnsi="Constantia"/>
        </w:rPr>
        <w:t xml:space="preserve">, and a 2011 study in the Journal of School Health suggested that school-based programs could help young </w:t>
      </w:r>
      <w:r w:rsidRPr="00520599">
        <w:rPr>
          <w:rFonts w:ascii="Constantia" w:hAnsi="Constantia"/>
        </w:rPr>
        <w:t>women engage in safer sex practices</w:t>
      </w:r>
      <w:r w:rsidRPr="00520599">
        <w:rPr>
          <w:rStyle w:val="EndnoteReference"/>
          <w:rFonts w:ascii="Constantia" w:hAnsi="Constantia"/>
        </w:rPr>
        <w:endnoteReference w:id="7"/>
      </w:r>
      <w:r w:rsidRPr="00520599">
        <w:rPr>
          <w:rFonts w:ascii="Constantia" w:hAnsi="Constantia"/>
        </w:rPr>
        <w:t xml:space="preserve">.  Thus, funding could go both to prevention of teen pregnancy and retention of teen mothers in a twofold approach to improve girls’ health.  The health of the offspring would also benefit, as adolescent women are twice as likely to deliver an infant weighing less than 5.5 </w:t>
      </w:r>
      <w:proofErr w:type="spellStart"/>
      <w:r w:rsidRPr="00520599">
        <w:rPr>
          <w:rFonts w:ascii="Constantia" w:hAnsi="Constantia"/>
        </w:rPr>
        <w:t>lbs</w:t>
      </w:r>
      <w:r w:rsidR="00FF1D63" w:rsidRPr="00520599">
        <w:rPr>
          <w:rStyle w:val="EndnoteReference"/>
          <w:rFonts w:ascii="Constantia" w:hAnsi="Constantia"/>
        </w:rPr>
        <w:t>v</w:t>
      </w:r>
      <w:proofErr w:type="spellEnd"/>
      <w:r w:rsidR="00FF1D63" w:rsidRPr="00520599">
        <w:rPr>
          <w:rFonts w:ascii="Constantia" w:hAnsi="Constantia"/>
        </w:rPr>
        <w:t>.</w:t>
      </w:r>
    </w:p>
    <w:p w:rsidR="008830EF" w:rsidRPr="00520599" w:rsidRDefault="008830EF">
      <w:pPr>
        <w:rPr>
          <w:rFonts w:ascii="Constantia" w:hAnsi="Constantia"/>
        </w:rPr>
      </w:pPr>
      <w:r w:rsidRPr="00520599">
        <w:rPr>
          <w:rFonts w:ascii="Constantia" w:hAnsi="Constantia"/>
        </w:rPr>
        <w:t>Gonorrhea infection was also included as an indicator of women’s health.  It is the second most reported sexually-transmitted infection in the United States, with higher rates among women than men</w:t>
      </w:r>
      <w:r w:rsidR="008575C2" w:rsidRPr="00520599">
        <w:rPr>
          <w:rFonts w:ascii="Constantia" w:hAnsi="Constantia"/>
        </w:rPr>
        <w:t>, and may lead to infertility</w:t>
      </w:r>
      <w:r w:rsidRPr="00520599">
        <w:rPr>
          <w:rFonts w:ascii="Constantia" w:hAnsi="Constantia"/>
        </w:rPr>
        <w:t>.</w:t>
      </w:r>
      <w:r w:rsidR="008575C2" w:rsidRPr="00520599">
        <w:rPr>
          <w:rFonts w:ascii="Constantia" w:hAnsi="Constantia"/>
        </w:rPr>
        <w:t xml:space="preserve">  Infants may also be at risk because early states maybe asymptomatic.  Cases of antibiotic resistance have been reported, underscoring the need for prevention</w:t>
      </w:r>
      <w:r w:rsidR="008575C2" w:rsidRPr="00520599">
        <w:rPr>
          <w:rStyle w:val="EndnoteReference"/>
          <w:rFonts w:ascii="Constantia" w:hAnsi="Constantia"/>
        </w:rPr>
        <w:endnoteReference w:id="8"/>
      </w:r>
      <w:r w:rsidR="008575C2" w:rsidRPr="00520599">
        <w:rPr>
          <w:rFonts w:ascii="Constantia" w:hAnsi="Constantia"/>
        </w:rPr>
        <w:t>.</w:t>
      </w:r>
    </w:p>
    <w:p w:rsidR="00D43FEC" w:rsidRPr="00520599" w:rsidRDefault="00D43FEC" w:rsidP="00D43FEC">
      <w:pPr>
        <w:rPr>
          <w:rFonts w:ascii="Constantia" w:hAnsi="Constantia"/>
        </w:rPr>
      </w:pPr>
      <w:r w:rsidRPr="00520599">
        <w:rPr>
          <w:rFonts w:ascii="Constantia" w:hAnsi="Constantia"/>
          <w:b/>
        </w:rPr>
        <w:t>Purpose:</w:t>
      </w:r>
      <w:r w:rsidRPr="00520599">
        <w:rPr>
          <w:rFonts w:ascii="Constantia" w:hAnsi="Constantia"/>
        </w:rPr>
        <w:t xml:space="preserve">  To test for links between high school graduation rates and select health factors that </w:t>
      </w:r>
      <w:r w:rsidR="00D304DA">
        <w:rPr>
          <w:rFonts w:ascii="Constantia" w:hAnsi="Constantia"/>
        </w:rPr>
        <w:t>disproportionally impact women to find ways to direct resources.</w:t>
      </w:r>
    </w:p>
    <w:p w:rsidR="00D43FEC" w:rsidRPr="00520599" w:rsidRDefault="00D43FEC" w:rsidP="00D43FEC">
      <w:pPr>
        <w:rPr>
          <w:rFonts w:ascii="Constantia" w:hAnsi="Constantia"/>
        </w:rPr>
      </w:pPr>
      <w:r w:rsidRPr="00520599">
        <w:rPr>
          <w:rFonts w:ascii="Constantia" w:hAnsi="Constantia"/>
          <w:b/>
        </w:rPr>
        <w:t>Objectives:</w:t>
      </w:r>
      <w:r w:rsidRPr="00520599">
        <w:rPr>
          <w:rFonts w:ascii="Constantia" w:hAnsi="Constantia"/>
        </w:rPr>
        <w:t xml:space="preserve">   </w:t>
      </w:r>
      <w:r w:rsidR="00D304DA">
        <w:rPr>
          <w:rFonts w:ascii="Constantia" w:hAnsi="Constantia"/>
        </w:rPr>
        <w:t xml:space="preserve">This study examined the </w:t>
      </w:r>
      <w:r w:rsidRPr="00520599">
        <w:rPr>
          <w:rFonts w:ascii="Constantia" w:hAnsi="Constantia"/>
        </w:rPr>
        <w:t>association between high school graduation and incidence of diabetes, gonorrhea in females, brea</w:t>
      </w:r>
      <w:r w:rsidR="00D304DA">
        <w:rPr>
          <w:rFonts w:ascii="Constantia" w:hAnsi="Constantia"/>
        </w:rPr>
        <w:t>st cancer, and teen birth rates, then de</w:t>
      </w:r>
      <w:r w:rsidRPr="00520599">
        <w:rPr>
          <w:rFonts w:ascii="Constantia" w:hAnsi="Constantia"/>
        </w:rPr>
        <w:t>termine</w:t>
      </w:r>
      <w:r w:rsidR="00D304DA">
        <w:rPr>
          <w:rFonts w:ascii="Constantia" w:hAnsi="Constantia"/>
        </w:rPr>
        <w:t>d</w:t>
      </w:r>
      <w:r w:rsidRPr="00520599">
        <w:rPr>
          <w:rFonts w:ascii="Constantia" w:hAnsi="Constantia"/>
        </w:rPr>
        <w:t xml:space="preserve"> whether these health facto</w:t>
      </w:r>
      <w:r w:rsidR="00D304DA">
        <w:rPr>
          <w:rFonts w:ascii="Constantia" w:hAnsi="Constantia"/>
        </w:rPr>
        <w:t>rs are correlated to each other, and</w:t>
      </w:r>
      <w:r w:rsidRPr="00520599">
        <w:rPr>
          <w:rFonts w:ascii="Constantia" w:hAnsi="Constantia"/>
        </w:rPr>
        <w:t xml:space="preserve"> </w:t>
      </w:r>
      <w:r w:rsidR="00D304DA">
        <w:rPr>
          <w:rFonts w:ascii="Constantia" w:hAnsi="Constantia"/>
        </w:rPr>
        <w:t>assessed whether geographic groupings for neighborhoods could direct funding</w:t>
      </w:r>
      <w:r w:rsidRPr="00520599">
        <w:rPr>
          <w:rFonts w:ascii="Constantia" w:hAnsi="Constantia"/>
        </w:rPr>
        <w:t>.</w:t>
      </w:r>
    </w:p>
    <w:p w:rsidR="00D43FEC" w:rsidRPr="00520599" w:rsidRDefault="00D43FEC">
      <w:pPr>
        <w:rPr>
          <w:rFonts w:ascii="Constantia" w:hAnsi="Constantia"/>
          <w:b/>
        </w:rPr>
      </w:pPr>
      <w:r w:rsidRPr="00520599">
        <w:rPr>
          <w:rFonts w:ascii="Constantia" w:hAnsi="Constantia"/>
          <w:b/>
        </w:rPr>
        <w:t>Sample Collection:</w:t>
      </w:r>
    </w:p>
    <w:p w:rsidR="00BD760D" w:rsidRPr="00520599" w:rsidRDefault="00BD760D">
      <w:pPr>
        <w:rPr>
          <w:rFonts w:ascii="Constantia" w:hAnsi="Constantia"/>
        </w:rPr>
      </w:pPr>
      <w:r w:rsidRPr="00520599">
        <w:rPr>
          <w:rFonts w:ascii="Constantia" w:hAnsi="Constantia"/>
        </w:rPr>
        <w:t xml:space="preserve">The Chicago Department of Public Health created a dataset of 27 variables with health measures relating to birth, diseases, and economic status for each of the 77 Chicago communities.  The indicators came from: birth and death certificate data from the Illinois Department of Public Health, US Census Bureau 2000 and 2010 censuses, 2006-2010 American Community Survey, </w:t>
      </w:r>
      <w:r w:rsidRPr="00520599">
        <w:rPr>
          <w:rFonts w:ascii="Constantia" w:hAnsi="Constantia"/>
        </w:rPr>
        <w:lastRenderedPageBreak/>
        <w:t xml:space="preserve">reports filed under the notifiable disease rules of the Illinois Administrative Code, and more that were not named.  The data represents the time period from 2005 to 2011.  </w:t>
      </w:r>
      <w:r w:rsidR="003B6850" w:rsidRPr="00520599">
        <w:rPr>
          <w:rFonts w:ascii="Constantia" w:hAnsi="Constantia"/>
        </w:rPr>
        <w:t>The percentages and rates are point estimates, and margin of error percentages were not listed.</w:t>
      </w:r>
    </w:p>
    <w:p w:rsidR="00F77D2C" w:rsidRPr="00520599" w:rsidRDefault="00F77D2C">
      <w:pPr>
        <w:rPr>
          <w:rFonts w:ascii="Constantia" w:hAnsi="Constantia"/>
        </w:rPr>
      </w:pPr>
      <w:r w:rsidRPr="00520599">
        <w:rPr>
          <w:rFonts w:ascii="Constantia" w:hAnsi="Constantia"/>
        </w:rPr>
        <w:t>An additional categorical variable, Region, was coded to divide the neighborhoods into 9 districts based on the divisions found on The Chicago 77 real estate website.</w:t>
      </w:r>
    </w:p>
    <w:p w:rsidR="00D43FEC" w:rsidRPr="00520599" w:rsidRDefault="00D43FEC">
      <w:pPr>
        <w:rPr>
          <w:rFonts w:ascii="Constantia" w:hAnsi="Constantia"/>
          <w:b/>
        </w:rPr>
      </w:pPr>
      <w:r w:rsidRPr="00520599">
        <w:rPr>
          <w:rFonts w:ascii="Constantia" w:hAnsi="Constantia"/>
          <w:b/>
        </w:rPr>
        <w:t>List of Variables and Responses:</w:t>
      </w:r>
    </w:p>
    <w:p w:rsidR="00F77D2C" w:rsidRPr="00520599" w:rsidRDefault="00F77D2C">
      <w:pPr>
        <w:rPr>
          <w:rFonts w:ascii="Constantia" w:hAnsi="Constantia"/>
        </w:rPr>
      </w:pPr>
      <w:r w:rsidRPr="00520599">
        <w:rPr>
          <w:rFonts w:ascii="Constantia" w:hAnsi="Constantia"/>
        </w:rPr>
        <w:t xml:space="preserve">Of the 27 variables provided by the Department of Public Health, </w:t>
      </w:r>
      <w:r w:rsidR="00E219CB" w:rsidRPr="00520599">
        <w:rPr>
          <w:rFonts w:ascii="Constantia" w:hAnsi="Constantia"/>
        </w:rPr>
        <w:t xml:space="preserve">the ones used in this study included the name of the neighborhood, the region the neighborhood fell into, the low birth weight as a percent of live births, the teen birth rate per 1,000 females aged 15-19, the diabetes-related mortality rate per 100,000 persons (age-adjusted), the breast cancer in females mortality rate per 100,000 females (age-adjusted), the gonorrhea rate separated by males and females per 100,000 persons aged 15 to 44 years, </w:t>
      </w:r>
      <w:r w:rsidR="00854F29" w:rsidRPr="00520599">
        <w:rPr>
          <w:rFonts w:ascii="Constantia" w:hAnsi="Constantia"/>
        </w:rPr>
        <w:t xml:space="preserve">the percent of persons over 25 without a high school diploma, </w:t>
      </w:r>
      <w:r w:rsidR="00E219CB" w:rsidRPr="00520599">
        <w:rPr>
          <w:rFonts w:ascii="Constantia" w:hAnsi="Constantia"/>
        </w:rPr>
        <w:t>and the percent of households below poverty level.</w:t>
      </w:r>
    </w:p>
    <w:p w:rsidR="009D2143" w:rsidRPr="00520599" w:rsidRDefault="009D2143">
      <w:pPr>
        <w:rPr>
          <w:rFonts w:ascii="Constantia" w:hAnsi="Constantia"/>
        </w:rPr>
      </w:pPr>
      <w:r w:rsidRPr="00520599">
        <w:rPr>
          <w:rFonts w:ascii="Constantia" w:hAnsi="Constantia"/>
        </w:rPr>
        <w:t>All tests will be run at α = 0.05.</w:t>
      </w:r>
    </w:p>
    <w:p w:rsidR="00D43FEC" w:rsidRPr="00520599" w:rsidRDefault="00D43FEC">
      <w:pPr>
        <w:rPr>
          <w:rFonts w:ascii="Constantia" w:hAnsi="Constantia"/>
        </w:rPr>
      </w:pPr>
      <w:r w:rsidRPr="00520599">
        <w:rPr>
          <w:rFonts w:ascii="Constantia" w:hAnsi="Constantia"/>
          <w:b/>
        </w:rPr>
        <w:t xml:space="preserve">SAS Routines: </w:t>
      </w:r>
    </w:p>
    <w:p w:rsidR="00E219CB" w:rsidRPr="00520599" w:rsidRDefault="00E219CB">
      <w:pPr>
        <w:rPr>
          <w:rFonts w:ascii="Constantia" w:hAnsi="Constantia"/>
        </w:rPr>
      </w:pPr>
      <w:r w:rsidRPr="00520599">
        <w:rPr>
          <w:rFonts w:ascii="Constantia" w:hAnsi="Constantia"/>
        </w:rPr>
        <w:t xml:space="preserve">SAS 9.4 was used to evaluate proc means, proc </w:t>
      </w:r>
      <w:proofErr w:type="spellStart"/>
      <w:r w:rsidRPr="00520599">
        <w:rPr>
          <w:rFonts w:ascii="Constantia" w:hAnsi="Constantia"/>
        </w:rPr>
        <w:t>ttest</w:t>
      </w:r>
      <w:proofErr w:type="spellEnd"/>
      <w:r w:rsidRPr="00520599">
        <w:rPr>
          <w:rFonts w:ascii="Constantia" w:hAnsi="Constantia"/>
        </w:rPr>
        <w:t xml:space="preserve">, proc </w:t>
      </w:r>
      <w:proofErr w:type="spellStart"/>
      <w:r w:rsidRPr="00520599">
        <w:rPr>
          <w:rFonts w:ascii="Constantia" w:hAnsi="Constantia"/>
        </w:rPr>
        <w:t>glm</w:t>
      </w:r>
      <w:proofErr w:type="spellEnd"/>
      <w:r w:rsidRPr="00520599">
        <w:rPr>
          <w:rFonts w:ascii="Constantia" w:hAnsi="Constantia"/>
        </w:rPr>
        <w:t>, and proc corr.</w:t>
      </w:r>
    </w:p>
    <w:p w:rsidR="00D43FEC" w:rsidRPr="00520599" w:rsidRDefault="00D43FEC">
      <w:pPr>
        <w:rPr>
          <w:rFonts w:ascii="Constantia" w:hAnsi="Constantia"/>
          <w:b/>
        </w:rPr>
      </w:pPr>
      <w:proofErr w:type="spellStart"/>
      <w:r w:rsidRPr="00520599">
        <w:rPr>
          <w:rFonts w:ascii="Constantia" w:hAnsi="Constantia"/>
          <w:b/>
        </w:rPr>
        <w:t>Descriptives</w:t>
      </w:r>
      <w:proofErr w:type="spellEnd"/>
      <w:r w:rsidRPr="00520599">
        <w:rPr>
          <w:rFonts w:ascii="Constantia" w:hAnsi="Constantia"/>
          <w:b/>
        </w:rPr>
        <w:t>:</w:t>
      </w:r>
    </w:p>
    <w:p w:rsidR="007638B3" w:rsidRPr="00520599" w:rsidRDefault="003F5C7E">
      <w:pPr>
        <w:rPr>
          <w:rFonts w:ascii="Constantia" w:hAnsi="Constantia"/>
        </w:rPr>
      </w:pPr>
      <w:r w:rsidRPr="00520599">
        <w:rPr>
          <w:rFonts w:ascii="Constantia" w:hAnsi="Constantia"/>
        </w:rPr>
        <w:t xml:space="preserve">Table 1 characterizes </w:t>
      </w:r>
      <w:r w:rsidR="009D2143" w:rsidRPr="00520599">
        <w:rPr>
          <w:rFonts w:ascii="Constantia" w:hAnsi="Constantia"/>
        </w:rPr>
        <w:t xml:space="preserve">the variables in the study. </w:t>
      </w:r>
      <w:r w:rsidR="00E219CB" w:rsidRPr="00520599">
        <w:rPr>
          <w:rFonts w:ascii="Constantia" w:hAnsi="Constantia"/>
        </w:rPr>
        <w:t xml:space="preserve">Most variables had a Pearson skew coefficient of 0.7 or less, so the mean was </w:t>
      </w:r>
      <w:r w:rsidRPr="00520599">
        <w:rPr>
          <w:rFonts w:ascii="Constantia" w:hAnsi="Constantia"/>
        </w:rPr>
        <w:t>used as a descriptor</w:t>
      </w:r>
      <w:r w:rsidR="00E219CB" w:rsidRPr="00520599">
        <w:rPr>
          <w:rFonts w:ascii="Constantia" w:hAnsi="Constantia"/>
        </w:rPr>
        <w:t xml:space="preserve">.  Female gonorrhea rates were the only criterion with a skew greater, at 0.9.  </w:t>
      </w:r>
      <w:r w:rsidRPr="00520599">
        <w:rPr>
          <w:rFonts w:ascii="Constantia" w:hAnsi="Constantia"/>
        </w:rPr>
        <w:t xml:space="preserve">  </w:t>
      </w:r>
      <w:r w:rsidR="00836317" w:rsidRPr="00520599">
        <w:rPr>
          <w:rFonts w:ascii="Constantia" w:hAnsi="Constantia"/>
        </w:rPr>
        <w:t>Each of the means calculated from the neighborhood data was higher than the national average, with the exception of diabetes-related mortality (µ = 71.9, σ = 21.5, standard error = 2.4).  The largest deviation from the US Mean was for gonorrhea infection in both sexes, which was more than 3 times the national average in Chicago.</w:t>
      </w:r>
      <w:r w:rsidR="007638B3" w:rsidRPr="00520599">
        <w:rPr>
          <w:rFonts w:ascii="Constantia" w:hAnsi="Constantia"/>
        </w:rPr>
        <w:t xml:space="preserve"> </w:t>
      </w:r>
    </w:p>
    <w:p w:rsidR="003B6850" w:rsidRPr="00520599" w:rsidRDefault="007638B3">
      <w:pPr>
        <w:rPr>
          <w:rFonts w:ascii="Constantia" w:hAnsi="Constantia"/>
        </w:rPr>
      </w:pPr>
      <w:r w:rsidRPr="00520599">
        <w:rPr>
          <w:rFonts w:ascii="Constantia" w:hAnsi="Constantia"/>
        </w:rPr>
        <w:t>All variables had large ranges, indicating large differences in characteristics between neighborhoods. In Mount Greenwood in the Far Southwest Side, for example, the poverty rate was the minimum of only 3.1%, whereas Fuller Park on the South Side and Riverdale on the Far South Side had poverty rates of more than half their citizens at 55.5% and 61.4%, respectively.  Mount Greenwood had a teen birth rate of 7.7</w:t>
      </w:r>
      <w:r w:rsidRPr="00520599">
        <w:rPr>
          <w:rFonts w:ascii="Constantia" w:hAnsi="Constantia"/>
        </w:rPr>
        <w:t xml:space="preserve"> per 1,000 females aged 15-19, diabetes-related mortality rate </w:t>
      </w:r>
      <w:r w:rsidRPr="00520599">
        <w:rPr>
          <w:rFonts w:ascii="Constantia" w:hAnsi="Constantia"/>
        </w:rPr>
        <w:t xml:space="preserve">of 66.5 </w:t>
      </w:r>
      <w:r w:rsidRPr="00520599">
        <w:rPr>
          <w:rFonts w:ascii="Constantia" w:hAnsi="Constantia"/>
        </w:rPr>
        <w:t>per 100,000 persons (age-adjusted), breast cancer in females mortality rate</w:t>
      </w:r>
      <w:r w:rsidRPr="00520599">
        <w:rPr>
          <w:rFonts w:ascii="Constantia" w:hAnsi="Constantia"/>
        </w:rPr>
        <w:t xml:space="preserve"> 34.6</w:t>
      </w:r>
      <w:r w:rsidRPr="00520599">
        <w:rPr>
          <w:rFonts w:ascii="Constantia" w:hAnsi="Constantia"/>
        </w:rPr>
        <w:t xml:space="preserve"> per 100,</w:t>
      </w:r>
      <w:r w:rsidRPr="00520599">
        <w:rPr>
          <w:rFonts w:ascii="Constantia" w:hAnsi="Constantia"/>
        </w:rPr>
        <w:t xml:space="preserve">000 females (age-adjusted), and gonorrhea rate unlisted.   </w:t>
      </w:r>
      <w:r w:rsidR="00854F29" w:rsidRPr="00520599">
        <w:rPr>
          <w:rFonts w:ascii="Constantia" w:hAnsi="Constantia"/>
        </w:rPr>
        <w:t>While breast cancer is above the city and national mean, the teen birth rate and diabetes-related mortality are both much lower</w:t>
      </w:r>
      <w:r w:rsidRPr="00520599">
        <w:rPr>
          <w:rFonts w:ascii="Constantia" w:hAnsi="Constantia"/>
        </w:rPr>
        <w:t xml:space="preserve">. In contrast, Riverdale had </w:t>
      </w:r>
      <w:r w:rsidR="00854F29" w:rsidRPr="00520599">
        <w:rPr>
          <w:rFonts w:ascii="Constantia" w:hAnsi="Constantia"/>
        </w:rPr>
        <w:t xml:space="preserve">a teen birth rate of 61.4, diabetes-related mortality at 115.9, breast cancer rate at 25, and female gonorrhea at 1699.7 and male gonorrhea at 1397.9 </w:t>
      </w:r>
      <w:r w:rsidR="00854F29" w:rsidRPr="00520599">
        <w:rPr>
          <w:rFonts w:ascii="Constantia" w:hAnsi="Constantia"/>
        </w:rPr>
        <w:t>per 100,000 persons aged 15 to 44 years</w:t>
      </w:r>
      <w:r w:rsidR="00854F29" w:rsidRPr="00520599">
        <w:rPr>
          <w:rFonts w:ascii="Constantia" w:hAnsi="Constantia"/>
        </w:rPr>
        <w:t>.  Except for breast cancer rate, these numbers are greater than the city and national average.</w:t>
      </w:r>
    </w:p>
    <w:p w:rsidR="00FF24D3" w:rsidRPr="00520599" w:rsidRDefault="00854F29">
      <w:pPr>
        <w:rPr>
          <w:rFonts w:ascii="Constantia" w:hAnsi="Constantia"/>
        </w:rPr>
      </w:pPr>
      <w:r w:rsidRPr="00520599">
        <w:rPr>
          <w:rFonts w:ascii="Constantia" w:hAnsi="Constantia"/>
        </w:rPr>
        <w:lastRenderedPageBreak/>
        <w:t>Similarly, the percent of persons without a high school diploma also encompassed a broad range.  While those in Lakeview on the North Side were only 2.9% without a high school diploma, Gage Park on the Southwest Side and South Lawndale on the West Side lacked diplomas for over half their citizens at 54.1% and 58.7%, respectively.  Lakeview had below mean teen birth rate</w:t>
      </w:r>
      <w:r w:rsidR="00FF24D3" w:rsidRPr="00520599">
        <w:rPr>
          <w:rFonts w:ascii="Constantia" w:hAnsi="Constantia"/>
        </w:rPr>
        <w:t xml:space="preserve"> (15.8)</w:t>
      </w:r>
      <w:r w:rsidRPr="00520599">
        <w:rPr>
          <w:rFonts w:ascii="Constantia" w:hAnsi="Constantia"/>
        </w:rPr>
        <w:t>, breast cancer mortality</w:t>
      </w:r>
      <w:r w:rsidR="00FF24D3" w:rsidRPr="00520599">
        <w:rPr>
          <w:rFonts w:ascii="Constantia" w:hAnsi="Constantia"/>
        </w:rPr>
        <w:t xml:space="preserve"> (20.1)</w:t>
      </w:r>
      <w:r w:rsidRPr="00520599">
        <w:rPr>
          <w:rFonts w:ascii="Constantia" w:hAnsi="Constantia"/>
        </w:rPr>
        <w:t>, di</w:t>
      </w:r>
      <w:r w:rsidR="00FF24D3" w:rsidRPr="00520599">
        <w:rPr>
          <w:rFonts w:ascii="Constantia" w:hAnsi="Constantia"/>
        </w:rPr>
        <w:t>abetes-related mortality (38.5), and gonorrhea infections (81.8 in females and 357.6 in males).  South Lawndale rated lower than the city and national mean for breast cancer (13.2), diabetes (65), gonorrhea (289.5 in females and 106.8 in males), but higher in teen birth rate (77.5).</w:t>
      </w:r>
    </w:p>
    <w:p w:rsidR="00854F29" w:rsidRPr="00520599" w:rsidRDefault="00FF24D3">
      <w:pPr>
        <w:rPr>
          <w:rFonts w:ascii="Constantia" w:hAnsi="Constantia"/>
        </w:rPr>
      </w:pPr>
      <w:r w:rsidRPr="00520599">
        <w:rPr>
          <w:rFonts w:ascii="Constantia" w:hAnsi="Constantia"/>
        </w:rPr>
        <w:t>From this initial glance at extremes, the breast cancer rate does not appear to be raised by increased poverty or lack of high school diploma, though the teen birth rate does appear to be related to these factors.  Additional analysis on the question of correlation is provided in the next section.</w:t>
      </w:r>
    </w:p>
    <w:p w:rsidR="003F5C7E" w:rsidRPr="00520599" w:rsidRDefault="003F5C7E" w:rsidP="003F5C7E">
      <w:pPr>
        <w:pStyle w:val="Caption"/>
        <w:keepNext/>
        <w:rPr>
          <w:rFonts w:ascii="Constantia" w:hAnsi="Constantia"/>
          <w:sz w:val="22"/>
          <w:szCs w:val="22"/>
        </w:rPr>
      </w:pPr>
      <w:proofErr w:type="gramStart"/>
      <w:r w:rsidRPr="00520599">
        <w:rPr>
          <w:rFonts w:ascii="Constantia" w:hAnsi="Constantia"/>
          <w:sz w:val="22"/>
          <w:szCs w:val="22"/>
        </w:rPr>
        <w:t xml:space="preserve">Table </w:t>
      </w:r>
      <w:r w:rsidRPr="00520599">
        <w:rPr>
          <w:rFonts w:ascii="Constantia" w:hAnsi="Constantia"/>
          <w:sz w:val="22"/>
          <w:szCs w:val="22"/>
        </w:rPr>
        <w:fldChar w:fldCharType="begin"/>
      </w:r>
      <w:r w:rsidRPr="00520599">
        <w:rPr>
          <w:rFonts w:ascii="Constantia" w:hAnsi="Constantia"/>
          <w:sz w:val="22"/>
          <w:szCs w:val="22"/>
        </w:rPr>
        <w:instrText xml:space="preserve"> SEQ Table \* ARABIC </w:instrText>
      </w:r>
      <w:r w:rsidRPr="00520599">
        <w:rPr>
          <w:rFonts w:ascii="Constantia" w:hAnsi="Constantia"/>
          <w:sz w:val="22"/>
          <w:szCs w:val="22"/>
        </w:rPr>
        <w:fldChar w:fldCharType="separate"/>
      </w:r>
      <w:r w:rsidR="00CE4DF8" w:rsidRPr="00520599">
        <w:rPr>
          <w:rFonts w:ascii="Constantia" w:hAnsi="Constantia"/>
          <w:noProof/>
          <w:sz w:val="22"/>
          <w:szCs w:val="22"/>
        </w:rPr>
        <w:t>1</w:t>
      </w:r>
      <w:r w:rsidRPr="00520599">
        <w:rPr>
          <w:rFonts w:ascii="Constantia" w:hAnsi="Constantia"/>
          <w:sz w:val="22"/>
          <w:szCs w:val="22"/>
        </w:rPr>
        <w:fldChar w:fldCharType="end"/>
      </w:r>
      <w:r w:rsidRPr="00520599">
        <w:rPr>
          <w:rFonts w:ascii="Constantia" w:hAnsi="Constantia"/>
          <w:sz w:val="22"/>
          <w:szCs w:val="22"/>
        </w:rPr>
        <w:t>.</w:t>
      </w:r>
      <w:proofErr w:type="gramEnd"/>
      <w:r w:rsidRPr="00520599">
        <w:rPr>
          <w:rFonts w:ascii="Constantia" w:hAnsi="Constantia"/>
          <w:sz w:val="22"/>
          <w:szCs w:val="22"/>
        </w:rPr>
        <w:t xml:space="preserve"> </w:t>
      </w:r>
      <w:proofErr w:type="spellStart"/>
      <w:r w:rsidRPr="00520599">
        <w:rPr>
          <w:rFonts w:ascii="Constantia" w:hAnsi="Constantia"/>
          <w:sz w:val="22"/>
          <w:szCs w:val="22"/>
        </w:rPr>
        <w:t>Descriptives</w:t>
      </w:r>
      <w:proofErr w:type="spellEnd"/>
      <w:r w:rsidRPr="00520599">
        <w:rPr>
          <w:rFonts w:ascii="Constantia" w:hAnsi="Constantia"/>
          <w:sz w:val="22"/>
          <w:szCs w:val="22"/>
        </w:rPr>
        <w:t xml:space="preserve"> of select public health criteria for Chicago's 77 communities</w:t>
      </w:r>
    </w:p>
    <w:tbl>
      <w:tblPr>
        <w:tblW w:w="9760" w:type="dxa"/>
        <w:jc w:val="center"/>
        <w:tblInd w:w="80" w:type="dxa"/>
        <w:tblLayout w:type="fixed"/>
        <w:tblCellMar>
          <w:left w:w="10" w:type="dxa"/>
          <w:right w:w="10" w:type="dxa"/>
        </w:tblCellMar>
        <w:tblLook w:val="0000" w:firstRow="0" w:lastRow="0" w:firstColumn="0" w:lastColumn="0" w:noHBand="0" w:noVBand="0"/>
      </w:tblPr>
      <w:tblGrid>
        <w:gridCol w:w="1280"/>
        <w:gridCol w:w="247"/>
        <w:gridCol w:w="1008"/>
        <w:gridCol w:w="1125"/>
        <w:gridCol w:w="674"/>
        <w:gridCol w:w="879"/>
        <w:gridCol w:w="1440"/>
        <w:gridCol w:w="1307"/>
        <w:gridCol w:w="900"/>
        <w:gridCol w:w="900"/>
      </w:tblGrid>
      <w:tr w:rsidR="00854F29" w:rsidRPr="00520599" w:rsidTr="00E77D08">
        <w:tblPrEx>
          <w:tblCellMar>
            <w:top w:w="0" w:type="dxa"/>
            <w:bottom w:w="0" w:type="dxa"/>
          </w:tblCellMar>
        </w:tblPrEx>
        <w:trPr>
          <w:jc w:val="center"/>
        </w:trPr>
        <w:tc>
          <w:tcPr>
            <w:tcW w:w="1280" w:type="dxa"/>
            <w:tcBorders>
              <w:top w:val="single" w:sz="6" w:space="0" w:color="000000"/>
              <w:left w:val="single" w:sz="6"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rPr>
                <w:rFonts w:ascii="Constantia" w:hAnsi="Constantia" w:cs="Times New Roman"/>
                <w:b/>
                <w:bCs/>
                <w:color w:val="000000"/>
              </w:rPr>
            </w:pPr>
            <w:r w:rsidRPr="00520599">
              <w:rPr>
                <w:rFonts w:ascii="Constantia" w:hAnsi="Constantia" w:cs="Times New Roman"/>
                <w:b/>
                <w:bCs/>
                <w:color w:val="000000"/>
              </w:rPr>
              <w:t>Variable</w:t>
            </w:r>
            <w:bookmarkStart w:id="0" w:name="_GoBack"/>
            <w:bookmarkEnd w:id="0"/>
          </w:p>
        </w:tc>
        <w:tc>
          <w:tcPr>
            <w:tcW w:w="247"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N</w:t>
            </w:r>
          </w:p>
        </w:tc>
        <w:tc>
          <w:tcPr>
            <w:tcW w:w="1008"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Minimum</w:t>
            </w:r>
          </w:p>
        </w:tc>
        <w:tc>
          <w:tcPr>
            <w:tcW w:w="1125"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Maximum</w:t>
            </w:r>
          </w:p>
        </w:tc>
        <w:tc>
          <w:tcPr>
            <w:tcW w:w="674"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Mean</w:t>
            </w:r>
          </w:p>
        </w:tc>
        <w:tc>
          <w:tcPr>
            <w:tcW w:w="879"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Std</w:t>
            </w:r>
            <w:proofErr w:type="spellEnd"/>
            <w:r w:rsidRPr="00520599">
              <w:rPr>
                <w:rFonts w:ascii="Constantia" w:hAnsi="Constantia" w:cs="Times New Roman"/>
                <w:b/>
                <w:bCs/>
                <w:color w:val="000000"/>
              </w:rPr>
              <w:t xml:space="preserve"> Dev</w:t>
            </w:r>
          </w:p>
        </w:tc>
        <w:tc>
          <w:tcPr>
            <w:tcW w:w="1440"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Lower 95%</w:t>
            </w:r>
            <w:r w:rsidRPr="00520599">
              <w:rPr>
                <w:rFonts w:ascii="Constantia" w:hAnsi="Constantia" w:cs="Times New Roman"/>
                <w:b/>
                <w:bCs/>
                <w:color w:val="000000"/>
              </w:rPr>
              <w:br/>
              <w:t>CL for Mean</w:t>
            </w:r>
          </w:p>
        </w:tc>
        <w:tc>
          <w:tcPr>
            <w:tcW w:w="1307" w:type="dxa"/>
            <w:tcBorders>
              <w:top w:val="single" w:sz="6" w:space="0" w:color="000000"/>
              <w:left w:val="single" w:sz="2" w:space="0" w:color="000000"/>
              <w:bottom w:val="single" w:sz="2" w:space="0" w:color="000000"/>
              <w:right w:val="nil"/>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Upper 95%</w:t>
            </w:r>
            <w:r w:rsidRPr="00520599">
              <w:rPr>
                <w:rFonts w:ascii="Constantia" w:hAnsi="Constantia" w:cs="Times New Roman"/>
                <w:b/>
                <w:bCs/>
                <w:color w:val="000000"/>
              </w:rPr>
              <w:br/>
              <w:t>CL for Mean</w:t>
            </w:r>
          </w:p>
        </w:tc>
        <w:tc>
          <w:tcPr>
            <w:tcW w:w="900" w:type="dxa"/>
            <w:tcBorders>
              <w:top w:val="single" w:sz="6" w:space="0" w:color="000000"/>
              <w:left w:val="single" w:sz="2" w:space="0" w:color="000000"/>
              <w:bottom w:val="single" w:sz="2" w:space="0" w:color="000000"/>
              <w:right w:val="single" w:sz="6" w:space="0" w:color="000000"/>
            </w:tcBorders>
            <w:shd w:val="clear" w:color="auto" w:fill="BBBBBB"/>
            <w:vAlign w:val="bottom"/>
          </w:tcPr>
          <w:p w:rsidR="00854F29" w:rsidRPr="00520599" w:rsidRDefault="00854F29">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Std</w:t>
            </w:r>
            <w:proofErr w:type="spellEnd"/>
            <w:r w:rsidRPr="00520599">
              <w:rPr>
                <w:rFonts w:ascii="Constantia" w:hAnsi="Constantia" w:cs="Times New Roman"/>
                <w:b/>
                <w:bCs/>
                <w:color w:val="000000"/>
              </w:rPr>
              <w:t xml:space="preserve"> Error</w:t>
            </w:r>
          </w:p>
        </w:tc>
        <w:tc>
          <w:tcPr>
            <w:tcW w:w="900" w:type="dxa"/>
            <w:tcBorders>
              <w:top w:val="single" w:sz="6" w:space="0" w:color="000000"/>
              <w:left w:val="single" w:sz="2" w:space="0" w:color="000000"/>
              <w:bottom w:val="single" w:sz="2" w:space="0" w:color="000000"/>
              <w:right w:val="single" w:sz="2" w:space="0" w:color="000000"/>
            </w:tcBorders>
            <w:shd w:val="clear" w:color="auto" w:fill="BBBBBB"/>
            <w:vAlign w:val="bottom"/>
          </w:tcPr>
          <w:p w:rsidR="00854F29" w:rsidRPr="00520599" w:rsidRDefault="00854F29" w:rsidP="00C7710F">
            <w:pPr>
              <w:keepNext/>
              <w:widowControl w:val="0"/>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US Mean 2009</w:t>
            </w:r>
          </w:p>
        </w:tc>
      </w:tr>
      <w:tr w:rsidR="00854F29" w:rsidRPr="00520599" w:rsidTr="00E77D08">
        <w:tblPrEx>
          <w:tblCellMar>
            <w:top w:w="0" w:type="dxa"/>
            <w:bottom w:w="0" w:type="dxa"/>
          </w:tblCellMar>
        </w:tblPrEx>
        <w:trPr>
          <w:jc w:val="center"/>
        </w:trPr>
        <w:tc>
          <w:tcPr>
            <w:tcW w:w="1280" w:type="dxa"/>
            <w:tcBorders>
              <w:top w:val="nil"/>
              <w:left w:val="single" w:sz="6"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rPr>
                <w:rFonts w:ascii="Constantia" w:hAnsi="Constantia" w:cs="Times New Roman"/>
                <w:color w:val="000000"/>
              </w:rPr>
            </w:pPr>
            <w:proofErr w:type="spellStart"/>
            <w:r w:rsidRPr="00520599">
              <w:rPr>
                <w:rFonts w:ascii="Constantia" w:hAnsi="Constantia" w:cs="Times New Roman"/>
                <w:color w:val="000000"/>
              </w:rPr>
              <w:t>LowBirthWt</w:t>
            </w:r>
            <w:proofErr w:type="spellEnd"/>
            <w:r w:rsidRPr="00520599">
              <w:rPr>
                <w:rFonts w:ascii="Constantia" w:hAnsi="Constantia" w:cs="Times New Roman"/>
                <w:color w:val="000000"/>
              </w:rPr>
              <w:br/>
            </w:r>
            <w:proofErr w:type="spellStart"/>
            <w:r w:rsidRPr="00520599">
              <w:rPr>
                <w:rFonts w:ascii="Constantia" w:hAnsi="Constantia" w:cs="Times New Roman"/>
                <w:color w:val="000000"/>
              </w:rPr>
              <w:t>TeenBirthRt</w:t>
            </w:r>
            <w:proofErr w:type="spellEnd"/>
            <w:r w:rsidRPr="00520599">
              <w:rPr>
                <w:rFonts w:ascii="Constantia" w:hAnsi="Constantia" w:cs="Times New Roman"/>
                <w:color w:val="000000"/>
              </w:rPr>
              <w:br/>
            </w:r>
            <w:proofErr w:type="spellStart"/>
            <w:r w:rsidRPr="00520599">
              <w:rPr>
                <w:rFonts w:ascii="Constantia" w:hAnsi="Constantia" w:cs="Times New Roman"/>
                <w:color w:val="000000"/>
              </w:rPr>
              <w:t>BrstCancer</w:t>
            </w:r>
            <w:proofErr w:type="spellEnd"/>
            <w:r w:rsidRPr="00520599">
              <w:rPr>
                <w:rFonts w:ascii="Constantia" w:hAnsi="Constantia" w:cs="Times New Roman"/>
                <w:color w:val="000000"/>
              </w:rPr>
              <w:br/>
              <w:t>Diabetes</w:t>
            </w:r>
            <w:r w:rsidRPr="00520599">
              <w:rPr>
                <w:rFonts w:ascii="Constantia" w:hAnsi="Constantia" w:cs="Times New Roman"/>
                <w:color w:val="000000"/>
              </w:rPr>
              <w:br/>
            </w:r>
            <w:proofErr w:type="spellStart"/>
            <w:r w:rsidRPr="00520599">
              <w:rPr>
                <w:rFonts w:ascii="Constantia" w:hAnsi="Constantia" w:cs="Times New Roman"/>
                <w:color w:val="000000"/>
              </w:rPr>
              <w:t>FGonorrhea</w:t>
            </w:r>
            <w:proofErr w:type="spellEnd"/>
            <w:r w:rsidRPr="00520599">
              <w:rPr>
                <w:rFonts w:ascii="Constantia" w:hAnsi="Constantia" w:cs="Times New Roman"/>
                <w:color w:val="000000"/>
              </w:rPr>
              <w:br/>
            </w:r>
            <w:proofErr w:type="spellStart"/>
            <w:r w:rsidRPr="00520599">
              <w:rPr>
                <w:rFonts w:ascii="Constantia" w:hAnsi="Constantia" w:cs="Times New Roman"/>
                <w:color w:val="000000"/>
              </w:rPr>
              <w:t>MGonorrhea</w:t>
            </w:r>
            <w:proofErr w:type="spellEnd"/>
            <w:r w:rsidRPr="00520599">
              <w:rPr>
                <w:rFonts w:ascii="Constantia" w:hAnsi="Constantia" w:cs="Times New Roman"/>
                <w:color w:val="000000"/>
              </w:rPr>
              <w:br/>
            </w:r>
            <w:proofErr w:type="spellStart"/>
            <w:r w:rsidRPr="00520599">
              <w:rPr>
                <w:rFonts w:ascii="Constantia" w:hAnsi="Constantia" w:cs="Times New Roman"/>
                <w:color w:val="000000"/>
              </w:rPr>
              <w:t>NoDiploma</w:t>
            </w:r>
            <w:proofErr w:type="spellEnd"/>
            <w:r w:rsidRPr="00520599">
              <w:rPr>
                <w:rFonts w:ascii="Constantia" w:hAnsi="Constantia" w:cs="Times New Roman"/>
                <w:color w:val="000000"/>
              </w:rPr>
              <w:br/>
              <w:t>Poverty</w:t>
            </w:r>
          </w:p>
        </w:tc>
        <w:tc>
          <w:tcPr>
            <w:tcW w:w="247"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77</w:t>
            </w:r>
            <w:r w:rsidRPr="00520599">
              <w:rPr>
                <w:rFonts w:ascii="Constantia" w:hAnsi="Constantia" w:cs="Times New Roman"/>
                <w:color w:val="000000"/>
              </w:rPr>
              <w:br/>
              <w:t>77</w:t>
            </w:r>
            <w:r w:rsidRPr="00520599">
              <w:rPr>
                <w:rFonts w:ascii="Constantia" w:hAnsi="Constantia" w:cs="Times New Roman"/>
                <w:color w:val="000000"/>
              </w:rPr>
              <w:br/>
              <w:t>77</w:t>
            </w:r>
            <w:r w:rsidRPr="00520599">
              <w:rPr>
                <w:rFonts w:ascii="Constantia" w:hAnsi="Constantia" w:cs="Times New Roman"/>
                <w:color w:val="000000"/>
              </w:rPr>
              <w:br/>
              <w:t>77</w:t>
            </w:r>
            <w:r w:rsidRPr="00520599">
              <w:rPr>
                <w:rFonts w:ascii="Constantia" w:hAnsi="Constantia" w:cs="Times New Roman"/>
                <w:color w:val="000000"/>
              </w:rPr>
              <w:br/>
              <w:t>65</w:t>
            </w:r>
            <w:r w:rsidRPr="00520599">
              <w:rPr>
                <w:rFonts w:ascii="Constantia" w:hAnsi="Constantia" w:cs="Times New Roman"/>
                <w:color w:val="000000"/>
              </w:rPr>
              <w:br/>
              <w:t>65</w:t>
            </w:r>
            <w:r w:rsidRPr="00520599">
              <w:rPr>
                <w:rFonts w:ascii="Constantia" w:hAnsi="Constantia" w:cs="Times New Roman"/>
                <w:color w:val="000000"/>
              </w:rPr>
              <w:br/>
              <w:t>77</w:t>
            </w:r>
            <w:r w:rsidRPr="00520599">
              <w:rPr>
                <w:rFonts w:ascii="Constantia" w:hAnsi="Constantia" w:cs="Times New Roman"/>
                <w:color w:val="000000"/>
              </w:rPr>
              <w:br/>
              <w:t>77</w:t>
            </w:r>
          </w:p>
        </w:tc>
        <w:tc>
          <w:tcPr>
            <w:tcW w:w="1008"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3.5</w:t>
            </w:r>
            <w:r w:rsidRPr="00520599">
              <w:rPr>
                <w:rFonts w:ascii="Constantia" w:hAnsi="Constantia" w:cs="Times New Roman"/>
                <w:color w:val="000000"/>
              </w:rPr>
              <w:br/>
              <w:t>1.3</w:t>
            </w:r>
            <w:r w:rsidRPr="00520599">
              <w:rPr>
                <w:rFonts w:ascii="Constantia" w:hAnsi="Constantia" w:cs="Times New Roman"/>
                <w:color w:val="000000"/>
              </w:rPr>
              <w:br/>
              <w:t>7.6</w:t>
            </w:r>
            <w:r w:rsidRPr="00520599">
              <w:rPr>
                <w:rFonts w:ascii="Constantia" w:hAnsi="Constantia" w:cs="Times New Roman"/>
                <w:color w:val="000000"/>
              </w:rPr>
              <w:br/>
              <w:t>26.8</w:t>
            </w:r>
            <w:r w:rsidRPr="00520599">
              <w:rPr>
                <w:rFonts w:ascii="Constantia" w:hAnsi="Constantia" w:cs="Times New Roman"/>
                <w:color w:val="000000"/>
              </w:rPr>
              <w:br/>
              <w:t>50.3</w:t>
            </w:r>
            <w:r w:rsidRPr="00520599">
              <w:rPr>
                <w:rFonts w:ascii="Constantia" w:hAnsi="Constantia" w:cs="Times New Roman"/>
                <w:color w:val="000000"/>
              </w:rPr>
              <w:br/>
              <w:t>52.7</w:t>
            </w:r>
            <w:r w:rsidRPr="00520599">
              <w:rPr>
                <w:rFonts w:ascii="Constantia" w:hAnsi="Constantia" w:cs="Times New Roman"/>
                <w:color w:val="000000"/>
              </w:rPr>
              <w:br/>
              <w:t>2.9</w:t>
            </w:r>
            <w:r w:rsidRPr="00520599">
              <w:rPr>
                <w:rFonts w:ascii="Constantia" w:hAnsi="Constantia" w:cs="Times New Roman"/>
                <w:color w:val="000000"/>
              </w:rPr>
              <w:br/>
              <w:t>3.1</w:t>
            </w:r>
          </w:p>
        </w:tc>
        <w:tc>
          <w:tcPr>
            <w:tcW w:w="1125"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19.7</w:t>
            </w:r>
            <w:r w:rsidRPr="00520599">
              <w:rPr>
                <w:rFonts w:ascii="Constantia" w:hAnsi="Constantia" w:cs="Times New Roman"/>
                <w:color w:val="000000"/>
              </w:rPr>
              <w:br/>
              <w:t>116.9</w:t>
            </w:r>
            <w:r w:rsidRPr="00520599">
              <w:rPr>
                <w:rFonts w:ascii="Constantia" w:hAnsi="Constantia" w:cs="Times New Roman"/>
                <w:color w:val="000000"/>
              </w:rPr>
              <w:br/>
              <w:t>54.7</w:t>
            </w:r>
            <w:r w:rsidRPr="00520599">
              <w:rPr>
                <w:rFonts w:ascii="Constantia" w:hAnsi="Constantia" w:cs="Times New Roman"/>
                <w:color w:val="000000"/>
              </w:rPr>
              <w:br/>
              <w:t>119.1</w:t>
            </w:r>
            <w:r w:rsidRPr="00520599">
              <w:rPr>
                <w:rFonts w:ascii="Constantia" w:hAnsi="Constantia" w:cs="Times New Roman"/>
                <w:color w:val="000000"/>
              </w:rPr>
              <w:br/>
              <w:t>3193.3</w:t>
            </w:r>
            <w:r w:rsidRPr="00520599">
              <w:rPr>
                <w:rFonts w:ascii="Constantia" w:hAnsi="Constantia" w:cs="Times New Roman"/>
                <w:color w:val="000000"/>
              </w:rPr>
              <w:br/>
              <w:t>2545.7</w:t>
            </w:r>
            <w:r w:rsidRPr="00520599">
              <w:rPr>
                <w:rFonts w:ascii="Constantia" w:hAnsi="Constantia" w:cs="Times New Roman"/>
                <w:color w:val="000000"/>
              </w:rPr>
              <w:br/>
              <w:t>58.7</w:t>
            </w:r>
            <w:r w:rsidRPr="00520599">
              <w:rPr>
                <w:rFonts w:ascii="Constantia" w:hAnsi="Constantia" w:cs="Times New Roman"/>
                <w:color w:val="000000"/>
              </w:rPr>
              <w:br/>
              <w:t>61.4</w:t>
            </w:r>
          </w:p>
        </w:tc>
        <w:tc>
          <w:tcPr>
            <w:tcW w:w="674"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10.1</w:t>
            </w:r>
            <w:r w:rsidRPr="00520599">
              <w:rPr>
                <w:rFonts w:ascii="Constantia" w:hAnsi="Constantia" w:cs="Times New Roman"/>
                <w:color w:val="000000"/>
              </w:rPr>
              <w:br/>
              <w:t>50.1</w:t>
            </w:r>
            <w:r w:rsidRPr="00520599">
              <w:rPr>
                <w:rFonts w:ascii="Constantia" w:hAnsi="Constantia" w:cs="Times New Roman"/>
                <w:color w:val="000000"/>
              </w:rPr>
              <w:br/>
              <w:t>26.0</w:t>
            </w:r>
            <w:r w:rsidRPr="00520599">
              <w:rPr>
                <w:rFonts w:ascii="Constantia" w:hAnsi="Constantia" w:cs="Times New Roman"/>
                <w:color w:val="000000"/>
              </w:rPr>
              <w:br/>
              <w:t>71.9</w:t>
            </w:r>
            <w:r w:rsidRPr="00520599">
              <w:rPr>
                <w:rFonts w:ascii="Constantia" w:hAnsi="Constantia" w:cs="Times New Roman"/>
                <w:color w:val="000000"/>
              </w:rPr>
              <w:br/>
              <w:t>894.3</w:t>
            </w:r>
            <w:r w:rsidRPr="00520599">
              <w:rPr>
                <w:rFonts w:ascii="Constantia" w:hAnsi="Constantia" w:cs="Times New Roman"/>
                <w:color w:val="000000"/>
              </w:rPr>
              <w:br/>
              <w:t>840.7</w:t>
            </w:r>
            <w:r w:rsidRPr="00520599">
              <w:rPr>
                <w:rFonts w:ascii="Constantia" w:hAnsi="Constantia" w:cs="Times New Roman"/>
                <w:color w:val="000000"/>
              </w:rPr>
              <w:br/>
              <w:t>21.6</w:t>
            </w:r>
            <w:r w:rsidRPr="00520599">
              <w:rPr>
                <w:rFonts w:ascii="Constantia" w:hAnsi="Constantia" w:cs="Times New Roman"/>
                <w:color w:val="000000"/>
              </w:rPr>
              <w:br/>
              <w:t>20.3</w:t>
            </w:r>
          </w:p>
        </w:tc>
        <w:tc>
          <w:tcPr>
            <w:tcW w:w="879"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3.9</w:t>
            </w:r>
            <w:r w:rsidRPr="00520599">
              <w:rPr>
                <w:rFonts w:ascii="Constantia" w:hAnsi="Constantia" w:cs="Times New Roman"/>
                <w:color w:val="000000"/>
              </w:rPr>
              <w:br/>
              <w:t>28.1</w:t>
            </w:r>
            <w:r w:rsidRPr="00520599">
              <w:rPr>
                <w:rFonts w:ascii="Constantia" w:hAnsi="Constantia" w:cs="Times New Roman"/>
                <w:color w:val="000000"/>
              </w:rPr>
              <w:br/>
              <w:t>9.6</w:t>
            </w:r>
            <w:r w:rsidRPr="00520599">
              <w:rPr>
                <w:rFonts w:ascii="Constantia" w:hAnsi="Constantia" w:cs="Times New Roman"/>
                <w:color w:val="000000"/>
              </w:rPr>
              <w:br/>
              <w:t>21.5</w:t>
            </w:r>
            <w:r w:rsidRPr="00520599">
              <w:rPr>
                <w:rFonts w:ascii="Constantia" w:hAnsi="Constantia" w:cs="Times New Roman"/>
                <w:color w:val="000000"/>
              </w:rPr>
              <w:br/>
              <w:t>894.9</w:t>
            </w:r>
            <w:r w:rsidRPr="00520599">
              <w:rPr>
                <w:rFonts w:ascii="Constantia" w:hAnsi="Constantia" w:cs="Times New Roman"/>
                <w:color w:val="000000"/>
              </w:rPr>
              <w:br/>
              <w:t>774.8</w:t>
            </w:r>
            <w:r w:rsidRPr="00520599">
              <w:rPr>
                <w:rFonts w:ascii="Constantia" w:hAnsi="Constantia" w:cs="Times New Roman"/>
                <w:color w:val="000000"/>
              </w:rPr>
              <w:br/>
              <w:t>12.4</w:t>
            </w:r>
            <w:r w:rsidRPr="00520599">
              <w:rPr>
                <w:rFonts w:ascii="Constantia" w:hAnsi="Constantia" w:cs="Times New Roman"/>
                <w:color w:val="000000"/>
              </w:rPr>
              <w:br/>
              <w:t>11.5</w:t>
            </w:r>
          </w:p>
        </w:tc>
        <w:tc>
          <w:tcPr>
            <w:tcW w:w="1440"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9.2</w:t>
            </w:r>
            <w:r w:rsidRPr="00520599">
              <w:rPr>
                <w:rFonts w:ascii="Constantia" w:hAnsi="Constantia" w:cs="Times New Roman"/>
                <w:color w:val="000000"/>
              </w:rPr>
              <w:br/>
              <w:t>43.7</w:t>
            </w:r>
            <w:r w:rsidRPr="00520599">
              <w:rPr>
                <w:rFonts w:ascii="Constantia" w:hAnsi="Constantia" w:cs="Times New Roman"/>
                <w:color w:val="000000"/>
              </w:rPr>
              <w:br/>
              <w:t>23.8</w:t>
            </w:r>
            <w:r w:rsidRPr="00520599">
              <w:rPr>
                <w:rFonts w:ascii="Constantia" w:hAnsi="Constantia" w:cs="Times New Roman"/>
                <w:color w:val="000000"/>
              </w:rPr>
              <w:br/>
              <w:t>67.1</w:t>
            </w:r>
            <w:r w:rsidRPr="00520599">
              <w:rPr>
                <w:rFonts w:ascii="Constantia" w:hAnsi="Constantia" w:cs="Times New Roman"/>
                <w:color w:val="000000"/>
              </w:rPr>
              <w:br/>
              <w:t>672.5</w:t>
            </w:r>
            <w:r w:rsidRPr="00520599">
              <w:rPr>
                <w:rFonts w:ascii="Constantia" w:hAnsi="Constantia" w:cs="Times New Roman"/>
                <w:color w:val="000000"/>
              </w:rPr>
              <w:br/>
              <w:t>648.7</w:t>
            </w:r>
            <w:r w:rsidRPr="00520599">
              <w:rPr>
                <w:rFonts w:ascii="Constantia" w:hAnsi="Constantia" w:cs="Times New Roman"/>
                <w:color w:val="000000"/>
              </w:rPr>
              <w:br/>
              <w:t>18.8</w:t>
            </w:r>
            <w:r w:rsidRPr="00520599">
              <w:rPr>
                <w:rFonts w:ascii="Constantia" w:hAnsi="Constantia" w:cs="Times New Roman"/>
                <w:color w:val="000000"/>
              </w:rPr>
              <w:br/>
              <w:t>17.7</w:t>
            </w:r>
          </w:p>
        </w:tc>
        <w:tc>
          <w:tcPr>
            <w:tcW w:w="1307" w:type="dxa"/>
            <w:tcBorders>
              <w:top w:val="nil"/>
              <w:left w:val="single" w:sz="2" w:space="0" w:color="000000"/>
              <w:bottom w:val="single" w:sz="6" w:space="0" w:color="000000"/>
              <w:right w:val="nil"/>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11.0</w:t>
            </w:r>
            <w:r w:rsidRPr="00520599">
              <w:rPr>
                <w:rFonts w:ascii="Constantia" w:hAnsi="Constantia" w:cs="Times New Roman"/>
                <w:color w:val="000000"/>
              </w:rPr>
              <w:br/>
              <w:t>56.4</w:t>
            </w:r>
            <w:r w:rsidRPr="00520599">
              <w:rPr>
                <w:rFonts w:ascii="Constantia" w:hAnsi="Constantia" w:cs="Times New Roman"/>
                <w:color w:val="000000"/>
              </w:rPr>
              <w:br/>
              <w:t>28.1</w:t>
            </w:r>
            <w:r w:rsidRPr="00520599">
              <w:rPr>
                <w:rFonts w:ascii="Constantia" w:hAnsi="Constantia" w:cs="Times New Roman"/>
                <w:color w:val="000000"/>
              </w:rPr>
              <w:br/>
              <w:t>76.8</w:t>
            </w:r>
            <w:r w:rsidRPr="00520599">
              <w:rPr>
                <w:rFonts w:ascii="Constantia" w:hAnsi="Constantia" w:cs="Times New Roman"/>
                <w:color w:val="000000"/>
              </w:rPr>
              <w:br/>
              <w:t>1116.0</w:t>
            </w:r>
            <w:r w:rsidRPr="00520599">
              <w:rPr>
                <w:rFonts w:ascii="Constantia" w:hAnsi="Constantia" w:cs="Times New Roman"/>
                <w:color w:val="000000"/>
              </w:rPr>
              <w:br/>
              <w:t>1032.7</w:t>
            </w:r>
            <w:r w:rsidRPr="00520599">
              <w:rPr>
                <w:rFonts w:ascii="Constantia" w:hAnsi="Constantia" w:cs="Times New Roman"/>
                <w:color w:val="000000"/>
              </w:rPr>
              <w:br/>
              <w:t>24.4</w:t>
            </w:r>
            <w:r w:rsidRPr="00520599">
              <w:rPr>
                <w:rFonts w:ascii="Constantia" w:hAnsi="Constantia" w:cs="Times New Roman"/>
                <w:color w:val="000000"/>
              </w:rPr>
              <w:br/>
              <w:t>22.9</w:t>
            </w:r>
          </w:p>
        </w:tc>
        <w:tc>
          <w:tcPr>
            <w:tcW w:w="900" w:type="dxa"/>
            <w:tcBorders>
              <w:top w:val="nil"/>
              <w:left w:val="single" w:sz="2" w:space="0" w:color="000000"/>
              <w:bottom w:val="single" w:sz="6" w:space="0" w:color="000000"/>
              <w:right w:val="single" w:sz="6" w:space="0" w:color="000000"/>
            </w:tcBorders>
            <w:shd w:val="clear" w:color="auto" w:fill="FFFFFF"/>
          </w:tcPr>
          <w:p w:rsidR="00854F29" w:rsidRPr="00520599" w:rsidRDefault="00854F29" w:rsidP="00836317">
            <w:pPr>
              <w:keepNext/>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0.4</w:t>
            </w:r>
            <w:r w:rsidRPr="00520599">
              <w:rPr>
                <w:rFonts w:ascii="Constantia" w:hAnsi="Constantia" w:cs="Times New Roman"/>
                <w:color w:val="000000"/>
              </w:rPr>
              <w:br/>
              <w:t>3.2</w:t>
            </w:r>
            <w:r w:rsidRPr="00520599">
              <w:rPr>
                <w:rFonts w:ascii="Constantia" w:hAnsi="Constantia" w:cs="Times New Roman"/>
                <w:color w:val="000000"/>
              </w:rPr>
              <w:br/>
              <w:t>1.1</w:t>
            </w:r>
            <w:r w:rsidRPr="00520599">
              <w:rPr>
                <w:rFonts w:ascii="Constantia" w:hAnsi="Constantia" w:cs="Times New Roman"/>
                <w:color w:val="000000"/>
              </w:rPr>
              <w:br/>
              <w:t>2.4</w:t>
            </w:r>
            <w:r w:rsidRPr="00520599">
              <w:rPr>
                <w:rFonts w:ascii="Constantia" w:hAnsi="Constantia" w:cs="Times New Roman"/>
                <w:color w:val="000000"/>
              </w:rPr>
              <w:br/>
              <w:t>111.0</w:t>
            </w:r>
            <w:r w:rsidRPr="00520599">
              <w:rPr>
                <w:rFonts w:ascii="Constantia" w:hAnsi="Constantia" w:cs="Times New Roman"/>
                <w:color w:val="000000"/>
              </w:rPr>
              <w:br/>
              <w:t>96.1</w:t>
            </w:r>
            <w:r w:rsidRPr="00520599">
              <w:rPr>
                <w:rFonts w:ascii="Constantia" w:hAnsi="Constantia" w:cs="Times New Roman"/>
                <w:color w:val="000000"/>
              </w:rPr>
              <w:br/>
              <w:t>1.4</w:t>
            </w:r>
            <w:r w:rsidRPr="00520599">
              <w:rPr>
                <w:rFonts w:ascii="Constantia" w:hAnsi="Constantia" w:cs="Times New Roman"/>
                <w:color w:val="000000"/>
              </w:rPr>
              <w:br/>
              <w:t>1.3</w:t>
            </w:r>
          </w:p>
        </w:tc>
        <w:tc>
          <w:tcPr>
            <w:tcW w:w="900" w:type="dxa"/>
            <w:tcBorders>
              <w:top w:val="nil"/>
              <w:left w:val="single" w:sz="2" w:space="0" w:color="000000"/>
              <w:bottom w:val="single" w:sz="6" w:space="0" w:color="000000"/>
              <w:right w:val="single" w:sz="2" w:space="0" w:color="000000"/>
            </w:tcBorders>
            <w:shd w:val="clear" w:color="auto" w:fill="FFFFFF"/>
          </w:tcPr>
          <w:p w:rsidR="00854F29" w:rsidRPr="00520599" w:rsidRDefault="00854F29" w:rsidP="00C7710F">
            <w:pPr>
              <w:keepNext/>
              <w:widowControl w:val="0"/>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8.2</w:t>
            </w:r>
            <w:r w:rsidRPr="00520599">
              <w:rPr>
                <w:rFonts w:ascii="Constantia" w:hAnsi="Constantia" w:cs="Times New Roman"/>
                <w:color w:val="000000"/>
              </w:rPr>
              <w:br/>
              <w:t>39.1</w:t>
            </w:r>
            <w:r w:rsidRPr="00520599">
              <w:rPr>
                <w:rFonts w:ascii="Constantia" w:hAnsi="Constantia" w:cs="Times New Roman"/>
                <w:color w:val="000000"/>
              </w:rPr>
              <w:br/>
              <w:t>22.9</w:t>
            </w:r>
            <w:r w:rsidRPr="00520599">
              <w:rPr>
                <w:rFonts w:ascii="Constantia" w:hAnsi="Constantia" w:cs="Times New Roman"/>
                <w:color w:val="000000"/>
              </w:rPr>
              <w:br/>
              <w:t>73.1</w:t>
            </w:r>
            <w:r w:rsidRPr="00520599">
              <w:rPr>
                <w:rFonts w:ascii="Constantia" w:hAnsi="Constantia" w:cs="Times New Roman"/>
                <w:color w:val="000000"/>
              </w:rPr>
              <w:br/>
              <w:t>285</w:t>
            </w:r>
            <w:r w:rsidRPr="00520599">
              <w:rPr>
                <w:rFonts w:ascii="Constantia" w:hAnsi="Constantia" w:cs="Times New Roman"/>
                <w:color w:val="000000"/>
              </w:rPr>
              <w:br/>
              <w:t>220</w:t>
            </w:r>
            <w:r w:rsidRPr="00520599">
              <w:rPr>
                <w:rFonts w:ascii="Constantia" w:hAnsi="Constantia" w:cs="Times New Roman"/>
                <w:color w:val="000000"/>
              </w:rPr>
              <w:br/>
              <w:t>14.6</w:t>
            </w:r>
          </w:p>
          <w:p w:rsidR="00854F29" w:rsidRPr="00520599" w:rsidRDefault="00854F29" w:rsidP="00C7710F">
            <w:pPr>
              <w:keepNext/>
              <w:widowControl w:val="0"/>
              <w:autoSpaceDE w:val="0"/>
              <w:autoSpaceDN w:val="0"/>
              <w:adjustRightInd w:val="0"/>
              <w:spacing w:after="0" w:line="240" w:lineRule="auto"/>
              <w:jc w:val="right"/>
              <w:rPr>
                <w:rFonts w:ascii="Constantia" w:hAnsi="Constantia" w:cs="Times New Roman"/>
                <w:color w:val="000000"/>
              </w:rPr>
            </w:pPr>
            <w:r w:rsidRPr="00520599">
              <w:rPr>
                <w:rFonts w:ascii="Constantia" w:hAnsi="Constantia" w:cs="Times New Roman"/>
                <w:color w:val="000000"/>
              </w:rPr>
              <w:t>13.3</w:t>
            </w:r>
          </w:p>
        </w:tc>
      </w:tr>
    </w:tbl>
    <w:p w:rsidR="003F5C7E" w:rsidRPr="00520599" w:rsidRDefault="003F5C7E">
      <w:pPr>
        <w:rPr>
          <w:rFonts w:ascii="Constantia" w:hAnsi="Constantia"/>
        </w:rPr>
      </w:pPr>
    </w:p>
    <w:p w:rsidR="00D43FEC" w:rsidRPr="00520599" w:rsidRDefault="00D43FEC">
      <w:pPr>
        <w:rPr>
          <w:rFonts w:ascii="Constantia" w:hAnsi="Constantia"/>
          <w:b/>
        </w:rPr>
      </w:pPr>
      <w:r w:rsidRPr="00520599">
        <w:rPr>
          <w:rFonts w:ascii="Constantia" w:hAnsi="Constantia"/>
          <w:b/>
        </w:rPr>
        <w:t>Inferential Procedures:</w:t>
      </w:r>
    </w:p>
    <w:p w:rsidR="003F5C7E" w:rsidRPr="00520599" w:rsidRDefault="003F5C7E">
      <w:pPr>
        <w:rPr>
          <w:rFonts w:ascii="Constantia" w:hAnsi="Constantia"/>
        </w:rPr>
      </w:pPr>
      <w:r w:rsidRPr="00520599">
        <w:rPr>
          <w:rFonts w:ascii="Constantia" w:hAnsi="Constantia"/>
        </w:rPr>
        <w:t xml:space="preserve">In the first step, two claims from the literature were tested for the Chicago data.  A paired t-test was performed to evaluate whether females had higher incidence of gonorrhea infection than males, and a correlation test was used to evaluate whether teen birth rates were linked to lower birth weight.  </w:t>
      </w:r>
    </w:p>
    <w:p w:rsidR="00FF24D3" w:rsidRPr="00520599" w:rsidRDefault="00FF24D3">
      <w:pPr>
        <w:rPr>
          <w:rFonts w:ascii="Constantia" w:hAnsi="Constantia"/>
        </w:rPr>
      </w:pPr>
      <w:r w:rsidRPr="00520599">
        <w:rPr>
          <w:rFonts w:ascii="Constantia" w:hAnsi="Constantia"/>
        </w:rPr>
        <w:t>In the paired t-test, no significant difference</w:t>
      </w:r>
      <w:r w:rsidR="009D2143" w:rsidRPr="00520599">
        <w:rPr>
          <w:rFonts w:ascii="Constantia" w:hAnsi="Constantia"/>
        </w:rPr>
        <w:t xml:space="preserve"> (</w:t>
      </w:r>
      <w:proofErr w:type="spellStart"/>
      <w:proofErr w:type="gramStart"/>
      <w:r w:rsidR="009D2143" w:rsidRPr="00520599">
        <w:rPr>
          <w:rFonts w:ascii="Constantia" w:hAnsi="Constantia"/>
        </w:rPr>
        <w:t>df</w:t>
      </w:r>
      <w:proofErr w:type="spellEnd"/>
      <w:proofErr w:type="gramEnd"/>
      <w:r w:rsidR="009D2143" w:rsidRPr="00520599">
        <w:rPr>
          <w:rFonts w:ascii="Constantia" w:hAnsi="Constantia"/>
        </w:rPr>
        <w:t xml:space="preserve"> = 63, t = 1.24, p = 0.2185)</w:t>
      </w:r>
      <w:r w:rsidRPr="00520599">
        <w:rPr>
          <w:rFonts w:ascii="Constantia" w:hAnsi="Constantia"/>
        </w:rPr>
        <w:t xml:space="preserve"> was foun</w:t>
      </w:r>
      <w:r w:rsidR="009D2143" w:rsidRPr="00520599">
        <w:rPr>
          <w:rFonts w:ascii="Constantia" w:hAnsi="Constantia"/>
        </w:rPr>
        <w:t xml:space="preserve">d in the mean gonorrhea rate in females versus males for each neighborhood. This is surprising because the US Mean shows that the infection is more commonly reported in women, at 285 </w:t>
      </w:r>
      <w:r w:rsidR="009D2143" w:rsidRPr="00520599">
        <w:rPr>
          <w:rFonts w:ascii="Constantia" w:hAnsi="Constantia"/>
        </w:rPr>
        <w:t xml:space="preserve">per 100,000 </w:t>
      </w:r>
      <w:r w:rsidR="009D2143" w:rsidRPr="00520599">
        <w:rPr>
          <w:rFonts w:ascii="Constantia" w:hAnsi="Constantia"/>
        </w:rPr>
        <w:t>women</w:t>
      </w:r>
      <w:r w:rsidR="009D2143" w:rsidRPr="00520599">
        <w:rPr>
          <w:rFonts w:ascii="Constantia" w:hAnsi="Constantia"/>
        </w:rPr>
        <w:t xml:space="preserve"> aged 15 to 44 years,</w:t>
      </w:r>
      <w:r w:rsidR="009D2143" w:rsidRPr="00520599">
        <w:rPr>
          <w:rFonts w:ascii="Constantia" w:hAnsi="Constantia"/>
        </w:rPr>
        <w:t xml:space="preserve"> versus 220 </w:t>
      </w:r>
      <w:r w:rsidR="009D2143" w:rsidRPr="00520599">
        <w:rPr>
          <w:rFonts w:ascii="Constantia" w:hAnsi="Constantia"/>
        </w:rPr>
        <w:t>per 100,000</w:t>
      </w:r>
      <w:r w:rsidR="009D2143" w:rsidRPr="00520599">
        <w:rPr>
          <w:rFonts w:ascii="Constantia" w:hAnsi="Constantia"/>
        </w:rPr>
        <w:t xml:space="preserve"> men aged 15 to 44 years.  However, the 95% confidence interval for the difference in means </w:t>
      </w:r>
      <w:r w:rsidR="008714C6" w:rsidRPr="00520599">
        <w:rPr>
          <w:rFonts w:ascii="Constantia" w:hAnsi="Constantia"/>
        </w:rPr>
        <w:t>is -32.431, 139.1.  Some neighborhoods like West Garfield Park on the West Side and Burnside on the Far South Side feature reported gonorrhea infection rates over 3000 women, whereas the men’s maximum is reported at 2545.7 in West Englewood on the South West Side.</w:t>
      </w:r>
    </w:p>
    <w:p w:rsidR="008714C6" w:rsidRPr="00520599" w:rsidRDefault="008714C6">
      <w:pPr>
        <w:rPr>
          <w:rFonts w:ascii="Constantia" w:hAnsi="Constantia"/>
        </w:rPr>
      </w:pPr>
      <w:r w:rsidRPr="00520599">
        <w:rPr>
          <w:rFonts w:ascii="Constantia" w:hAnsi="Constantia"/>
        </w:rPr>
        <w:lastRenderedPageBreak/>
        <w:t>Teen birth rate was found to be correlated to low birth weight, as predicted.  The r was 0.6229, with p &lt; 0.0001.  This places the infant at greater risk of health complications.</w:t>
      </w:r>
    </w:p>
    <w:p w:rsidR="003F5C7E" w:rsidRPr="00520599" w:rsidRDefault="003F5C7E">
      <w:pPr>
        <w:rPr>
          <w:rFonts w:ascii="Constantia" w:hAnsi="Constantia"/>
        </w:rPr>
      </w:pPr>
      <w:r w:rsidRPr="00520599">
        <w:rPr>
          <w:rFonts w:ascii="Constantia" w:hAnsi="Constantia"/>
        </w:rPr>
        <w:t>Next, a correlation was performed to determine whether the four female health indicators (diabetes mortality, teen birth rates, female gonorrhea, and breast cancer) were linked to lack of high school diploma rates.</w:t>
      </w:r>
      <w:r w:rsidR="00BE7EDE" w:rsidRPr="00520599">
        <w:rPr>
          <w:rFonts w:ascii="Constantia" w:hAnsi="Constantia"/>
        </w:rPr>
        <w:t xml:space="preserve"> This correlation was run again, adjusting for the effect of the poverty level.</w:t>
      </w:r>
    </w:p>
    <w:p w:rsidR="00CE4DF8" w:rsidRPr="00520599" w:rsidRDefault="00CE4DF8">
      <w:pPr>
        <w:rPr>
          <w:rFonts w:ascii="Constantia" w:hAnsi="Constantia"/>
        </w:rPr>
      </w:pPr>
      <w:r w:rsidRPr="00520599">
        <w:rPr>
          <w:rFonts w:ascii="Constantia" w:hAnsi="Constantia"/>
        </w:rPr>
        <w:t>If any p &lt; 0.05 and r &gt; 0.5 are considered to be correlated, then Table 2 illustrates that lack of high school diploma is correlated only to teen birth rate at an r = 0.5378, and not to the other factors.  Interestingly, there is possibly a weak negative influence of no high school diploma on the breast cancer rate.  The teen birth rate is also correlated to diabetes mortality (r = 0.7212) and female gonorrhea (0.7451).  Diabetes is correlated to female gonorrhea incidence (r = 0.6902).</w:t>
      </w:r>
    </w:p>
    <w:p w:rsidR="00CE4DF8" w:rsidRPr="00520599" w:rsidRDefault="00CE4DF8">
      <w:pPr>
        <w:rPr>
          <w:rFonts w:ascii="Constantia" w:hAnsi="Constantia"/>
        </w:rPr>
      </w:pPr>
      <w:r w:rsidRPr="00520599">
        <w:rPr>
          <w:rFonts w:ascii="Constantia" w:hAnsi="Constantia"/>
        </w:rPr>
        <w:t xml:space="preserve">In Table 3, which performs the same function with an adjustment for poverty level, the correlations are not as strong.  In this result, no high school diploma has only a weak r = 0.3536 for teen birth rate and low negative correlations for the other variables.  </w:t>
      </w:r>
      <w:r w:rsidR="005436BE" w:rsidRPr="00520599">
        <w:rPr>
          <w:rFonts w:ascii="Constantia" w:hAnsi="Constantia"/>
        </w:rPr>
        <w:t>Teen birth rate still correlates to diabetes mortality (r = 0.5066) and female gonorrhea (r = 0.5936), while diabetes correlation to female gonorrhea is no longer as strong (r = 0.4881).</w:t>
      </w:r>
    </w:p>
    <w:p w:rsidR="00CE4DF8" w:rsidRPr="00520599" w:rsidRDefault="00CE4DF8" w:rsidP="00CE4DF8">
      <w:pPr>
        <w:pStyle w:val="Caption"/>
        <w:keepNext/>
        <w:rPr>
          <w:rFonts w:ascii="Constantia" w:hAnsi="Constantia"/>
          <w:sz w:val="22"/>
          <w:szCs w:val="22"/>
        </w:rPr>
      </w:pPr>
      <w:proofErr w:type="gramStart"/>
      <w:r w:rsidRPr="00520599">
        <w:rPr>
          <w:rFonts w:ascii="Constantia" w:hAnsi="Constantia"/>
          <w:sz w:val="22"/>
          <w:szCs w:val="22"/>
        </w:rPr>
        <w:t xml:space="preserve">Table </w:t>
      </w:r>
      <w:r w:rsidRPr="00520599">
        <w:rPr>
          <w:rFonts w:ascii="Constantia" w:hAnsi="Constantia"/>
          <w:sz w:val="22"/>
          <w:szCs w:val="22"/>
        </w:rPr>
        <w:fldChar w:fldCharType="begin"/>
      </w:r>
      <w:r w:rsidRPr="00520599">
        <w:rPr>
          <w:rFonts w:ascii="Constantia" w:hAnsi="Constantia"/>
          <w:sz w:val="22"/>
          <w:szCs w:val="22"/>
        </w:rPr>
        <w:instrText xml:space="preserve"> SEQ Table \* ARABIC </w:instrText>
      </w:r>
      <w:r w:rsidRPr="00520599">
        <w:rPr>
          <w:rFonts w:ascii="Constantia" w:hAnsi="Constantia"/>
          <w:sz w:val="22"/>
          <w:szCs w:val="22"/>
        </w:rPr>
        <w:fldChar w:fldCharType="separate"/>
      </w:r>
      <w:r w:rsidRPr="00520599">
        <w:rPr>
          <w:rFonts w:ascii="Constantia" w:hAnsi="Constantia"/>
          <w:noProof/>
          <w:sz w:val="22"/>
          <w:szCs w:val="22"/>
        </w:rPr>
        <w:t>2</w:t>
      </w:r>
      <w:r w:rsidRPr="00520599">
        <w:rPr>
          <w:rFonts w:ascii="Constantia" w:hAnsi="Constantia"/>
          <w:sz w:val="22"/>
          <w:szCs w:val="22"/>
        </w:rPr>
        <w:fldChar w:fldCharType="end"/>
      </w:r>
      <w:r w:rsidRPr="00520599">
        <w:rPr>
          <w:rFonts w:ascii="Constantia" w:hAnsi="Constantia"/>
          <w:sz w:val="22"/>
          <w:szCs w:val="22"/>
        </w:rPr>
        <w:t>.</w:t>
      </w:r>
      <w:proofErr w:type="gramEnd"/>
      <w:r w:rsidRPr="00520599">
        <w:rPr>
          <w:rFonts w:ascii="Constantia" w:hAnsi="Constantia"/>
          <w:sz w:val="22"/>
          <w:szCs w:val="22"/>
        </w:rPr>
        <w:t xml:space="preserve"> Female health factors as they correlate to high school diploma rates</w:t>
      </w:r>
    </w:p>
    <w:tbl>
      <w:tblPr>
        <w:tblW w:w="0" w:type="auto"/>
        <w:jc w:val="center"/>
        <w:tblLayout w:type="fixed"/>
        <w:tblCellMar>
          <w:left w:w="10" w:type="dxa"/>
          <w:right w:w="10" w:type="dxa"/>
        </w:tblCellMar>
        <w:tblLook w:val="0000" w:firstRow="0" w:lastRow="0" w:firstColumn="0" w:lastColumn="0" w:noHBand="0" w:noVBand="0"/>
      </w:tblPr>
      <w:tblGrid>
        <w:gridCol w:w="1383"/>
        <w:gridCol w:w="1373"/>
        <w:gridCol w:w="1260"/>
        <w:gridCol w:w="966"/>
        <w:gridCol w:w="1347"/>
        <w:gridCol w:w="1247"/>
      </w:tblGrid>
      <w:tr w:rsidR="008714C6" w:rsidRPr="00520599" w:rsidTr="005436BE">
        <w:tblPrEx>
          <w:tblCellMar>
            <w:top w:w="0" w:type="dxa"/>
            <w:bottom w:w="0" w:type="dxa"/>
          </w:tblCellMar>
        </w:tblPrEx>
        <w:trPr>
          <w:trHeight w:val="787"/>
          <w:jc w:val="center"/>
        </w:trPr>
        <w:tc>
          <w:tcPr>
            <w:tcW w:w="7576" w:type="dxa"/>
            <w:gridSpan w:val="6"/>
            <w:tcBorders>
              <w:top w:val="single" w:sz="6" w:space="0" w:color="000000"/>
              <w:left w:val="single" w:sz="6" w:space="0" w:color="000000"/>
              <w:bottom w:val="single" w:sz="2" w:space="0" w:color="000000"/>
              <w:right w:val="single" w:sz="6" w:space="0" w:color="000000"/>
            </w:tcBorders>
            <w:shd w:val="clear" w:color="auto" w:fill="BBBBBB"/>
            <w:vAlign w:val="bottom"/>
          </w:tcPr>
          <w:p w:rsidR="008714C6" w:rsidRPr="00520599" w:rsidRDefault="008714C6">
            <w:pPr>
              <w:keepNext/>
              <w:autoSpaceDE w:val="0"/>
              <w:autoSpaceDN w:val="0"/>
              <w:adjustRightInd w:val="0"/>
              <w:spacing w:before="60" w:after="60" w:line="240" w:lineRule="auto"/>
              <w:jc w:val="center"/>
              <w:rPr>
                <w:rFonts w:ascii="Constantia" w:hAnsi="Constantia" w:cs="Times New Roman"/>
                <w:b/>
                <w:bCs/>
                <w:color w:val="000000"/>
              </w:rPr>
            </w:pPr>
            <w:r w:rsidRPr="00520599">
              <w:rPr>
                <w:rFonts w:ascii="Constantia" w:hAnsi="Constantia" w:cs="Times New Roman"/>
                <w:b/>
                <w:bCs/>
                <w:color w:val="000000"/>
              </w:rPr>
              <w:t>Pearson Correlation Coefficients</w:t>
            </w:r>
            <w:r w:rsidRPr="00520599">
              <w:rPr>
                <w:rFonts w:ascii="Constantia" w:hAnsi="Constantia" w:cs="Times New Roman"/>
                <w:b/>
                <w:bCs/>
                <w:color w:val="000000"/>
              </w:rPr>
              <w:br/>
            </w:r>
            <w:proofErr w:type="spellStart"/>
            <w:r w:rsidRPr="00520599">
              <w:rPr>
                <w:rFonts w:ascii="Constantia" w:hAnsi="Constantia" w:cs="Times New Roman"/>
                <w:b/>
                <w:bCs/>
                <w:color w:val="000000"/>
              </w:rPr>
              <w:t>Prob</w:t>
            </w:r>
            <w:proofErr w:type="spellEnd"/>
            <w:r w:rsidRPr="00520599">
              <w:rPr>
                <w:rFonts w:ascii="Constantia" w:hAnsi="Constantia" w:cs="Times New Roman"/>
                <w:b/>
                <w:bCs/>
                <w:color w:val="000000"/>
              </w:rPr>
              <w:t> &gt; |r| under H0: Rho=0</w:t>
            </w:r>
            <w:r w:rsidRPr="00520599">
              <w:rPr>
                <w:rFonts w:ascii="Constantia" w:hAnsi="Constantia" w:cs="Times New Roman"/>
                <w:b/>
                <w:bCs/>
                <w:color w:val="000000"/>
              </w:rPr>
              <w:br/>
              <w:t>Number of Observations</w:t>
            </w:r>
          </w:p>
        </w:tc>
      </w:tr>
      <w:tr w:rsidR="008714C6" w:rsidRPr="00520599" w:rsidTr="005436BE">
        <w:tblPrEx>
          <w:tblCellMar>
            <w:top w:w="0" w:type="dxa"/>
            <w:bottom w:w="0" w:type="dxa"/>
          </w:tblCellMar>
        </w:tblPrEx>
        <w:trPr>
          <w:trHeight w:val="334"/>
          <w:jc w:val="center"/>
        </w:trPr>
        <w:tc>
          <w:tcPr>
            <w:tcW w:w="1383" w:type="dxa"/>
            <w:tcBorders>
              <w:top w:val="nil"/>
              <w:left w:val="single" w:sz="6" w:space="0" w:color="000000"/>
              <w:bottom w:val="single" w:sz="2" w:space="0" w:color="000000"/>
              <w:right w:val="nil"/>
            </w:tcBorders>
            <w:shd w:val="clear" w:color="auto" w:fill="BBBBBB"/>
            <w:vAlign w:val="bottom"/>
          </w:tcPr>
          <w:p w:rsidR="008714C6" w:rsidRPr="00520599" w:rsidRDefault="008714C6">
            <w:pPr>
              <w:keepNext/>
              <w:autoSpaceDE w:val="0"/>
              <w:autoSpaceDN w:val="0"/>
              <w:adjustRightInd w:val="0"/>
              <w:spacing w:before="60" w:after="60" w:line="240" w:lineRule="auto"/>
              <w:jc w:val="center"/>
              <w:rPr>
                <w:rFonts w:ascii="Constantia" w:hAnsi="Constantia" w:cs="Times New Roman"/>
                <w:b/>
                <w:bCs/>
                <w:color w:val="000000"/>
              </w:rPr>
            </w:pPr>
          </w:p>
        </w:tc>
        <w:tc>
          <w:tcPr>
            <w:tcW w:w="1373" w:type="dxa"/>
            <w:tcBorders>
              <w:top w:val="nil"/>
              <w:left w:val="single" w:sz="2" w:space="0" w:color="000000"/>
              <w:bottom w:val="single" w:sz="2" w:space="0" w:color="000000"/>
              <w:right w:val="nil"/>
            </w:tcBorders>
            <w:shd w:val="clear" w:color="auto" w:fill="BBBBBB"/>
            <w:vAlign w:val="bottom"/>
          </w:tcPr>
          <w:p w:rsidR="008714C6" w:rsidRPr="00520599" w:rsidRDefault="008714C6">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TeenBirthRt</w:t>
            </w:r>
            <w:proofErr w:type="spellEnd"/>
          </w:p>
        </w:tc>
        <w:tc>
          <w:tcPr>
            <w:tcW w:w="1260" w:type="dxa"/>
            <w:tcBorders>
              <w:top w:val="nil"/>
              <w:left w:val="single" w:sz="2" w:space="0" w:color="000000"/>
              <w:bottom w:val="single" w:sz="2" w:space="0" w:color="000000"/>
              <w:right w:val="nil"/>
            </w:tcBorders>
            <w:shd w:val="clear" w:color="auto" w:fill="BBBBBB"/>
            <w:vAlign w:val="bottom"/>
          </w:tcPr>
          <w:p w:rsidR="008714C6" w:rsidRPr="00520599" w:rsidRDefault="008714C6">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BrstCancer</w:t>
            </w:r>
            <w:proofErr w:type="spellEnd"/>
          </w:p>
        </w:tc>
        <w:tc>
          <w:tcPr>
            <w:tcW w:w="966" w:type="dxa"/>
            <w:tcBorders>
              <w:top w:val="nil"/>
              <w:left w:val="single" w:sz="2" w:space="0" w:color="000000"/>
              <w:bottom w:val="single" w:sz="2" w:space="0" w:color="000000"/>
              <w:right w:val="nil"/>
            </w:tcBorders>
            <w:shd w:val="clear" w:color="auto" w:fill="BBBBBB"/>
            <w:vAlign w:val="bottom"/>
          </w:tcPr>
          <w:p w:rsidR="008714C6" w:rsidRPr="00520599" w:rsidRDefault="008714C6">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Diabetes</w:t>
            </w:r>
          </w:p>
        </w:tc>
        <w:tc>
          <w:tcPr>
            <w:tcW w:w="1347" w:type="dxa"/>
            <w:tcBorders>
              <w:top w:val="nil"/>
              <w:left w:val="single" w:sz="2" w:space="0" w:color="000000"/>
              <w:bottom w:val="single" w:sz="2" w:space="0" w:color="000000"/>
              <w:right w:val="nil"/>
            </w:tcBorders>
            <w:shd w:val="clear" w:color="auto" w:fill="BBBBBB"/>
            <w:vAlign w:val="bottom"/>
          </w:tcPr>
          <w:p w:rsidR="008714C6" w:rsidRPr="00520599" w:rsidRDefault="008714C6">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FGonorrhea</w:t>
            </w:r>
            <w:proofErr w:type="spellEnd"/>
          </w:p>
        </w:tc>
        <w:tc>
          <w:tcPr>
            <w:tcW w:w="1247" w:type="dxa"/>
            <w:tcBorders>
              <w:top w:val="nil"/>
              <w:left w:val="single" w:sz="2" w:space="0" w:color="000000"/>
              <w:bottom w:val="single" w:sz="2" w:space="0" w:color="000000"/>
              <w:right w:val="single" w:sz="6" w:space="0" w:color="000000"/>
            </w:tcBorders>
            <w:shd w:val="clear" w:color="auto" w:fill="BBBBBB"/>
            <w:vAlign w:val="bottom"/>
          </w:tcPr>
          <w:p w:rsidR="008714C6" w:rsidRPr="00520599" w:rsidRDefault="008714C6">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NoDiploma</w:t>
            </w:r>
            <w:proofErr w:type="spellEnd"/>
          </w:p>
        </w:tc>
      </w:tr>
      <w:tr w:rsidR="008714C6" w:rsidRPr="00520599" w:rsidTr="005436BE">
        <w:tblPrEx>
          <w:tblCellMar>
            <w:top w:w="0" w:type="dxa"/>
            <w:bottom w:w="0" w:type="dxa"/>
          </w:tblCellMar>
        </w:tblPrEx>
        <w:trPr>
          <w:trHeight w:val="723"/>
          <w:jc w:val="center"/>
        </w:trPr>
        <w:tc>
          <w:tcPr>
            <w:tcW w:w="1383" w:type="dxa"/>
            <w:tcBorders>
              <w:top w:val="nil"/>
              <w:left w:val="single" w:sz="6" w:space="0" w:color="000000"/>
              <w:bottom w:val="single" w:sz="2" w:space="0" w:color="000000"/>
              <w:right w:val="nil"/>
            </w:tcBorders>
            <w:shd w:val="clear" w:color="auto" w:fill="BBBBBB"/>
          </w:tcPr>
          <w:p w:rsidR="008714C6" w:rsidRPr="00520599" w:rsidRDefault="008714C6">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TeenBirthRt</w:t>
            </w:r>
            <w:proofErr w:type="spellEnd"/>
          </w:p>
        </w:tc>
        <w:tc>
          <w:tcPr>
            <w:tcW w:w="1373"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r w:rsidRPr="00520599">
              <w:rPr>
                <w:rFonts w:ascii="Constantia" w:hAnsi="Constantia" w:cs="Times New Roman"/>
                <w:color w:val="000000"/>
              </w:rPr>
              <w:br/>
              <w:t>77</w:t>
            </w:r>
          </w:p>
        </w:tc>
        <w:tc>
          <w:tcPr>
            <w:tcW w:w="1260"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0.31911</w:t>
            </w:r>
            <w:r w:rsidRPr="00520599">
              <w:rPr>
                <w:rFonts w:ascii="Constantia" w:hAnsi="Constantia" w:cs="Times New Roman"/>
                <w:color w:val="000000"/>
              </w:rPr>
              <w:br/>
              <w:t>0.0047</w:t>
            </w:r>
            <w:r w:rsidRPr="00520599">
              <w:rPr>
                <w:rFonts w:ascii="Constantia" w:hAnsi="Constantia" w:cs="Times New Roman"/>
                <w:color w:val="000000"/>
              </w:rPr>
              <w:br/>
              <w:t>77</w:t>
            </w:r>
          </w:p>
        </w:tc>
        <w:tc>
          <w:tcPr>
            <w:tcW w:w="966"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0.72123</w:t>
            </w:r>
            <w:r w:rsidRPr="00520599">
              <w:rPr>
                <w:rFonts w:ascii="Constantia" w:hAnsi="Constantia" w:cs="Times New Roman"/>
                <w:color w:val="000000"/>
              </w:rPr>
              <w:br/>
              <w:t>&lt;.0001</w:t>
            </w:r>
            <w:r w:rsidRPr="00520599">
              <w:rPr>
                <w:rFonts w:ascii="Constantia" w:hAnsi="Constantia" w:cs="Times New Roman"/>
                <w:color w:val="000000"/>
              </w:rPr>
              <w:br/>
              <w:t>77</w:t>
            </w:r>
          </w:p>
        </w:tc>
        <w:tc>
          <w:tcPr>
            <w:tcW w:w="1347"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0.74511</w:t>
            </w:r>
            <w:r w:rsidRPr="00520599">
              <w:rPr>
                <w:rFonts w:ascii="Constantia" w:hAnsi="Constantia" w:cs="Times New Roman"/>
                <w:color w:val="000000"/>
              </w:rPr>
              <w:br/>
              <w:t>&lt;.0001</w:t>
            </w:r>
            <w:r w:rsidRPr="00520599">
              <w:rPr>
                <w:rFonts w:ascii="Constantia" w:hAnsi="Constantia" w:cs="Times New Roman"/>
                <w:color w:val="000000"/>
              </w:rPr>
              <w:br/>
              <w:t>65</w:t>
            </w:r>
          </w:p>
        </w:tc>
        <w:tc>
          <w:tcPr>
            <w:tcW w:w="1247" w:type="dxa"/>
            <w:tcBorders>
              <w:top w:val="nil"/>
              <w:left w:val="single" w:sz="2" w:space="0" w:color="000000"/>
              <w:bottom w:val="single" w:sz="2" w:space="0" w:color="000000"/>
              <w:right w:val="single" w:sz="6" w:space="0" w:color="000000"/>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0.53778</w:t>
            </w:r>
            <w:r w:rsidRPr="00520599">
              <w:rPr>
                <w:rFonts w:ascii="Constantia" w:hAnsi="Constantia" w:cs="Times New Roman"/>
                <w:color w:val="000000"/>
              </w:rPr>
              <w:br/>
              <w:t>&lt;.0001</w:t>
            </w:r>
            <w:r w:rsidRPr="00520599">
              <w:rPr>
                <w:rFonts w:ascii="Constantia" w:hAnsi="Constantia" w:cs="Times New Roman"/>
                <w:color w:val="000000"/>
              </w:rPr>
              <w:br/>
              <w:t>77</w:t>
            </w:r>
          </w:p>
        </w:tc>
      </w:tr>
      <w:tr w:rsidR="008714C6" w:rsidRPr="00520599" w:rsidTr="005436BE">
        <w:tblPrEx>
          <w:tblCellMar>
            <w:top w:w="0" w:type="dxa"/>
            <w:bottom w:w="0" w:type="dxa"/>
          </w:tblCellMar>
        </w:tblPrEx>
        <w:trPr>
          <w:trHeight w:val="723"/>
          <w:jc w:val="center"/>
        </w:trPr>
        <w:tc>
          <w:tcPr>
            <w:tcW w:w="1383" w:type="dxa"/>
            <w:tcBorders>
              <w:top w:val="nil"/>
              <w:left w:val="single" w:sz="6" w:space="0" w:color="000000"/>
              <w:bottom w:val="single" w:sz="2" w:space="0" w:color="000000"/>
              <w:right w:val="nil"/>
            </w:tcBorders>
            <w:shd w:val="clear" w:color="auto" w:fill="BBBBBB"/>
          </w:tcPr>
          <w:p w:rsidR="008714C6" w:rsidRPr="00520599" w:rsidRDefault="008714C6">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BrstCancer</w:t>
            </w:r>
            <w:proofErr w:type="spellEnd"/>
          </w:p>
        </w:tc>
        <w:tc>
          <w:tcPr>
            <w:tcW w:w="1373"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0.31911</w:t>
            </w:r>
            <w:r w:rsidRPr="00520599">
              <w:rPr>
                <w:rFonts w:ascii="Constantia" w:hAnsi="Constantia" w:cs="Times New Roman"/>
                <w:color w:val="000000"/>
              </w:rPr>
              <w:br/>
              <w:t>0.0047</w:t>
            </w:r>
            <w:r w:rsidRPr="00520599">
              <w:rPr>
                <w:rFonts w:ascii="Constantia" w:hAnsi="Constantia" w:cs="Times New Roman"/>
                <w:color w:val="000000"/>
              </w:rPr>
              <w:br/>
              <w:t>77</w:t>
            </w:r>
          </w:p>
        </w:tc>
        <w:tc>
          <w:tcPr>
            <w:tcW w:w="1260"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r w:rsidRPr="00520599">
              <w:rPr>
                <w:rFonts w:ascii="Constantia" w:hAnsi="Constantia" w:cs="Times New Roman"/>
                <w:color w:val="000000"/>
              </w:rPr>
              <w:br/>
              <w:t>77</w:t>
            </w:r>
          </w:p>
        </w:tc>
        <w:tc>
          <w:tcPr>
            <w:tcW w:w="966"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0.32657</w:t>
            </w:r>
            <w:r w:rsidRPr="00520599">
              <w:rPr>
                <w:rFonts w:ascii="Constantia" w:hAnsi="Constantia" w:cs="Times New Roman"/>
                <w:color w:val="000000"/>
              </w:rPr>
              <w:br/>
              <w:t>0.0037</w:t>
            </w:r>
            <w:r w:rsidRPr="00520599">
              <w:rPr>
                <w:rFonts w:ascii="Constantia" w:hAnsi="Constantia" w:cs="Times New Roman"/>
                <w:color w:val="000000"/>
              </w:rPr>
              <w:br/>
              <w:t>77</w:t>
            </w:r>
          </w:p>
        </w:tc>
        <w:tc>
          <w:tcPr>
            <w:tcW w:w="1347"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0.44146</w:t>
            </w:r>
            <w:r w:rsidRPr="00520599">
              <w:rPr>
                <w:rFonts w:ascii="Constantia" w:hAnsi="Constantia" w:cs="Times New Roman"/>
                <w:color w:val="000000"/>
              </w:rPr>
              <w:br/>
              <w:t>0.0002</w:t>
            </w:r>
            <w:r w:rsidRPr="00520599">
              <w:rPr>
                <w:rFonts w:ascii="Constantia" w:hAnsi="Constantia" w:cs="Times New Roman"/>
                <w:color w:val="000000"/>
              </w:rPr>
              <w:br/>
              <w:t>65</w:t>
            </w:r>
          </w:p>
        </w:tc>
        <w:tc>
          <w:tcPr>
            <w:tcW w:w="1247" w:type="dxa"/>
            <w:tcBorders>
              <w:top w:val="nil"/>
              <w:left w:val="single" w:sz="2" w:space="0" w:color="000000"/>
              <w:bottom w:val="single" w:sz="2" w:space="0" w:color="000000"/>
              <w:right w:val="single" w:sz="6" w:space="0" w:color="000000"/>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-0.18455</w:t>
            </w:r>
            <w:r w:rsidRPr="00520599">
              <w:rPr>
                <w:rFonts w:ascii="Constantia" w:hAnsi="Constantia" w:cs="Times New Roman"/>
                <w:color w:val="000000"/>
              </w:rPr>
              <w:br/>
              <w:t>0.1081</w:t>
            </w:r>
            <w:r w:rsidRPr="00520599">
              <w:rPr>
                <w:rFonts w:ascii="Constantia" w:hAnsi="Constantia" w:cs="Times New Roman"/>
                <w:color w:val="000000"/>
              </w:rPr>
              <w:br/>
              <w:t>77</w:t>
            </w:r>
          </w:p>
        </w:tc>
      </w:tr>
      <w:tr w:rsidR="008714C6" w:rsidRPr="00520599" w:rsidTr="005436BE">
        <w:tblPrEx>
          <w:tblCellMar>
            <w:top w:w="0" w:type="dxa"/>
            <w:bottom w:w="0" w:type="dxa"/>
          </w:tblCellMar>
        </w:tblPrEx>
        <w:trPr>
          <w:trHeight w:val="723"/>
          <w:jc w:val="center"/>
        </w:trPr>
        <w:tc>
          <w:tcPr>
            <w:tcW w:w="1383" w:type="dxa"/>
            <w:tcBorders>
              <w:top w:val="nil"/>
              <w:left w:val="single" w:sz="6" w:space="0" w:color="000000"/>
              <w:bottom w:val="single" w:sz="2" w:space="0" w:color="000000"/>
              <w:right w:val="nil"/>
            </w:tcBorders>
            <w:shd w:val="clear" w:color="auto" w:fill="BBBBBB"/>
          </w:tcPr>
          <w:p w:rsidR="008714C6" w:rsidRPr="00520599" w:rsidRDefault="008714C6">
            <w:pPr>
              <w:keepNext/>
              <w:autoSpaceDE w:val="0"/>
              <w:autoSpaceDN w:val="0"/>
              <w:adjustRightInd w:val="0"/>
              <w:spacing w:before="60" w:after="60" w:line="240" w:lineRule="auto"/>
              <w:rPr>
                <w:rFonts w:ascii="Constantia" w:hAnsi="Constantia" w:cs="Times New Roman"/>
                <w:b/>
                <w:bCs/>
                <w:color w:val="000000"/>
              </w:rPr>
            </w:pPr>
            <w:r w:rsidRPr="00520599">
              <w:rPr>
                <w:rFonts w:ascii="Constantia" w:hAnsi="Constantia" w:cs="Times New Roman"/>
                <w:b/>
                <w:bCs/>
                <w:color w:val="000000"/>
              </w:rPr>
              <w:t>Diabetes</w:t>
            </w:r>
          </w:p>
        </w:tc>
        <w:tc>
          <w:tcPr>
            <w:tcW w:w="1373"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0.72123</w:t>
            </w:r>
            <w:r w:rsidRPr="00520599">
              <w:rPr>
                <w:rFonts w:ascii="Constantia" w:hAnsi="Constantia" w:cs="Times New Roman"/>
                <w:color w:val="000000"/>
              </w:rPr>
              <w:br/>
              <w:t>&lt;.0001</w:t>
            </w:r>
            <w:r w:rsidRPr="00520599">
              <w:rPr>
                <w:rFonts w:ascii="Constantia" w:hAnsi="Constantia" w:cs="Times New Roman"/>
                <w:color w:val="000000"/>
              </w:rPr>
              <w:br/>
              <w:t>77</w:t>
            </w:r>
          </w:p>
        </w:tc>
        <w:tc>
          <w:tcPr>
            <w:tcW w:w="1260"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0.32657</w:t>
            </w:r>
            <w:r w:rsidRPr="00520599">
              <w:rPr>
                <w:rFonts w:ascii="Constantia" w:hAnsi="Constantia" w:cs="Times New Roman"/>
                <w:color w:val="000000"/>
              </w:rPr>
              <w:br/>
              <w:t>0.0037</w:t>
            </w:r>
            <w:r w:rsidRPr="00520599">
              <w:rPr>
                <w:rFonts w:ascii="Constantia" w:hAnsi="Constantia" w:cs="Times New Roman"/>
                <w:color w:val="000000"/>
              </w:rPr>
              <w:br/>
              <w:t>77</w:t>
            </w:r>
          </w:p>
        </w:tc>
        <w:tc>
          <w:tcPr>
            <w:tcW w:w="966"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r w:rsidRPr="00520599">
              <w:rPr>
                <w:rFonts w:ascii="Constantia" w:hAnsi="Constantia" w:cs="Times New Roman"/>
                <w:color w:val="000000"/>
              </w:rPr>
              <w:br/>
              <w:t>77</w:t>
            </w:r>
          </w:p>
        </w:tc>
        <w:tc>
          <w:tcPr>
            <w:tcW w:w="1347"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0.69022</w:t>
            </w:r>
            <w:r w:rsidRPr="00520599">
              <w:rPr>
                <w:rFonts w:ascii="Constantia" w:hAnsi="Constantia" w:cs="Times New Roman"/>
                <w:color w:val="000000"/>
              </w:rPr>
              <w:br/>
              <w:t>&lt;.0001</w:t>
            </w:r>
            <w:r w:rsidRPr="00520599">
              <w:rPr>
                <w:rFonts w:ascii="Constantia" w:hAnsi="Constantia" w:cs="Times New Roman"/>
                <w:color w:val="000000"/>
              </w:rPr>
              <w:br/>
              <w:t>65</w:t>
            </w:r>
          </w:p>
        </w:tc>
        <w:tc>
          <w:tcPr>
            <w:tcW w:w="1247" w:type="dxa"/>
            <w:tcBorders>
              <w:top w:val="nil"/>
              <w:left w:val="single" w:sz="2" w:space="0" w:color="000000"/>
              <w:bottom w:val="single" w:sz="2" w:space="0" w:color="000000"/>
              <w:right w:val="single" w:sz="6" w:space="0" w:color="000000"/>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0.27491</w:t>
            </w:r>
            <w:r w:rsidRPr="00520599">
              <w:rPr>
                <w:rFonts w:ascii="Constantia" w:hAnsi="Constantia" w:cs="Times New Roman"/>
                <w:color w:val="000000"/>
              </w:rPr>
              <w:br/>
              <w:t>0.0155</w:t>
            </w:r>
            <w:r w:rsidRPr="00520599">
              <w:rPr>
                <w:rFonts w:ascii="Constantia" w:hAnsi="Constantia" w:cs="Times New Roman"/>
                <w:color w:val="000000"/>
              </w:rPr>
              <w:br/>
              <w:t>77</w:t>
            </w:r>
          </w:p>
        </w:tc>
      </w:tr>
      <w:tr w:rsidR="008714C6" w:rsidRPr="00520599" w:rsidTr="005436BE">
        <w:tblPrEx>
          <w:tblCellMar>
            <w:top w:w="0" w:type="dxa"/>
            <w:bottom w:w="0" w:type="dxa"/>
          </w:tblCellMar>
        </w:tblPrEx>
        <w:trPr>
          <w:trHeight w:val="723"/>
          <w:jc w:val="center"/>
        </w:trPr>
        <w:tc>
          <w:tcPr>
            <w:tcW w:w="1383" w:type="dxa"/>
            <w:tcBorders>
              <w:top w:val="nil"/>
              <w:left w:val="single" w:sz="6" w:space="0" w:color="000000"/>
              <w:bottom w:val="single" w:sz="2" w:space="0" w:color="000000"/>
              <w:right w:val="nil"/>
            </w:tcBorders>
            <w:shd w:val="clear" w:color="auto" w:fill="BBBBBB"/>
          </w:tcPr>
          <w:p w:rsidR="008714C6" w:rsidRPr="00520599" w:rsidRDefault="008714C6">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FGonorrhea</w:t>
            </w:r>
            <w:proofErr w:type="spellEnd"/>
          </w:p>
        </w:tc>
        <w:tc>
          <w:tcPr>
            <w:tcW w:w="1373"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0.74511</w:t>
            </w:r>
            <w:r w:rsidRPr="00520599">
              <w:rPr>
                <w:rFonts w:ascii="Constantia" w:hAnsi="Constantia" w:cs="Times New Roman"/>
                <w:color w:val="000000"/>
              </w:rPr>
              <w:br/>
              <w:t>&lt;.0001</w:t>
            </w:r>
            <w:r w:rsidRPr="00520599">
              <w:rPr>
                <w:rFonts w:ascii="Constantia" w:hAnsi="Constantia" w:cs="Times New Roman"/>
                <w:color w:val="000000"/>
              </w:rPr>
              <w:br/>
              <w:t>65</w:t>
            </w:r>
          </w:p>
        </w:tc>
        <w:tc>
          <w:tcPr>
            <w:tcW w:w="1260"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0.44146</w:t>
            </w:r>
            <w:r w:rsidRPr="00520599">
              <w:rPr>
                <w:rFonts w:ascii="Constantia" w:hAnsi="Constantia" w:cs="Times New Roman"/>
                <w:color w:val="000000"/>
              </w:rPr>
              <w:br/>
              <w:t>0.0002</w:t>
            </w:r>
            <w:r w:rsidRPr="00520599">
              <w:rPr>
                <w:rFonts w:ascii="Constantia" w:hAnsi="Constantia" w:cs="Times New Roman"/>
                <w:color w:val="000000"/>
              </w:rPr>
              <w:br/>
              <w:t>65</w:t>
            </w:r>
          </w:p>
        </w:tc>
        <w:tc>
          <w:tcPr>
            <w:tcW w:w="966"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0.69022</w:t>
            </w:r>
            <w:r w:rsidRPr="00520599">
              <w:rPr>
                <w:rFonts w:ascii="Constantia" w:hAnsi="Constantia" w:cs="Times New Roman"/>
                <w:color w:val="000000"/>
              </w:rPr>
              <w:br/>
              <w:t>&lt;.0001</w:t>
            </w:r>
            <w:r w:rsidRPr="00520599">
              <w:rPr>
                <w:rFonts w:ascii="Constantia" w:hAnsi="Constantia" w:cs="Times New Roman"/>
                <w:color w:val="000000"/>
              </w:rPr>
              <w:br/>
              <w:t>65</w:t>
            </w:r>
          </w:p>
        </w:tc>
        <w:tc>
          <w:tcPr>
            <w:tcW w:w="1347" w:type="dxa"/>
            <w:tcBorders>
              <w:top w:val="nil"/>
              <w:left w:val="single" w:sz="2" w:space="0" w:color="000000"/>
              <w:bottom w:val="single" w:sz="2"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r w:rsidRPr="00520599">
              <w:rPr>
                <w:rFonts w:ascii="Constantia" w:hAnsi="Constantia" w:cs="Times New Roman"/>
                <w:color w:val="000000"/>
              </w:rPr>
              <w:br/>
              <w:t>65</w:t>
            </w:r>
          </w:p>
        </w:tc>
        <w:tc>
          <w:tcPr>
            <w:tcW w:w="1247" w:type="dxa"/>
            <w:tcBorders>
              <w:top w:val="nil"/>
              <w:left w:val="single" w:sz="2" w:space="0" w:color="000000"/>
              <w:bottom w:val="single" w:sz="2" w:space="0" w:color="000000"/>
              <w:right w:val="single" w:sz="6" w:space="0" w:color="000000"/>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0.01931</w:t>
            </w:r>
            <w:r w:rsidRPr="00520599">
              <w:rPr>
                <w:rFonts w:ascii="Constantia" w:hAnsi="Constantia" w:cs="Times New Roman"/>
                <w:color w:val="000000"/>
              </w:rPr>
              <w:br/>
              <w:t>0.8787</w:t>
            </w:r>
            <w:r w:rsidRPr="00520599">
              <w:rPr>
                <w:rFonts w:ascii="Constantia" w:hAnsi="Constantia" w:cs="Times New Roman"/>
                <w:color w:val="000000"/>
              </w:rPr>
              <w:br/>
              <w:t>65</w:t>
            </w:r>
          </w:p>
        </w:tc>
      </w:tr>
      <w:tr w:rsidR="008714C6" w:rsidRPr="00520599" w:rsidTr="005436BE">
        <w:tblPrEx>
          <w:tblCellMar>
            <w:top w:w="0" w:type="dxa"/>
            <w:bottom w:w="0" w:type="dxa"/>
          </w:tblCellMar>
        </w:tblPrEx>
        <w:trPr>
          <w:trHeight w:val="723"/>
          <w:jc w:val="center"/>
        </w:trPr>
        <w:tc>
          <w:tcPr>
            <w:tcW w:w="1383" w:type="dxa"/>
            <w:tcBorders>
              <w:top w:val="nil"/>
              <w:left w:val="single" w:sz="6" w:space="0" w:color="000000"/>
              <w:bottom w:val="single" w:sz="6" w:space="0" w:color="000000"/>
              <w:right w:val="nil"/>
            </w:tcBorders>
            <w:shd w:val="clear" w:color="auto" w:fill="BBBBBB"/>
          </w:tcPr>
          <w:p w:rsidR="008714C6" w:rsidRPr="00520599" w:rsidRDefault="008714C6">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NoDiploma</w:t>
            </w:r>
            <w:proofErr w:type="spellEnd"/>
          </w:p>
        </w:tc>
        <w:tc>
          <w:tcPr>
            <w:tcW w:w="1373" w:type="dxa"/>
            <w:tcBorders>
              <w:top w:val="nil"/>
              <w:left w:val="single" w:sz="2" w:space="0" w:color="000000"/>
              <w:bottom w:val="single" w:sz="6"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0.53778</w:t>
            </w:r>
            <w:r w:rsidRPr="00520599">
              <w:rPr>
                <w:rFonts w:ascii="Constantia" w:hAnsi="Constantia" w:cs="Times New Roman"/>
                <w:color w:val="000000"/>
              </w:rPr>
              <w:br/>
              <w:t>&lt;.0001</w:t>
            </w:r>
            <w:r w:rsidRPr="00520599">
              <w:rPr>
                <w:rFonts w:ascii="Constantia" w:hAnsi="Constantia" w:cs="Times New Roman"/>
                <w:color w:val="000000"/>
              </w:rPr>
              <w:br/>
              <w:t>77</w:t>
            </w:r>
          </w:p>
        </w:tc>
        <w:tc>
          <w:tcPr>
            <w:tcW w:w="1260" w:type="dxa"/>
            <w:tcBorders>
              <w:top w:val="nil"/>
              <w:left w:val="single" w:sz="2" w:space="0" w:color="000000"/>
              <w:bottom w:val="single" w:sz="6"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-0.18455</w:t>
            </w:r>
            <w:r w:rsidRPr="00520599">
              <w:rPr>
                <w:rFonts w:ascii="Constantia" w:hAnsi="Constantia" w:cs="Times New Roman"/>
                <w:color w:val="000000"/>
              </w:rPr>
              <w:br/>
              <w:t>0.1081</w:t>
            </w:r>
            <w:r w:rsidRPr="00520599">
              <w:rPr>
                <w:rFonts w:ascii="Constantia" w:hAnsi="Constantia" w:cs="Times New Roman"/>
                <w:color w:val="000000"/>
              </w:rPr>
              <w:br/>
              <w:t>77</w:t>
            </w:r>
          </w:p>
        </w:tc>
        <w:tc>
          <w:tcPr>
            <w:tcW w:w="966" w:type="dxa"/>
            <w:tcBorders>
              <w:top w:val="nil"/>
              <w:left w:val="single" w:sz="2" w:space="0" w:color="000000"/>
              <w:bottom w:val="single" w:sz="6"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0.27491</w:t>
            </w:r>
            <w:r w:rsidRPr="00520599">
              <w:rPr>
                <w:rFonts w:ascii="Constantia" w:hAnsi="Constantia" w:cs="Times New Roman"/>
                <w:color w:val="000000"/>
              </w:rPr>
              <w:br/>
              <w:t>0.0155</w:t>
            </w:r>
            <w:r w:rsidRPr="00520599">
              <w:rPr>
                <w:rFonts w:ascii="Constantia" w:hAnsi="Constantia" w:cs="Times New Roman"/>
                <w:color w:val="000000"/>
              </w:rPr>
              <w:br/>
              <w:t>77</w:t>
            </w:r>
          </w:p>
        </w:tc>
        <w:tc>
          <w:tcPr>
            <w:tcW w:w="1347" w:type="dxa"/>
            <w:tcBorders>
              <w:top w:val="nil"/>
              <w:left w:val="single" w:sz="2" w:space="0" w:color="000000"/>
              <w:bottom w:val="single" w:sz="6" w:space="0" w:color="000000"/>
              <w:right w:val="nil"/>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0.01931</w:t>
            </w:r>
            <w:r w:rsidRPr="00520599">
              <w:rPr>
                <w:rFonts w:ascii="Constantia" w:hAnsi="Constantia" w:cs="Times New Roman"/>
                <w:color w:val="000000"/>
              </w:rPr>
              <w:br/>
              <w:t>0.8787</w:t>
            </w:r>
            <w:r w:rsidRPr="00520599">
              <w:rPr>
                <w:rFonts w:ascii="Constantia" w:hAnsi="Constantia" w:cs="Times New Roman"/>
                <w:color w:val="000000"/>
              </w:rPr>
              <w:br/>
              <w:t>65</w:t>
            </w:r>
          </w:p>
        </w:tc>
        <w:tc>
          <w:tcPr>
            <w:tcW w:w="1247" w:type="dxa"/>
            <w:tcBorders>
              <w:top w:val="nil"/>
              <w:left w:val="single" w:sz="2" w:space="0" w:color="000000"/>
              <w:bottom w:val="single" w:sz="6" w:space="0" w:color="000000"/>
              <w:right w:val="single" w:sz="6" w:space="0" w:color="000000"/>
            </w:tcBorders>
            <w:shd w:val="clear" w:color="auto" w:fill="FFFFFF"/>
          </w:tcPr>
          <w:p w:rsidR="008714C6" w:rsidRPr="00520599" w:rsidRDefault="008714C6">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r w:rsidRPr="00520599">
              <w:rPr>
                <w:rFonts w:ascii="Constantia" w:hAnsi="Constantia" w:cs="Times New Roman"/>
                <w:color w:val="000000"/>
              </w:rPr>
              <w:br/>
              <w:t>77</w:t>
            </w:r>
          </w:p>
        </w:tc>
      </w:tr>
    </w:tbl>
    <w:p w:rsidR="008714C6" w:rsidRPr="00520599" w:rsidRDefault="008714C6">
      <w:pPr>
        <w:rPr>
          <w:rFonts w:ascii="Constantia" w:hAnsi="Constantia"/>
        </w:rPr>
      </w:pPr>
    </w:p>
    <w:p w:rsidR="00CE4DF8" w:rsidRPr="00520599" w:rsidRDefault="00CE4DF8" w:rsidP="00CE4DF8">
      <w:pPr>
        <w:pStyle w:val="Caption"/>
        <w:keepNext/>
        <w:rPr>
          <w:rFonts w:ascii="Constantia" w:hAnsi="Constantia"/>
          <w:sz w:val="22"/>
          <w:szCs w:val="22"/>
        </w:rPr>
      </w:pPr>
      <w:proofErr w:type="gramStart"/>
      <w:r w:rsidRPr="00520599">
        <w:rPr>
          <w:rFonts w:ascii="Constantia" w:hAnsi="Constantia"/>
          <w:sz w:val="22"/>
          <w:szCs w:val="22"/>
        </w:rPr>
        <w:lastRenderedPageBreak/>
        <w:t xml:space="preserve">Table </w:t>
      </w:r>
      <w:r w:rsidRPr="00520599">
        <w:rPr>
          <w:rFonts w:ascii="Constantia" w:hAnsi="Constantia"/>
          <w:sz w:val="22"/>
          <w:szCs w:val="22"/>
        </w:rPr>
        <w:fldChar w:fldCharType="begin"/>
      </w:r>
      <w:r w:rsidRPr="00520599">
        <w:rPr>
          <w:rFonts w:ascii="Constantia" w:hAnsi="Constantia"/>
          <w:sz w:val="22"/>
          <w:szCs w:val="22"/>
        </w:rPr>
        <w:instrText xml:space="preserve"> SEQ Table \* ARABIC </w:instrText>
      </w:r>
      <w:r w:rsidRPr="00520599">
        <w:rPr>
          <w:rFonts w:ascii="Constantia" w:hAnsi="Constantia"/>
          <w:sz w:val="22"/>
          <w:szCs w:val="22"/>
        </w:rPr>
        <w:fldChar w:fldCharType="separate"/>
      </w:r>
      <w:r w:rsidRPr="00520599">
        <w:rPr>
          <w:rFonts w:ascii="Constantia" w:hAnsi="Constantia"/>
          <w:noProof/>
          <w:sz w:val="22"/>
          <w:szCs w:val="22"/>
        </w:rPr>
        <w:t>3</w:t>
      </w:r>
      <w:r w:rsidRPr="00520599">
        <w:rPr>
          <w:rFonts w:ascii="Constantia" w:hAnsi="Constantia"/>
          <w:sz w:val="22"/>
          <w:szCs w:val="22"/>
        </w:rPr>
        <w:fldChar w:fldCharType="end"/>
      </w:r>
      <w:r w:rsidRPr="00520599">
        <w:rPr>
          <w:rFonts w:ascii="Constantia" w:hAnsi="Constantia"/>
          <w:sz w:val="22"/>
          <w:szCs w:val="22"/>
        </w:rPr>
        <w:t>.</w:t>
      </w:r>
      <w:proofErr w:type="gramEnd"/>
      <w:r w:rsidRPr="00520599">
        <w:rPr>
          <w:rFonts w:ascii="Constantia" w:hAnsi="Constantia"/>
          <w:sz w:val="22"/>
          <w:szCs w:val="22"/>
        </w:rPr>
        <w:t xml:space="preserve"> Female health and high school diploma, adjusted for poverty level</w:t>
      </w:r>
    </w:p>
    <w:tbl>
      <w:tblPr>
        <w:tblW w:w="0" w:type="auto"/>
        <w:jc w:val="center"/>
        <w:tblLayout w:type="fixed"/>
        <w:tblCellMar>
          <w:left w:w="10" w:type="dxa"/>
          <w:right w:w="10" w:type="dxa"/>
        </w:tblCellMar>
        <w:tblLook w:val="0000" w:firstRow="0" w:lastRow="0" w:firstColumn="0" w:lastColumn="0" w:noHBand="0" w:noVBand="0"/>
      </w:tblPr>
      <w:tblGrid>
        <w:gridCol w:w="1357"/>
        <w:gridCol w:w="1347"/>
        <w:gridCol w:w="1236"/>
        <w:gridCol w:w="948"/>
        <w:gridCol w:w="1321"/>
        <w:gridCol w:w="1223"/>
      </w:tblGrid>
      <w:tr w:rsidR="00CE4DF8" w:rsidRPr="00520599">
        <w:tblPrEx>
          <w:tblCellMar>
            <w:top w:w="0" w:type="dxa"/>
            <w:bottom w:w="0" w:type="dxa"/>
          </w:tblCellMar>
        </w:tblPrEx>
        <w:trPr>
          <w:jc w:val="center"/>
        </w:trPr>
        <w:tc>
          <w:tcPr>
            <w:tcW w:w="7432" w:type="dxa"/>
            <w:gridSpan w:val="6"/>
            <w:tcBorders>
              <w:top w:val="single" w:sz="6" w:space="0" w:color="000000"/>
              <w:left w:val="single" w:sz="6" w:space="0" w:color="000000"/>
              <w:bottom w:val="single" w:sz="2" w:space="0" w:color="000000"/>
              <w:right w:val="single" w:sz="6" w:space="0" w:color="000000"/>
            </w:tcBorders>
            <w:shd w:val="clear" w:color="auto" w:fill="BBBBBB"/>
            <w:vAlign w:val="bottom"/>
          </w:tcPr>
          <w:p w:rsidR="00CE4DF8" w:rsidRPr="00520599" w:rsidRDefault="00CE4DF8">
            <w:pPr>
              <w:keepNext/>
              <w:autoSpaceDE w:val="0"/>
              <w:autoSpaceDN w:val="0"/>
              <w:adjustRightInd w:val="0"/>
              <w:spacing w:before="60" w:after="60" w:line="240" w:lineRule="auto"/>
              <w:jc w:val="center"/>
              <w:rPr>
                <w:rFonts w:ascii="Constantia" w:hAnsi="Constantia" w:cs="Times New Roman"/>
                <w:b/>
                <w:bCs/>
                <w:color w:val="000000"/>
              </w:rPr>
            </w:pPr>
            <w:r w:rsidRPr="00520599">
              <w:rPr>
                <w:rFonts w:ascii="Constantia" w:hAnsi="Constantia" w:cs="Times New Roman"/>
                <w:b/>
                <w:bCs/>
                <w:color w:val="000000"/>
              </w:rPr>
              <w:t>Pearson Partial Correlation Coefficients, N = 65</w:t>
            </w:r>
            <w:r w:rsidRPr="00520599">
              <w:rPr>
                <w:rFonts w:ascii="Constantia" w:hAnsi="Constantia" w:cs="Times New Roman"/>
                <w:b/>
                <w:bCs/>
                <w:color w:val="000000"/>
              </w:rPr>
              <w:br/>
            </w:r>
            <w:proofErr w:type="spellStart"/>
            <w:r w:rsidRPr="00520599">
              <w:rPr>
                <w:rFonts w:ascii="Constantia" w:hAnsi="Constantia" w:cs="Times New Roman"/>
                <w:b/>
                <w:bCs/>
                <w:color w:val="000000"/>
              </w:rPr>
              <w:t>Prob</w:t>
            </w:r>
            <w:proofErr w:type="spellEnd"/>
            <w:r w:rsidRPr="00520599">
              <w:rPr>
                <w:rFonts w:ascii="Constantia" w:hAnsi="Constantia" w:cs="Times New Roman"/>
                <w:b/>
                <w:bCs/>
                <w:color w:val="000000"/>
              </w:rPr>
              <w:t> &gt; |r| under H0: Partial Rho=0</w:t>
            </w:r>
          </w:p>
        </w:tc>
      </w:tr>
      <w:tr w:rsidR="00CE4DF8" w:rsidRPr="00520599">
        <w:tblPrEx>
          <w:tblCellMar>
            <w:top w:w="0" w:type="dxa"/>
            <w:bottom w:w="0" w:type="dxa"/>
          </w:tblCellMar>
        </w:tblPrEx>
        <w:trPr>
          <w:jc w:val="center"/>
        </w:trPr>
        <w:tc>
          <w:tcPr>
            <w:tcW w:w="1357" w:type="dxa"/>
            <w:tcBorders>
              <w:top w:val="nil"/>
              <w:left w:val="single" w:sz="6" w:space="0" w:color="000000"/>
              <w:bottom w:val="single" w:sz="2" w:space="0" w:color="000000"/>
              <w:right w:val="nil"/>
            </w:tcBorders>
            <w:shd w:val="clear" w:color="auto" w:fill="BBBBBB"/>
            <w:vAlign w:val="bottom"/>
          </w:tcPr>
          <w:p w:rsidR="00CE4DF8" w:rsidRPr="00520599" w:rsidRDefault="00CE4DF8">
            <w:pPr>
              <w:keepNext/>
              <w:autoSpaceDE w:val="0"/>
              <w:autoSpaceDN w:val="0"/>
              <w:adjustRightInd w:val="0"/>
              <w:spacing w:before="60" w:after="60" w:line="240" w:lineRule="auto"/>
              <w:jc w:val="center"/>
              <w:rPr>
                <w:rFonts w:ascii="Constantia" w:hAnsi="Constantia" w:cs="Times New Roman"/>
                <w:b/>
                <w:bCs/>
                <w:color w:val="000000"/>
              </w:rPr>
            </w:pPr>
          </w:p>
        </w:tc>
        <w:tc>
          <w:tcPr>
            <w:tcW w:w="1347" w:type="dxa"/>
            <w:tcBorders>
              <w:top w:val="nil"/>
              <w:left w:val="single" w:sz="2" w:space="0" w:color="000000"/>
              <w:bottom w:val="single" w:sz="2" w:space="0" w:color="000000"/>
              <w:right w:val="nil"/>
            </w:tcBorders>
            <w:shd w:val="clear" w:color="auto" w:fill="BBBBBB"/>
            <w:vAlign w:val="bottom"/>
          </w:tcPr>
          <w:p w:rsidR="00CE4DF8" w:rsidRPr="00520599" w:rsidRDefault="00CE4DF8">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TeenBirthRt</w:t>
            </w:r>
            <w:proofErr w:type="spellEnd"/>
          </w:p>
        </w:tc>
        <w:tc>
          <w:tcPr>
            <w:tcW w:w="1236" w:type="dxa"/>
            <w:tcBorders>
              <w:top w:val="nil"/>
              <w:left w:val="single" w:sz="2" w:space="0" w:color="000000"/>
              <w:bottom w:val="single" w:sz="2" w:space="0" w:color="000000"/>
              <w:right w:val="nil"/>
            </w:tcBorders>
            <w:shd w:val="clear" w:color="auto" w:fill="BBBBBB"/>
            <w:vAlign w:val="bottom"/>
          </w:tcPr>
          <w:p w:rsidR="00CE4DF8" w:rsidRPr="00520599" w:rsidRDefault="00CE4DF8">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BrstCancer</w:t>
            </w:r>
            <w:proofErr w:type="spellEnd"/>
          </w:p>
        </w:tc>
        <w:tc>
          <w:tcPr>
            <w:tcW w:w="948" w:type="dxa"/>
            <w:tcBorders>
              <w:top w:val="nil"/>
              <w:left w:val="single" w:sz="2" w:space="0" w:color="000000"/>
              <w:bottom w:val="single" w:sz="2" w:space="0" w:color="000000"/>
              <w:right w:val="nil"/>
            </w:tcBorders>
            <w:shd w:val="clear" w:color="auto" w:fill="BBBBBB"/>
            <w:vAlign w:val="bottom"/>
          </w:tcPr>
          <w:p w:rsidR="00CE4DF8" w:rsidRPr="00520599" w:rsidRDefault="00CE4DF8">
            <w:pPr>
              <w:keepNext/>
              <w:autoSpaceDE w:val="0"/>
              <w:autoSpaceDN w:val="0"/>
              <w:adjustRightInd w:val="0"/>
              <w:spacing w:before="60" w:after="60" w:line="240" w:lineRule="auto"/>
              <w:jc w:val="right"/>
              <w:rPr>
                <w:rFonts w:ascii="Constantia" w:hAnsi="Constantia" w:cs="Times New Roman"/>
                <w:b/>
                <w:bCs/>
                <w:color w:val="000000"/>
              </w:rPr>
            </w:pPr>
            <w:r w:rsidRPr="00520599">
              <w:rPr>
                <w:rFonts w:ascii="Constantia" w:hAnsi="Constantia" w:cs="Times New Roman"/>
                <w:b/>
                <w:bCs/>
                <w:color w:val="000000"/>
              </w:rPr>
              <w:t>Diabetes</w:t>
            </w:r>
          </w:p>
        </w:tc>
        <w:tc>
          <w:tcPr>
            <w:tcW w:w="1321" w:type="dxa"/>
            <w:tcBorders>
              <w:top w:val="nil"/>
              <w:left w:val="single" w:sz="2" w:space="0" w:color="000000"/>
              <w:bottom w:val="single" w:sz="2" w:space="0" w:color="000000"/>
              <w:right w:val="nil"/>
            </w:tcBorders>
            <w:shd w:val="clear" w:color="auto" w:fill="BBBBBB"/>
            <w:vAlign w:val="bottom"/>
          </w:tcPr>
          <w:p w:rsidR="00CE4DF8" w:rsidRPr="00520599" w:rsidRDefault="00CE4DF8">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FGonorrhea</w:t>
            </w:r>
            <w:proofErr w:type="spellEnd"/>
          </w:p>
        </w:tc>
        <w:tc>
          <w:tcPr>
            <w:tcW w:w="1223" w:type="dxa"/>
            <w:tcBorders>
              <w:top w:val="nil"/>
              <w:left w:val="single" w:sz="2" w:space="0" w:color="000000"/>
              <w:bottom w:val="single" w:sz="2" w:space="0" w:color="000000"/>
              <w:right w:val="single" w:sz="6" w:space="0" w:color="000000"/>
            </w:tcBorders>
            <w:shd w:val="clear" w:color="auto" w:fill="BBBBBB"/>
            <w:vAlign w:val="bottom"/>
          </w:tcPr>
          <w:p w:rsidR="00CE4DF8" w:rsidRPr="00520599" w:rsidRDefault="00CE4DF8">
            <w:pPr>
              <w:keepNext/>
              <w:autoSpaceDE w:val="0"/>
              <w:autoSpaceDN w:val="0"/>
              <w:adjustRightInd w:val="0"/>
              <w:spacing w:before="60" w:after="60" w:line="240" w:lineRule="auto"/>
              <w:jc w:val="right"/>
              <w:rPr>
                <w:rFonts w:ascii="Constantia" w:hAnsi="Constantia" w:cs="Times New Roman"/>
                <w:b/>
                <w:bCs/>
                <w:color w:val="000000"/>
              </w:rPr>
            </w:pPr>
            <w:proofErr w:type="spellStart"/>
            <w:r w:rsidRPr="00520599">
              <w:rPr>
                <w:rFonts w:ascii="Constantia" w:hAnsi="Constantia" w:cs="Times New Roman"/>
                <w:b/>
                <w:bCs/>
                <w:color w:val="000000"/>
              </w:rPr>
              <w:t>NoDiploma</w:t>
            </w:r>
            <w:proofErr w:type="spellEnd"/>
          </w:p>
        </w:tc>
      </w:tr>
      <w:tr w:rsidR="00CE4DF8" w:rsidRPr="00520599">
        <w:tblPrEx>
          <w:tblCellMar>
            <w:top w:w="0" w:type="dxa"/>
            <w:bottom w:w="0" w:type="dxa"/>
          </w:tblCellMar>
        </w:tblPrEx>
        <w:trPr>
          <w:jc w:val="center"/>
        </w:trPr>
        <w:tc>
          <w:tcPr>
            <w:tcW w:w="1357" w:type="dxa"/>
            <w:tcBorders>
              <w:top w:val="nil"/>
              <w:left w:val="single" w:sz="6" w:space="0" w:color="000000"/>
              <w:bottom w:val="single" w:sz="2" w:space="0" w:color="000000"/>
              <w:right w:val="nil"/>
            </w:tcBorders>
            <w:shd w:val="clear" w:color="auto" w:fill="BBBBBB"/>
          </w:tcPr>
          <w:p w:rsidR="00CE4DF8" w:rsidRPr="00520599" w:rsidRDefault="00CE4DF8">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TeenBirthRt</w:t>
            </w:r>
            <w:proofErr w:type="spellEnd"/>
          </w:p>
        </w:tc>
        <w:tc>
          <w:tcPr>
            <w:tcW w:w="1347"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p>
        </w:tc>
        <w:tc>
          <w:tcPr>
            <w:tcW w:w="1236"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0.33260</w:t>
            </w:r>
            <w:r w:rsidRPr="00520599">
              <w:rPr>
                <w:rFonts w:ascii="Constantia" w:hAnsi="Constantia" w:cs="Times New Roman"/>
                <w:color w:val="000000"/>
              </w:rPr>
              <w:br/>
              <w:t>0.0072</w:t>
            </w:r>
          </w:p>
        </w:tc>
        <w:tc>
          <w:tcPr>
            <w:tcW w:w="948"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0.50662</w:t>
            </w:r>
            <w:r w:rsidRPr="00520599">
              <w:rPr>
                <w:rFonts w:ascii="Constantia" w:hAnsi="Constantia" w:cs="Times New Roman"/>
                <w:color w:val="000000"/>
              </w:rPr>
              <w:br/>
              <w:t>&lt;.0001</w:t>
            </w:r>
          </w:p>
        </w:tc>
        <w:tc>
          <w:tcPr>
            <w:tcW w:w="1321"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0.59357</w:t>
            </w:r>
            <w:r w:rsidRPr="00520599">
              <w:rPr>
                <w:rFonts w:ascii="Constantia" w:hAnsi="Constantia" w:cs="Times New Roman"/>
                <w:color w:val="000000"/>
              </w:rPr>
              <w:br/>
              <w:t>&lt;.0001</w:t>
            </w:r>
          </w:p>
        </w:tc>
        <w:tc>
          <w:tcPr>
            <w:tcW w:w="1223" w:type="dxa"/>
            <w:tcBorders>
              <w:top w:val="nil"/>
              <w:left w:val="single" w:sz="2" w:space="0" w:color="000000"/>
              <w:bottom w:val="single" w:sz="2" w:space="0" w:color="000000"/>
              <w:right w:val="single" w:sz="6" w:space="0" w:color="000000"/>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0.35363</w:t>
            </w:r>
            <w:r w:rsidRPr="00520599">
              <w:rPr>
                <w:rFonts w:ascii="Constantia" w:hAnsi="Constantia" w:cs="Times New Roman"/>
                <w:color w:val="000000"/>
              </w:rPr>
              <w:br/>
              <w:t>0.0041</w:t>
            </w:r>
          </w:p>
        </w:tc>
      </w:tr>
      <w:tr w:rsidR="00CE4DF8" w:rsidRPr="00520599">
        <w:tblPrEx>
          <w:tblCellMar>
            <w:top w:w="0" w:type="dxa"/>
            <w:bottom w:w="0" w:type="dxa"/>
          </w:tblCellMar>
        </w:tblPrEx>
        <w:trPr>
          <w:jc w:val="center"/>
        </w:trPr>
        <w:tc>
          <w:tcPr>
            <w:tcW w:w="1357" w:type="dxa"/>
            <w:tcBorders>
              <w:top w:val="nil"/>
              <w:left w:val="single" w:sz="6" w:space="0" w:color="000000"/>
              <w:bottom w:val="single" w:sz="2" w:space="0" w:color="000000"/>
              <w:right w:val="nil"/>
            </w:tcBorders>
            <w:shd w:val="clear" w:color="auto" w:fill="BBBBBB"/>
          </w:tcPr>
          <w:p w:rsidR="00CE4DF8" w:rsidRPr="00520599" w:rsidRDefault="00CE4DF8">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BrstCancer</w:t>
            </w:r>
            <w:proofErr w:type="spellEnd"/>
          </w:p>
        </w:tc>
        <w:tc>
          <w:tcPr>
            <w:tcW w:w="1347"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0.33260</w:t>
            </w:r>
            <w:r w:rsidRPr="00520599">
              <w:rPr>
                <w:rFonts w:ascii="Constantia" w:hAnsi="Constantia" w:cs="Times New Roman"/>
                <w:color w:val="000000"/>
              </w:rPr>
              <w:br/>
              <w:t>0.0072</w:t>
            </w:r>
          </w:p>
        </w:tc>
        <w:tc>
          <w:tcPr>
            <w:tcW w:w="1236"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p>
        </w:tc>
        <w:tc>
          <w:tcPr>
            <w:tcW w:w="948"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0.34672</w:t>
            </w:r>
            <w:r w:rsidRPr="00520599">
              <w:rPr>
                <w:rFonts w:ascii="Constantia" w:hAnsi="Constantia" w:cs="Times New Roman"/>
                <w:color w:val="000000"/>
              </w:rPr>
              <w:br/>
              <w:t>0.0050</w:t>
            </w:r>
          </w:p>
        </w:tc>
        <w:tc>
          <w:tcPr>
            <w:tcW w:w="1321"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0.52767</w:t>
            </w:r>
            <w:r w:rsidRPr="00520599">
              <w:rPr>
                <w:rFonts w:ascii="Constantia" w:hAnsi="Constantia" w:cs="Times New Roman"/>
                <w:color w:val="000000"/>
              </w:rPr>
              <w:br/>
              <w:t>&lt;.0001</w:t>
            </w:r>
          </w:p>
        </w:tc>
        <w:tc>
          <w:tcPr>
            <w:tcW w:w="1223" w:type="dxa"/>
            <w:tcBorders>
              <w:top w:val="nil"/>
              <w:left w:val="single" w:sz="2" w:space="0" w:color="000000"/>
              <w:bottom w:val="single" w:sz="2" w:space="0" w:color="000000"/>
              <w:right w:val="single" w:sz="6" w:space="0" w:color="000000"/>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-0.27822</w:t>
            </w:r>
            <w:r w:rsidRPr="00520599">
              <w:rPr>
                <w:rFonts w:ascii="Constantia" w:hAnsi="Constantia" w:cs="Times New Roman"/>
                <w:color w:val="000000"/>
              </w:rPr>
              <w:br/>
              <w:t>0.0260</w:t>
            </w:r>
          </w:p>
        </w:tc>
      </w:tr>
      <w:tr w:rsidR="00CE4DF8" w:rsidRPr="00520599">
        <w:tblPrEx>
          <w:tblCellMar>
            <w:top w:w="0" w:type="dxa"/>
            <w:bottom w:w="0" w:type="dxa"/>
          </w:tblCellMar>
        </w:tblPrEx>
        <w:trPr>
          <w:jc w:val="center"/>
        </w:trPr>
        <w:tc>
          <w:tcPr>
            <w:tcW w:w="1357" w:type="dxa"/>
            <w:tcBorders>
              <w:top w:val="nil"/>
              <w:left w:val="single" w:sz="6" w:space="0" w:color="000000"/>
              <w:bottom w:val="single" w:sz="2" w:space="0" w:color="000000"/>
              <w:right w:val="nil"/>
            </w:tcBorders>
            <w:shd w:val="clear" w:color="auto" w:fill="BBBBBB"/>
          </w:tcPr>
          <w:p w:rsidR="00CE4DF8" w:rsidRPr="00520599" w:rsidRDefault="00CE4DF8">
            <w:pPr>
              <w:keepNext/>
              <w:autoSpaceDE w:val="0"/>
              <w:autoSpaceDN w:val="0"/>
              <w:adjustRightInd w:val="0"/>
              <w:spacing w:before="60" w:after="60" w:line="240" w:lineRule="auto"/>
              <w:rPr>
                <w:rFonts w:ascii="Constantia" w:hAnsi="Constantia" w:cs="Times New Roman"/>
                <w:b/>
                <w:bCs/>
                <w:color w:val="000000"/>
              </w:rPr>
            </w:pPr>
            <w:r w:rsidRPr="00520599">
              <w:rPr>
                <w:rFonts w:ascii="Constantia" w:hAnsi="Constantia" w:cs="Times New Roman"/>
                <w:b/>
                <w:bCs/>
                <w:color w:val="000000"/>
              </w:rPr>
              <w:t>Diabetes</w:t>
            </w:r>
          </w:p>
        </w:tc>
        <w:tc>
          <w:tcPr>
            <w:tcW w:w="1347"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0.50662</w:t>
            </w:r>
            <w:r w:rsidRPr="00520599">
              <w:rPr>
                <w:rFonts w:ascii="Constantia" w:hAnsi="Constantia" w:cs="Times New Roman"/>
                <w:color w:val="000000"/>
              </w:rPr>
              <w:br/>
              <w:t>&lt;.0001</w:t>
            </w:r>
          </w:p>
        </w:tc>
        <w:tc>
          <w:tcPr>
            <w:tcW w:w="1236"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0.34672</w:t>
            </w:r>
            <w:r w:rsidRPr="00520599">
              <w:rPr>
                <w:rFonts w:ascii="Constantia" w:hAnsi="Constantia" w:cs="Times New Roman"/>
                <w:color w:val="000000"/>
              </w:rPr>
              <w:br/>
              <w:t>0.0050</w:t>
            </w:r>
          </w:p>
        </w:tc>
        <w:tc>
          <w:tcPr>
            <w:tcW w:w="948"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p>
        </w:tc>
        <w:tc>
          <w:tcPr>
            <w:tcW w:w="1321"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0.48811</w:t>
            </w:r>
            <w:r w:rsidRPr="00520599">
              <w:rPr>
                <w:rFonts w:ascii="Constantia" w:hAnsi="Constantia" w:cs="Times New Roman"/>
                <w:color w:val="000000"/>
              </w:rPr>
              <w:br/>
              <w:t>&lt;.0001</w:t>
            </w:r>
          </w:p>
        </w:tc>
        <w:tc>
          <w:tcPr>
            <w:tcW w:w="1223" w:type="dxa"/>
            <w:tcBorders>
              <w:top w:val="nil"/>
              <w:left w:val="single" w:sz="2" w:space="0" w:color="000000"/>
              <w:bottom w:val="single" w:sz="2" w:space="0" w:color="000000"/>
              <w:right w:val="single" w:sz="6" w:space="0" w:color="000000"/>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-0.03422</w:t>
            </w:r>
            <w:r w:rsidRPr="00520599">
              <w:rPr>
                <w:rFonts w:ascii="Constantia" w:hAnsi="Constantia" w:cs="Times New Roman"/>
                <w:color w:val="000000"/>
              </w:rPr>
              <w:br/>
              <w:t>0.7884</w:t>
            </w:r>
          </w:p>
        </w:tc>
      </w:tr>
      <w:tr w:rsidR="00CE4DF8" w:rsidRPr="00520599">
        <w:tblPrEx>
          <w:tblCellMar>
            <w:top w:w="0" w:type="dxa"/>
            <w:bottom w:w="0" w:type="dxa"/>
          </w:tblCellMar>
        </w:tblPrEx>
        <w:trPr>
          <w:jc w:val="center"/>
        </w:trPr>
        <w:tc>
          <w:tcPr>
            <w:tcW w:w="1357" w:type="dxa"/>
            <w:tcBorders>
              <w:top w:val="nil"/>
              <w:left w:val="single" w:sz="6" w:space="0" w:color="000000"/>
              <w:bottom w:val="single" w:sz="2" w:space="0" w:color="000000"/>
              <w:right w:val="nil"/>
            </w:tcBorders>
            <w:shd w:val="clear" w:color="auto" w:fill="BBBBBB"/>
          </w:tcPr>
          <w:p w:rsidR="00CE4DF8" w:rsidRPr="00520599" w:rsidRDefault="00CE4DF8">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FGonorrhea</w:t>
            </w:r>
            <w:proofErr w:type="spellEnd"/>
          </w:p>
        </w:tc>
        <w:tc>
          <w:tcPr>
            <w:tcW w:w="1347"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0.59357</w:t>
            </w:r>
            <w:r w:rsidRPr="00520599">
              <w:rPr>
                <w:rFonts w:ascii="Constantia" w:hAnsi="Constantia" w:cs="Times New Roman"/>
                <w:color w:val="000000"/>
              </w:rPr>
              <w:br/>
              <w:t>&lt;.0001</w:t>
            </w:r>
          </w:p>
        </w:tc>
        <w:tc>
          <w:tcPr>
            <w:tcW w:w="1236"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0.52767</w:t>
            </w:r>
            <w:r w:rsidRPr="00520599">
              <w:rPr>
                <w:rFonts w:ascii="Constantia" w:hAnsi="Constantia" w:cs="Times New Roman"/>
                <w:color w:val="000000"/>
              </w:rPr>
              <w:br/>
              <w:t>&lt;.0001</w:t>
            </w:r>
          </w:p>
        </w:tc>
        <w:tc>
          <w:tcPr>
            <w:tcW w:w="948"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0.48811</w:t>
            </w:r>
            <w:r w:rsidRPr="00520599">
              <w:rPr>
                <w:rFonts w:ascii="Constantia" w:hAnsi="Constantia" w:cs="Times New Roman"/>
                <w:color w:val="000000"/>
              </w:rPr>
              <w:br/>
              <w:t>&lt;.0001</w:t>
            </w:r>
          </w:p>
        </w:tc>
        <w:tc>
          <w:tcPr>
            <w:tcW w:w="1321" w:type="dxa"/>
            <w:tcBorders>
              <w:top w:val="nil"/>
              <w:left w:val="single" w:sz="2" w:space="0" w:color="000000"/>
              <w:bottom w:val="single" w:sz="2"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p>
        </w:tc>
        <w:tc>
          <w:tcPr>
            <w:tcW w:w="1223" w:type="dxa"/>
            <w:tcBorders>
              <w:top w:val="nil"/>
              <w:left w:val="single" w:sz="2" w:space="0" w:color="000000"/>
              <w:bottom w:val="single" w:sz="2" w:space="0" w:color="000000"/>
              <w:right w:val="single" w:sz="6" w:space="0" w:color="000000"/>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-0.30006</w:t>
            </w:r>
            <w:r w:rsidRPr="00520599">
              <w:rPr>
                <w:rFonts w:ascii="Constantia" w:hAnsi="Constantia" w:cs="Times New Roman"/>
                <w:color w:val="000000"/>
              </w:rPr>
              <w:br/>
              <w:t>0.0160</w:t>
            </w:r>
          </w:p>
        </w:tc>
      </w:tr>
      <w:tr w:rsidR="00CE4DF8" w:rsidRPr="00520599">
        <w:tblPrEx>
          <w:tblCellMar>
            <w:top w:w="0" w:type="dxa"/>
            <w:bottom w:w="0" w:type="dxa"/>
          </w:tblCellMar>
        </w:tblPrEx>
        <w:trPr>
          <w:jc w:val="center"/>
        </w:trPr>
        <w:tc>
          <w:tcPr>
            <w:tcW w:w="1357" w:type="dxa"/>
            <w:tcBorders>
              <w:top w:val="nil"/>
              <w:left w:val="single" w:sz="6" w:space="0" w:color="000000"/>
              <w:bottom w:val="single" w:sz="6" w:space="0" w:color="000000"/>
              <w:right w:val="nil"/>
            </w:tcBorders>
            <w:shd w:val="clear" w:color="auto" w:fill="BBBBBB"/>
          </w:tcPr>
          <w:p w:rsidR="00CE4DF8" w:rsidRPr="00520599" w:rsidRDefault="00CE4DF8">
            <w:pPr>
              <w:keepNext/>
              <w:autoSpaceDE w:val="0"/>
              <w:autoSpaceDN w:val="0"/>
              <w:adjustRightInd w:val="0"/>
              <w:spacing w:before="60" w:after="60" w:line="240" w:lineRule="auto"/>
              <w:rPr>
                <w:rFonts w:ascii="Constantia" w:hAnsi="Constantia" w:cs="Times New Roman"/>
                <w:b/>
                <w:bCs/>
                <w:color w:val="000000"/>
              </w:rPr>
            </w:pPr>
            <w:proofErr w:type="spellStart"/>
            <w:r w:rsidRPr="00520599">
              <w:rPr>
                <w:rFonts w:ascii="Constantia" w:hAnsi="Constantia" w:cs="Times New Roman"/>
                <w:b/>
                <w:bCs/>
                <w:color w:val="000000"/>
              </w:rPr>
              <w:t>NoDiploma</w:t>
            </w:r>
            <w:proofErr w:type="spellEnd"/>
          </w:p>
        </w:tc>
        <w:tc>
          <w:tcPr>
            <w:tcW w:w="1347" w:type="dxa"/>
            <w:tcBorders>
              <w:top w:val="nil"/>
              <w:left w:val="single" w:sz="2" w:space="0" w:color="000000"/>
              <w:bottom w:val="single" w:sz="6"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0.35363</w:t>
            </w:r>
            <w:r w:rsidRPr="00520599">
              <w:rPr>
                <w:rFonts w:ascii="Constantia" w:hAnsi="Constantia" w:cs="Times New Roman"/>
                <w:color w:val="000000"/>
              </w:rPr>
              <w:br/>
              <w:t>0.0041</w:t>
            </w:r>
          </w:p>
        </w:tc>
        <w:tc>
          <w:tcPr>
            <w:tcW w:w="1236" w:type="dxa"/>
            <w:tcBorders>
              <w:top w:val="nil"/>
              <w:left w:val="single" w:sz="2" w:space="0" w:color="000000"/>
              <w:bottom w:val="single" w:sz="6"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-0.27822</w:t>
            </w:r>
            <w:r w:rsidRPr="00520599">
              <w:rPr>
                <w:rFonts w:ascii="Constantia" w:hAnsi="Constantia" w:cs="Times New Roman"/>
                <w:color w:val="000000"/>
              </w:rPr>
              <w:br/>
              <w:t>0.0260</w:t>
            </w:r>
          </w:p>
        </w:tc>
        <w:tc>
          <w:tcPr>
            <w:tcW w:w="948" w:type="dxa"/>
            <w:tcBorders>
              <w:top w:val="nil"/>
              <w:left w:val="single" w:sz="2" w:space="0" w:color="000000"/>
              <w:bottom w:val="single" w:sz="6"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-0.03422</w:t>
            </w:r>
            <w:r w:rsidRPr="00520599">
              <w:rPr>
                <w:rFonts w:ascii="Constantia" w:hAnsi="Constantia" w:cs="Times New Roman"/>
                <w:color w:val="000000"/>
              </w:rPr>
              <w:br/>
              <w:t>0.7884</w:t>
            </w:r>
          </w:p>
        </w:tc>
        <w:tc>
          <w:tcPr>
            <w:tcW w:w="1321" w:type="dxa"/>
            <w:tcBorders>
              <w:top w:val="nil"/>
              <w:left w:val="single" w:sz="2" w:space="0" w:color="000000"/>
              <w:bottom w:val="single" w:sz="6" w:space="0" w:color="000000"/>
              <w:right w:val="nil"/>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-0.30006</w:t>
            </w:r>
            <w:r w:rsidRPr="00520599">
              <w:rPr>
                <w:rFonts w:ascii="Constantia" w:hAnsi="Constantia" w:cs="Times New Roman"/>
                <w:color w:val="000000"/>
              </w:rPr>
              <w:br/>
              <w:t>0.0160</w:t>
            </w:r>
          </w:p>
        </w:tc>
        <w:tc>
          <w:tcPr>
            <w:tcW w:w="1223" w:type="dxa"/>
            <w:tcBorders>
              <w:top w:val="nil"/>
              <w:left w:val="single" w:sz="2" w:space="0" w:color="000000"/>
              <w:bottom w:val="single" w:sz="6" w:space="0" w:color="000000"/>
              <w:right w:val="single" w:sz="6" w:space="0" w:color="000000"/>
            </w:tcBorders>
            <w:shd w:val="clear" w:color="auto" w:fill="FFFFFF"/>
          </w:tcPr>
          <w:p w:rsidR="00CE4DF8" w:rsidRPr="00520599" w:rsidRDefault="00CE4DF8">
            <w:pPr>
              <w:keepNext/>
              <w:autoSpaceDE w:val="0"/>
              <w:autoSpaceDN w:val="0"/>
              <w:adjustRightInd w:val="0"/>
              <w:spacing w:before="60" w:after="60" w:line="240" w:lineRule="auto"/>
              <w:jc w:val="right"/>
              <w:rPr>
                <w:rFonts w:ascii="Constantia" w:hAnsi="Constantia" w:cs="Times New Roman"/>
                <w:color w:val="000000"/>
              </w:rPr>
            </w:pPr>
            <w:r w:rsidRPr="00520599">
              <w:rPr>
                <w:rFonts w:ascii="Constantia" w:hAnsi="Constantia" w:cs="Times New Roman"/>
                <w:color w:val="000000"/>
              </w:rPr>
              <w:t>1.00000</w:t>
            </w:r>
            <w:r w:rsidRPr="00520599">
              <w:rPr>
                <w:rFonts w:ascii="Constantia" w:hAnsi="Constantia" w:cs="Times New Roman"/>
                <w:color w:val="000000"/>
              </w:rPr>
              <w:br/>
            </w:r>
          </w:p>
        </w:tc>
      </w:tr>
    </w:tbl>
    <w:p w:rsidR="00CE4DF8" w:rsidRPr="00520599" w:rsidRDefault="00CE4DF8">
      <w:pPr>
        <w:rPr>
          <w:rFonts w:ascii="Constantia" w:hAnsi="Constantia"/>
        </w:rPr>
      </w:pPr>
    </w:p>
    <w:p w:rsidR="005436BE" w:rsidRPr="00520599" w:rsidRDefault="003F5C7E">
      <w:pPr>
        <w:rPr>
          <w:rFonts w:ascii="Constantia" w:hAnsi="Constantia"/>
        </w:rPr>
      </w:pPr>
      <w:r w:rsidRPr="00520599">
        <w:rPr>
          <w:rFonts w:ascii="Constantia" w:hAnsi="Constantia"/>
        </w:rPr>
        <w:t>Finally, a one-way ANOVA was used to determine whether specific regions of the city should</w:t>
      </w:r>
      <w:r w:rsidR="005436BE" w:rsidRPr="00520599">
        <w:rPr>
          <w:rFonts w:ascii="Constantia" w:hAnsi="Constantia"/>
        </w:rPr>
        <w:t xml:space="preserve"> receive high school resources based on</w:t>
      </w:r>
      <w:r w:rsidR="00BE7EDE" w:rsidRPr="00520599">
        <w:rPr>
          <w:rFonts w:ascii="Constantia" w:hAnsi="Constantia"/>
        </w:rPr>
        <w:t xml:space="preserve"> proportions of the population lacking a high school diploma.</w:t>
      </w:r>
      <w:r w:rsidR="005436BE" w:rsidRPr="00520599">
        <w:rPr>
          <w:rFonts w:ascii="Constantia" w:hAnsi="Constantia"/>
        </w:rPr>
        <w:t xml:space="preserve">  Figure 1 shows the box plot result, in which the Northwest, Southwest, and West Sides all have the highest means and maximums.  This illustrates a general trend of fewer adults with high school diplomas as one </w:t>
      </w:r>
      <w:proofErr w:type="gramStart"/>
      <w:r w:rsidR="005436BE" w:rsidRPr="00520599">
        <w:rPr>
          <w:rFonts w:ascii="Constantia" w:hAnsi="Constantia"/>
        </w:rPr>
        <w:t>moves</w:t>
      </w:r>
      <w:proofErr w:type="gramEnd"/>
      <w:r w:rsidR="005436BE" w:rsidRPr="00520599">
        <w:rPr>
          <w:rFonts w:ascii="Constantia" w:hAnsi="Constantia"/>
        </w:rPr>
        <w:t xml:space="preserve"> away from the lake, with the exception of the Far Southwest Side.  </w:t>
      </w:r>
      <w:r w:rsidR="009C09BF" w:rsidRPr="00520599">
        <w:rPr>
          <w:rFonts w:ascii="Constantia" w:hAnsi="Constantia"/>
        </w:rPr>
        <w:t>Because of the broad ranges of these variables, however, it may be preferable to address high school graduation rates by specific neighborhood rather than targeting regions.</w:t>
      </w:r>
    </w:p>
    <w:p w:rsidR="005436BE" w:rsidRPr="00520599" w:rsidRDefault="005436BE" w:rsidP="005436BE">
      <w:pPr>
        <w:pStyle w:val="Caption"/>
        <w:keepNext/>
        <w:jc w:val="center"/>
        <w:rPr>
          <w:rFonts w:ascii="Constantia" w:hAnsi="Constantia"/>
          <w:sz w:val="22"/>
          <w:szCs w:val="22"/>
        </w:rPr>
      </w:pPr>
      <w:proofErr w:type="gramStart"/>
      <w:r w:rsidRPr="00520599">
        <w:rPr>
          <w:rFonts w:ascii="Constantia" w:hAnsi="Constantia"/>
          <w:sz w:val="22"/>
          <w:szCs w:val="22"/>
        </w:rPr>
        <w:lastRenderedPageBreak/>
        <w:t xml:space="preserve">Figure </w:t>
      </w:r>
      <w:r w:rsidRPr="00520599">
        <w:rPr>
          <w:rFonts w:ascii="Constantia" w:hAnsi="Constantia"/>
          <w:sz w:val="22"/>
          <w:szCs w:val="22"/>
        </w:rPr>
        <w:fldChar w:fldCharType="begin"/>
      </w:r>
      <w:r w:rsidRPr="00520599">
        <w:rPr>
          <w:rFonts w:ascii="Constantia" w:hAnsi="Constantia"/>
          <w:sz w:val="22"/>
          <w:szCs w:val="22"/>
        </w:rPr>
        <w:instrText xml:space="preserve"> SEQ Figure \* ARABIC </w:instrText>
      </w:r>
      <w:r w:rsidRPr="00520599">
        <w:rPr>
          <w:rFonts w:ascii="Constantia" w:hAnsi="Constantia"/>
          <w:sz w:val="22"/>
          <w:szCs w:val="22"/>
        </w:rPr>
        <w:fldChar w:fldCharType="separate"/>
      </w:r>
      <w:r w:rsidRPr="00520599">
        <w:rPr>
          <w:rFonts w:ascii="Constantia" w:hAnsi="Constantia"/>
          <w:noProof/>
          <w:sz w:val="22"/>
          <w:szCs w:val="22"/>
        </w:rPr>
        <w:t>1</w:t>
      </w:r>
      <w:r w:rsidRPr="00520599">
        <w:rPr>
          <w:rFonts w:ascii="Constantia" w:hAnsi="Constantia"/>
          <w:sz w:val="22"/>
          <w:szCs w:val="22"/>
        </w:rPr>
        <w:fldChar w:fldCharType="end"/>
      </w:r>
      <w:r w:rsidRPr="00520599">
        <w:rPr>
          <w:rFonts w:ascii="Constantia" w:hAnsi="Constantia"/>
          <w:sz w:val="22"/>
          <w:szCs w:val="22"/>
        </w:rPr>
        <w:t>.</w:t>
      </w:r>
      <w:proofErr w:type="gramEnd"/>
      <w:r w:rsidRPr="00520599">
        <w:rPr>
          <w:rFonts w:ascii="Constantia" w:hAnsi="Constantia"/>
          <w:sz w:val="22"/>
          <w:szCs w:val="22"/>
        </w:rPr>
        <w:t xml:space="preserve"> Boxplot of no high school diploma by geographic region</w:t>
      </w:r>
    </w:p>
    <w:p w:rsidR="005436BE" w:rsidRPr="00520599" w:rsidRDefault="005436BE" w:rsidP="005436BE">
      <w:pPr>
        <w:jc w:val="center"/>
        <w:rPr>
          <w:rFonts w:ascii="Constantia" w:hAnsi="Constantia"/>
        </w:rPr>
      </w:pPr>
      <w:r w:rsidRPr="00520599">
        <w:rPr>
          <w:rFonts w:ascii="Constantia" w:hAnsi="Constantia"/>
          <w:noProof/>
        </w:rPr>
        <w:drawing>
          <wp:inline distT="0" distB="0" distL="0" distR="0" wp14:anchorId="7AD5C154" wp14:editId="7566BDE8">
            <wp:extent cx="4541520" cy="34341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541520" cy="3434174"/>
                    </a:xfrm>
                    <a:prstGeom prst="rect">
                      <a:avLst/>
                    </a:prstGeom>
                  </pic:spPr>
                </pic:pic>
              </a:graphicData>
            </a:graphic>
          </wp:inline>
        </w:drawing>
      </w:r>
    </w:p>
    <w:p w:rsidR="00D92786" w:rsidRPr="00520599" w:rsidRDefault="00B2630B">
      <w:pPr>
        <w:rPr>
          <w:rFonts w:ascii="Constantia" w:hAnsi="Constantia"/>
          <w:b/>
        </w:rPr>
      </w:pPr>
      <w:r w:rsidRPr="00520599">
        <w:rPr>
          <w:rFonts w:ascii="Constantia" w:hAnsi="Constantia"/>
          <w:b/>
        </w:rPr>
        <w:t>Conclusion:</w:t>
      </w:r>
    </w:p>
    <w:p w:rsidR="008D7A06" w:rsidRPr="00520599" w:rsidRDefault="008D7A06">
      <w:pPr>
        <w:rPr>
          <w:rFonts w:ascii="Constantia" w:hAnsi="Constantia"/>
        </w:rPr>
      </w:pPr>
      <w:r w:rsidRPr="00520599">
        <w:rPr>
          <w:rFonts w:ascii="Constantia" w:hAnsi="Constantia"/>
        </w:rPr>
        <w:t xml:space="preserve">Chicago is </w:t>
      </w:r>
      <w:r w:rsidR="009C09BF" w:rsidRPr="00520599">
        <w:rPr>
          <w:rFonts w:ascii="Constantia" w:hAnsi="Constantia"/>
        </w:rPr>
        <w:t>nationally</w:t>
      </w:r>
      <w:r w:rsidRPr="00520599">
        <w:rPr>
          <w:rFonts w:ascii="Constantia" w:hAnsi="Constantia"/>
        </w:rPr>
        <w:t xml:space="preserve"> known for having great disparity in socioeconomic status </w:t>
      </w:r>
      <w:r w:rsidR="009D2143" w:rsidRPr="00520599">
        <w:rPr>
          <w:rFonts w:ascii="Constantia" w:hAnsi="Constantia"/>
        </w:rPr>
        <w:t xml:space="preserve">by neighborhood.  </w:t>
      </w:r>
      <w:r w:rsidR="009C09BF" w:rsidRPr="00520599">
        <w:rPr>
          <w:rFonts w:ascii="Constantia" w:hAnsi="Constantia"/>
        </w:rPr>
        <w:t xml:space="preserve">Neighborhoods like Lakeview and Mount Greenwood have low poverty rates and more adults with high school diplomas, while more than half of Fuller Park and Riverdale live in poverty. </w:t>
      </w:r>
      <w:r w:rsidR="0066695E" w:rsidRPr="00520599">
        <w:rPr>
          <w:rFonts w:ascii="Constantia" w:hAnsi="Constantia"/>
        </w:rPr>
        <w:t>Gage Park on the Southwest Side and South Lawndale on the West Side lacked diplomas for over half their citizens at 54.1% and 58.7%, respectively</w:t>
      </w:r>
      <w:r w:rsidR="0066695E">
        <w:rPr>
          <w:rFonts w:ascii="Constantia" w:hAnsi="Constantia"/>
        </w:rPr>
        <w:t xml:space="preserve">.  </w:t>
      </w:r>
      <w:r w:rsidRPr="00520599">
        <w:rPr>
          <w:rFonts w:ascii="Constantia" w:hAnsi="Constantia"/>
        </w:rPr>
        <w:t>Unfortunately, these h</w:t>
      </w:r>
      <w:r w:rsidR="009C09BF" w:rsidRPr="00520599">
        <w:rPr>
          <w:rFonts w:ascii="Constantia" w:hAnsi="Constantia"/>
        </w:rPr>
        <w:t xml:space="preserve">arsh environments impact </w:t>
      </w:r>
      <w:r w:rsidRPr="00520599">
        <w:rPr>
          <w:rFonts w:ascii="Constantia" w:hAnsi="Constantia"/>
        </w:rPr>
        <w:t>the health of women residing there.  In order to improve the</w:t>
      </w:r>
      <w:r w:rsidR="009C09BF" w:rsidRPr="00520599">
        <w:rPr>
          <w:rFonts w:ascii="Constantia" w:hAnsi="Constantia"/>
        </w:rPr>
        <w:t xml:space="preserve">ir and their children’s lives, the link between high school diploma rates and four health indicators was evaluated to determine whether focusing on high school retention could affect women’s health. </w:t>
      </w:r>
    </w:p>
    <w:p w:rsidR="009C09BF" w:rsidRPr="00520599" w:rsidRDefault="002923FA">
      <w:pPr>
        <w:rPr>
          <w:rFonts w:ascii="Constantia" w:hAnsi="Constantia"/>
        </w:rPr>
      </w:pPr>
      <w:r w:rsidRPr="00520599">
        <w:rPr>
          <w:rFonts w:ascii="Constantia" w:hAnsi="Constantia"/>
        </w:rPr>
        <w:t>First, two claims from the research were tested.  T</w:t>
      </w:r>
      <w:r w:rsidR="009C09BF" w:rsidRPr="00520599">
        <w:rPr>
          <w:rFonts w:ascii="Constantia" w:hAnsi="Constantia"/>
        </w:rPr>
        <w:t xml:space="preserve">he study confirmed other research findings that low birth </w:t>
      </w:r>
      <w:r w:rsidRPr="00520599">
        <w:rPr>
          <w:rFonts w:ascii="Constantia" w:hAnsi="Constantia"/>
        </w:rPr>
        <w:t xml:space="preserve">weight </w:t>
      </w:r>
      <w:r w:rsidR="009C09BF" w:rsidRPr="00520599">
        <w:rPr>
          <w:rFonts w:ascii="Constantia" w:hAnsi="Constantia"/>
        </w:rPr>
        <w:t xml:space="preserve">rate was linked to teen pregnancy </w:t>
      </w:r>
      <w:r w:rsidRPr="00520599">
        <w:rPr>
          <w:rFonts w:ascii="Constantia" w:hAnsi="Constantia"/>
        </w:rPr>
        <w:t>(r =</w:t>
      </w:r>
      <w:r w:rsidRPr="00520599">
        <w:rPr>
          <w:rFonts w:ascii="Constantia" w:hAnsi="Constantia"/>
        </w:rPr>
        <w:t xml:space="preserve"> 0.6229, p &lt; 0.0001</w:t>
      </w:r>
      <w:r w:rsidRPr="00520599">
        <w:rPr>
          <w:rFonts w:ascii="Constantia" w:hAnsi="Constantia"/>
        </w:rPr>
        <w:t xml:space="preserve">), but did not show that reported incidence of gonorrhea was higher for females than males </w:t>
      </w:r>
      <w:r w:rsidRPr="00520599">
        <w:rPr>
          <w:rFonts w:ascii="Constantia" w:hAnsi="Constantia"/>
        </w:rPr>
        <w:t>(</w:t>
      </w:r>
      <w:proofErr w:type="spellStart"/>
      <w:proofErr w:type="gramStart"/>
      <w:r w:rsidRPr="00520599">
        <w:rPr>
          <w:rFonts w:ascii="Constantia" w:hAnsi="Constantia"/>
        </w:rPr>
        <w:t>df</w:t>
      </w:r>
      <w:proofErr w:type="spellEnd"/>
      <w:proofErr w:type="gramEnd"/>
      <w:r w:rsidRPr="00520599">
        <w:rPr>
          <w:rFonts w:ascii="Constantia" w:hAnsi="Constantia"/>
        </w:rPr>
        <w:t xml:space="preserve"> = 63, t = 1.24, p = 0.2185)</w:t>
      </w:r>
      <w:r w:rsidRPr="00520599">
        <w:rPr>
          <w:rFonts w:ascii="Constantia" w:hAnsi="Constantia"/>
        </w:rPr>
        <w:t xml:space="preserve">.  Low birth weight in infants cause health complications and is explained by the immaturity of the female body in teenage years, and by other risky behaviors like drinking and smoking that commonly appear alongside less safe sex </w:t>
      </w:r>
      <w:proofErr w:type="spellStart"/>
      <w:r w:rsidRPr="00520599">
        <w:rPr>
          <w:rFonts w:ascii="Constantia" w:hAnsi="Constantia"/>
        </w:rPr>
        <w:t>practices</w:t>
      </w:r>
      <w:r w:rsidRPr="00520599">
        <w:rPr>
          <w:rStyle w:val="EndnoteReference"/>
          <w:rFonts w:ascii="Constantia" w:hAnsi="Constantia"/>
        </w:rPr>
        <w:t>vi</w:t>
      </w:r>
      <w:proofErr w:type="spellEnd"/>
      <w:r w:rsidRPr="00520599">
        <w:rPr>
          <w:rFonts w:ascii="Constantia" w:hAnsi="Constantia"/>
        </w:rPr>
        <w:t>.  The second result, that females did not have a greater mean reported incidence of gonorrhea by neighborhood, surprisingly did not agree with the national data</w:t>
      </w:r>
      <w:r w:rsidR="005F68D5" w:rsidRPr="00520599">
        <w:rPr>
          <w:rFonts w:ascii="Constantia" w:hAnsi="Constantia"/>
        </w:rPr>
        <w:t xml:space="preserve"> that indicated greater incidence in women</w:t>
      </w:r>
      <w:r w:rsidRPr="00520599">
        <w:rPr>
          <w:rFonts w:ascii="Constantia" w:hAnsi="Constantia"/>
        </w:rPr>
        <w:t xml:space="preserve">.  However, the female incidence had a greater range with a higher maximum.  This may be due to women having less access to healthcare in certain neighborhoods, so that they are not diagnosed as frequently.  As well, </w:t>
      </w:r>
      <w:r w:rsidRPr="00520599">
        <w:rPr>
          <w:rFonts w:ascii="Constantia" w:hAnsi="Constantia"/>
        </w:rPr>
        <w:lastRenderedPageBreak/>
        <w:t>numbers were not reported</w:t>
      </w:r>
      <w:r w:rsidR="005F68D5" w:rsidRPr="00520599">
        <w:rPr>
          <w:rFonts w:ascii="Constantia" w:hAnsi="Constantia"/>
        </w:rPr>
        <w:t xml:space="preserve"> for 12 communities, so this snapshot may not be wholly accurate for all of Chicago.</w:t>
      </w:r>
    </w:p>
    <w:p w:rsidR="005F68D5" w:rsidRPr="00520599" w:rsidRDefault="005F68D5">
      <w:pPr>
        <w:rPr>
          <w:rFonts w:ascii="Constantia" w:hAnsi="Constantia"/>
        </w:rPr>
      </w:pPr>
      <w:r w:rsidRPr="00520599">
        <w:rPr>
          <w:rFonts w:ascii="Constantia" w:hAnsi="Constantia"/>
        </w:rPr>
        <w:t xml:space="preserve">In examining the correlation between lack of high school diploma and teen birth rates, diabetes mortality, breast cancer mortality, and female gonorrhea rates, only teen birth rates appeared linked at </w:t>
      </w:r>
      <w:r w:rsidRPr="00520599">
        <w:rPr>
          <w:rFonts w:ascii="Constantia" w:hAnsi="Constantia"/>
        </w:rPr>
        <w:t>r = 0.5378.  Interestingly, there is possibly a weak negative influence of no high school diploma on the breast cancer rate.  The teen birth rate is also correlated to diabetes mortality (r = 0.7212) and female gonorrhea (0.7451).  Diabetes is correlated to female gonorrhea incidence (r = 0.6902).</w:t>
      </w:r>
      <w:r w:rsidRPr="00520599">
        <w:rPr>
          <w:rFonts w:ascii="Constantia" w:hAnsi="Constantia"/>
        </w:rPr>
        <w:t xml:space="preserve">  After adjusting for poverty, the relationships were the same but weaker.  </w:t>
      </w:r>
    </w:p>
    <w:p w:rsidR="005F68D5" w:rsidRPr="00520599" w:rsidRDefault="005F68D5">
      <w:pPr>
        <w:rPr>
          <w:rFonts w:ascii="Constantia" w:hAnsi="Constantia"/>
        </w:rPr>
      </w:pPr>
      <w:r w:rsidRPr="00520599">
        <w:rPr>
          <w:rFonts w:ascii="Constantia" w:hAnsi="Constantia"/>
        </w:rPr>
        <w:t xml:space="preserve">Possibly breast cancer is negatively or not at all related to education level.  As </w:t>
      </w:r>
      <w:proofErr w:type="spellStart"/>
      <w:r w:rsidRPr="00520599">
        <w:rPr>
          <w:rFonts w:ascii="Constantia" w:hAnsi="Constantia"/>
        </w:rPr>
        <w:t>Steenland</w:t>
      </w:r>
      <w:proofErr w:type="spellEnd"/>
      <w:r w:rsidRPr="00520599">
        <w:rPr>
          <w:rFonts w:ascii="Constantia" w:hAnsi="Constantia"/>
        </w:rPr>
        <w:t xml:space="preserve">, Henley, and Thun found in their study, </w:t>
      </w:r>
      <w:r w:rsidR="00945E4A" w:rsidRPr="00520599">
        <w:rPr>
          <w:rFonts w:ascii="Constantia" w:hAnsi="Constantia"/>
        </w:rPr>
        <w:t xml:space="preserve">the fact that women with higher education have children later and approach breast feeding differently may actually slightly increase their </w:t>
      </w:r>
      <w:proofErr w:type="spellStart"/>
      <w:r w:rsidR="00945E4A" w:rsidRPr="00520599">
        <w:rPr>
          <w:rFonts w:ascii="Constantia" w:hAnsi="Constantia"/>
        </w:rPr>
        <w:t>susceptibility</w:t>
      </w:r>
      <w:r w:rsidR="00945E4A" w:rsidRPr="00520599">
        <w:rPr>
          <w:rStyle w:val="EndnoteReference"/>
          <w:rFonts w:ascii="Constantia" w:hAnsi="Constantia"/>
        </w:rPr>
        <w:t>iv</w:t>
      </w:r>
      <w:proofErr w:type="spellEnd"/>
      <w:r w:rsidR="00945E4A" w:rsidRPr="00520599">
        <w:rPr>
          <w:rFonts w:ascii="Constantia" w:hAnsi="Constantia"/>
        </w:rPr>
        <w:t>.  More research is necessary to determine whether there is actually a connection.</w:t>
      </w:r>
    </w:p>
    <w:p w:rsidR="00945E4A" w:rsidRDefault="00945E4A">
      <w:pPr>
        <w:rPr>
          <w:rFonts w:ascii="Constantia" w:hAnsi="Constantia"/>
        </w:rPr>
      </w:pPr>
      <w:r w:rsidRPr="00520599">
        <w:rPr>
          <w:rFonts w:ascii="Constantia" w:hAnsi="Constantia"/>
        </w:rPr>
        <w:t xml:space="preserve">With the teen birth rate correlation to education level, one cannot easily determine which factor causes the other.  While young mothers may find it difficult or impossible to stay in school, young women who are not thriving in school may also engage in risky behaviors as a result. Because it is unclear which </w:t>
      </w:r>
      <w:proofErr w:type="gramStart"/>
      <w:r w:rsidRPr="00520599">
        <w:rPr>
          <w:rFonts w:ascii="Constantia" w:hAnsi="Constantia"/>
        </w:rPr>
        <w:t>is the dependent variable</w:t>
      </w:r>
      <w:proofErr w:type="gramEnd"/>
      <w:r w:rsidRPr="00520599">
        <w:rPr>
          <w:rFonts w:ascii="Constantia" w:hAnsi="Constantia"/>
        </w:rPr>
        <w:t xml:space="preserve">, a regression analysis was not performed. The </w:t>
      </w:r>
      <w:r w:rsidR="00520599" w:rsidRPr="00520599">
        <w:rPr>
          <w:rFonts w:ascii="Constantia" w:hAnsi="Constantia"/>
        </w:rPr>
        <w:t xml:space="preserve">relationship </w:t>
      </w:r>
      <w:r w:rsidRPr="00520599">
        <w:rPr>
          <w:rFonts w:ascii="Constantia" w:hAnsi="Constantia"/>
        </w:rPr>
        <w:t xml:space="preserve">between teen birth rate and female gonorrhea is </w:t>
      </w:r>
      <w:proofErr w:type="gramStart"/>
      <w:r w:rsidRPr="00520599">
        <w:rPr>
          <w:rFonts w:ascii="Constantia" w:hAnsi="Constantia"/>
        </w:rPr>
        <w:t>more clear</w:t>
      </w:r>
      <w:proofErr w:type="gramEnd"/>
      <w:r w:rsidRPr="00520599">
        <w:rPr>
          <w:rFonts w:ascii="Constantia" w:hAnsi="Constantia"/>
        </w:rPr>
        <w:t xml:space="preserve">, as they are both results of less safe sex practices, albeit for different age groups.  A complicated group of factors like family involvement, substance use, </w:t>
      </w:r>
      <w:r w:rsidR="00520599" w:rsidRPr="00520599">
        <w:rPr>
          <w:rFonts w:ascii="Constantia" w:hAnsi="Constantia"/>
        </w:rPr>
        <w:t>or community role models is likely driving these rates.  The diabetes mortality rate also has a relationship with these two factors, and the reason for this is not clear.  In a broad sense, these health factors are all more preventable than breast cancer, which is often attributed largely to genetics.  Possibly, women who do not have children at a young age, gonorrhea infection, or unmanaged diabetes are taking greater self-care measures</w:t>
      </w:r>
      <w:r w:rsidR="0066695E">
        <w:rPr>
          <w:rFonts w:ascii="Constantia" w:hAnsi="Constantia"/>
        </w:rPr>
        <w:t xml:space="preserve"> that explain these links for various age groups</w:t>
      </w:r>
      <w:r w:rsidR="00520599" w:rsidRPr="00520599">
        <w:rPr>
          <w:rFonts w:ascii="Constantia" w:hAnsi="Constantia"/>
        </w:rPr>
        <w:t>.</w:t>
      </w:r>
    </w:p>
    <w:p w:rsidR="0066695E" w:rsidRDefault="0066695E">
      <w:pPr>
        <w:rPr>
          <w:rFonts w:ascii="Constantia" w:hAnsi="Constantia"/>
        </w:rPr>
      </w:pPr>
      <w:r>
        <w:rPr>
          <w:rFonts w:ascii="Constantia" w:hAnsi="Constantia"/>
        </w:rPr>
        <w:t>Finally, we determined that high school retention rates would better be addressed by specific neighborhood rather than geographic region.  Although the West Side has the highest percentage of population lacking high school diploma both to the Northwest and Southwest, the spread among the regions is too high to direct resources.</w:t>
      </w:r>
    </w:p>
    <w:p w:rsidR="008D4B5B" w:rsidRPr="008D4B5B" w:rsidRDefault="008D4B5B">
      <w:pPr>
        <w:rPr>
          <w:rFonts w:ascii="Constantia" w:hAnsi="Constantia"/>
          <w:b/>
        </w:rPr>
      </w:pPr>
      <w:r w:rsidRPr="00520599">
        <w:rPr>
          <w:rFonts w:ascii="Constantia" w:hAnsi="Constantia"/>
          <w:b/>
        </w:rPr>
        <w:t>Recommendations:</w:t>
      </w:r>
    </w:p>
    <w:p w:rsidR="0066695E" w:rsidRPr="00520599" w:rsidRDefault="0066695E">
      <w:pPr>
        <w:rPr>
          <w:rFonts w:ascii="Constantia" w:hAnsi="Constantia"/>
        </w:rPr>
      </w:pPr>
      <w:r>
        <w:rPr>
          <w:rFonts w:ascii="Constantia" w:hAnsi="Constantia"/>
        </w:rPr>
        <w:t>While city leaders should still provide more high school resources to places like Gage Park and South Lawndale, a more direct approach is required to improve women’s health.  Programs to establish healthier sex practices, nutrition, and exercise will help women take care of themselves and their children throughout their lifetimes.  These programs can be implemented in high schools, but then retention rate must be addres</w:t>
      </w:r>
      <w:r w:rsidR="008D4B5B">
        <w:rPr>
          <w:rFonts w:ascii="Constantia" w:hAnsi="Constantia"/>
        </w:rPr>
        <w:t>sed so that more women benefit.</w:t>
      </w:r>
      <w:r w:rsidR="008D4B5B" w:rsidRPr="00520599">
        <w:rPr>
          <w:rFonts w:ascii="Constantia" w:hAnsi="Constantia"/>
        </w:rPr>
        <w:t xml:space="preserve"> If high schools receive additional funding or other resources, additional analysis should be performed to determine whether this spending i</w:t>
      </w:r>
      <w:r w:rsidR="008D4B5B">
        <w:rPr>
          <w:rFonts w:ascii="Constantia" w:hAnsi="Constantia"/>
        </w:rPr>
        <w:t>mproves women’s</w:t>
      </w:r>
      <w:r w:rsidR="008D4B5B" w:rsidRPr="00520599">
        <w:rPr>
          <w:rFonts w:ascii="Constantia" w:hAnsi="Constantia"/>
        </w:rPr>
        <w:t xml:space="preserve"> health.  Adjustments should be made for concurrent programs that target specific conditions, like community </w:t>
      </w:r>
      <w:r w:rsidR="008D4B5B">
        <w:rPr>
          <w:rFonts w:ascii="Constantia" w:hAnsi="Constantia"/>
        </w:rPr>
        <w:t>diabetes initiatives</w:t>
      </w:r>
      <w:r w:rsidR="008D4B5B" w:rsidRPr="00520599">
        <w:rPr>
          <w:rFonts w:ascii="Constantia" w:hAnsi="Constantia"/>
        </w:rPr>
        <w:t>.</w:t>
      </w:r>
      <w:r w:rsidR="008D4B5B">
        <w:rPr>
          <w:rFonts w:ascii="Constantia" w:hAnsi="Constantia"/>
        </w:rPr>
        <w:t xml:space="preserve">  Other</w:t>
      </w:r>
      <w:r>
        <w:rPr>
          <w:rFonts w:ascii="Constantia" w:hAnsi="Constantia"/>
        </w:rPr>
        <w:t xml:space="preserve"> option</w:t>
      </w:r>
      <w:r w:rsidR="008D4B5B">
        <w:rPr>
          <w:rFonts w:ascii="Constantia" w:hAnsi="Constantia"/>
        </w:rPr>
        <w:t>s</w:t>
      </w:r>
      <w:r>
        <w:rPr>
          <w:rFonts w:ascii="Constantia" w:hAnsi="Constantia"/>
        </w:rPr>
        <w:t xml:space="preserve"> to reach a broad au</w:t>
      </w:r>
      <w:r w:rsidR="008D4B5B">
        <w:rPr>
          <w:rFonts w:ascii="Constantia" w:hAnsi="Constantia"/>
        </w:rPr>
        <w:t>dience include bus or radio campaigns.</w:t>
      </w:r>
    </w:p>
    <w:p w:rsidR="00D43FEC" w:rsidRPr="00520599" w:rsidRDefault="00D43FEC">
      <w:pPr>
        <w:rPr>
          <w:rFonts w:ascii="Constantia" w:hAnsi="Constantia"/>
          <w:b/>
        </w:rPr>
      </w:pPr>
      <w:r w:rsidRPr="00520599">
        <w:rPr>
          <w:rFonts w:ascii="Constantia" w:hAnsi="Constantia"/>
          <w:b/>
        </w:rPr>
        <w:lastRenderedPageBreak/>
        <w:t>Limitations:</w:t>
      </w:r>
    </w:p>
    <w:p w:rsidR="009B488A" w:rsidRPr="00520599" w:rsidRDefault="009B488A">
      <w:pPr>
        <w:rPr>
          <w:rFonts w:ascii="Constantia" w:hAnsi="Constantia"/>
        </w:rPr>
      </w:pPr>
      <w:r w:rsidRPr="00520599">
        <w:rPr>
          <w:rFonts w:ascii="Constantia" w:hAnsi="Constantia"/>
        </w:rPr>
        <w:t>No data regarding race and ethnic makeup was included in the survey.  Additionally, college and graduate school rates would also have been useful in addressing the impact of education on women’s health factors.</w:t>
      </w:r>
      <w:r w:rsidR="00BD760D" w:rsidRPr="00520599">
        <w:rPr>
          <w:rFonts w:ascii="Constantia" w:hAnsi="Constantia"/>
        </w:rPr>
        <w:t xml:space="preserve">  Gonorrhea rates were not available for every neighborhood.  As well, confidence intervals around each estimate</w:t>
      </w:r>
      <w:r w:rsidR="003F5C7E" w:rsidRPr="00520599">
        <w:rPr>
          <w:rFonts w:ascii="Constantia" w:hAnsi="Constantia"/>
        </w:rPr>
        <w:t>, including US data,</w:t>
      </w:r>
      <w:r w:rsidR="00BD760D" w:rsidRPr="00520599">
        <w:rPr>
          <w:rFonts w:ascii="Constantia" w:hAnsi="Constantia"/>
        </w:rPr>
        <w:t xml:space="preserve"> would have provided a more accurate snapshot.</w:t>
      </w:r>
    </w:p>
    <w:p w:rsidR="00D43FEC" w:rsidRPr="00520599" w:rsidRDefault="00D43FEC">
      <w:pPr>
        <w:rPr>
          <w:rFonts w:ascii="Constantia" w:hAnsi="Constantia"/>
          <w:b/>
        </w:rPr>
      </w:pPr>
      <w:r w:rsidRPr="00520599">
        <w:rPr>
          <w:rFonts w:ascii="Constantia" w:hAnsi="Constantia"/>
          <w:b/>
        </w:rPr>
        <w:t>Data</w:t>
      </w:r>
      <w:r w:rsidR="00F77D2C" w:rsidRPr="00520599">
        <w:rPr>
          <w:rFonts w:ascii="Constantia" w:hAnsi="Constantia"/>
          <w:b/>
        </w:rPr>
        <w:t xml:space="preserve"> Sources</w:t>
      </w:r>
      <w:r w:rsidRPr="00520599">
        <w:rPr>
          <w:rFonts w:ascii="Constantia" w:hAnsi="Constantia"/>
          <w:b/>
        </w:rPr>
        <w:t>:</w:t>
      </w:r>
    </w:p>
    <w:p w:rsidR="001956B3" w:rsidRPr="00520599" w:rsidRDefault="001956B3" w:rsidP="001956B3">
      <w:pPr>
        <w:spacing w:after="0" w:line="240" w:lineRule="auto"/>
        <w:rPr>
          <w:rFonts w:ascii="Constantia" w:eastAsia="Times New Roman" w:hAnsi="Constantia" w:cs="Times New Roman"/>
        </w:rPr>
      </w:pPr>
      <w:r w:rsidRPr="00520599">
        <w:rPr>
          <w:rFonts w:ascii="Constantia" w:eastAsia="Times New Roman" w:hAnsi="Constantia" w:cs="Times New Roman"/>
        </w:rPr>
        <w:t xml:space="preserve">"Public Health Statistics- Selected Public Health Indicators by Chicago Community Area." </w:t>
      </w:r>
      <w:proofErr w:type="gramStart"/>
      <w:r w:rsidRPr="00520599">
        <w:rPr>
          <w:rFonts w:ascii="Constantia" w:eastAsia="Times New Roman" w:hAnsi="Constantia" w:cs="Times New Roman"/>
        </w:rPr>
        <w:t>City of Chicago | Data Portal.</w:t>
      </w:r>
      <w:proofErr w:type="gramEnd"/>
      <w:r w:rsidRPr="00520599">
        <w:rPr>
          <w:rFonts w:ascii="Constantia" w:eastAsia="Times New Roman" w:hAnsi="Constantia" w:cs="Times New Roman"/>
        </w:rPr>
        <w:t xml:space="preserve"> June 4, 2013. </w:t>
      </w:r>
      <w:proofErr w:type="gramStart"/>
      <w:r w:rsidRPr="00520599">
        <w:rPr>
          <w:rFonts w:ascii="Constantia" w:eastAsia="Times New Roman" w:hAnsi="Constantia" w:cs="Times New Roman"/>
        </w:rPr>
        <w:t>Accessed November 22, 2015.</w:t>
      </w:r>
      <w:proofErr w:type="gramEnd"/>
      <w:r w:rsidRPr="00520599">
        <w:rPr>
          <w:rFonts w:ascii="Constantia" w:eastAsia="Times New Roman" w:hAnsi="Constantia" w:cs="Times New Roman"/>
        </w:rPr>
        <w:t xml:space="preserve"> https://data.cityofchicago.org/Health-Human-Services/Public-Health-Statistics-Selected-public-health-in/iqnk-2tcu. </w:t>
      </w:r>
      <w:r w:rsidR="00BD760D" w:rsidRPr="00520599">
        <w:rPr>
          <w:rFonts w:ascii="Constantia" w:eastAsia="Times New Roman" w:hAnsi="Constantia" w:cs="Times New Roman"/>
        </w:rPr>
        <w:t xml:space="preserve">  </w:t>
      </w:r>
    </w:p>
    <w:p w:rsidR="00BD760D" w:rsidRPr="00520599" w:rsidRDefault="00BD760D" w:rsidP="001956B3">
      <w:pPr>
        <w:spacing w:after="0" w:line="240" w:lineRule="auto"/>
        <w:rPr>
          <w:rFonts w:ascii="Constantia" w:eastAsia="Times New Roman" w:hAnsi="Constantia" w:cs="Times New Roman"/>
        </w:rPr>
      </w:pPr>
    </w:p>
    <w:p w:rsidR="00BD760D" w:rsidRPr="00520599" w:rsidRDefault="00BD760D" w:rsidP="001956B3">
      <w:pPr>
        <w:spacing w:after="0" w:line="240" w:lineRule="auto"/>
        <w:rPr>
          <w:rFonts w:ascii="Constantia" w:eastAsia="Times New Roman" w:hAnsi="Constantia" w:cs="Times New Roman"/>
        </w:rPr>
      </w:pPr>
      <w:r w:rsidRPr="00520599">
        <w:rPr>
          <w:rFonts w:ascii="Constantia" w:eastAsia="Times New Roman" w:hAnsi="Constantia" w:cs="Times New Roman"/>
        </w:rPr>
        <w:t>A linked document provides a description of the data source here:</w:t>
      </w:r>
    </w:p>
    <w:p w:rsidR="00BD760D" w:rsidRPr="00520599" w:rsidRDefault="00226811" w:rsidP="001956B3">
      <w:pPr>
        <w:spacing w:after="0" w:line="240" w:lineRule="auto"/>
        <w:rPr>
          <w:rFonts w:ascii="Constantia" w:eastAsia="Times New Roman" w:hAnsi="Constantia" w:cs="Times New Roman"/>
        </w:rPr>
      </w:pPr>
      <w:hyperlink r:id="rId9" w:history="1">
        <w:r w:rsidR="00F77D2C" w:rsidRPr="00520599">
          <w:rPr>
            <w:rStyle w:val="Hyperlink"/>
            <w:rFonts w:ascii="Constantia" w:eastAsia="Times New Roman" w:hAnsi="Constantia" w:cs="Times New Roman"/>
          </w:rPr>
          <w:t>https://data.cityofchicago.org/api/assets/2107948F-357D-4ED7-ACC2-2E9266BBFFA2</w:t>
        </w:r>
      </w:hyperlink>
    </w:p>
    <w:p w:rsidR="00F77D2C" w:rsidRPr="00520599" w:rsidRDefault="00F77D2C" w:rsidP="001956B3">
      <w:pPr>
        <w:spacing w:after="0" w:line="240" w:lineRule="auto"/>
        <w:rPr>
          <w:rFonts w:ascii="Constantia" w:eastAsia="Times New Roman" w:hAnsi="Constantia" w:cs="Times New Roman"/>
        </w:rPr>
      </w:pPr>
    </w:p>
    <w:p w:rsidR="00F77D2C" w:rsidRPr="00520599" w:rsidRDefault="00F77D2C" w:rsidP="00F77D2C">
      <w:pPr>
        <w:tabs>
          <w:tab w:val="left" w:pos="2076"/>
        </w:tabs>
        <w:spacing w:after="0" w:line="240" w:lineRule="auto"/>
        <w:rPr>
          <w:rFonts w:ascii="Constantia" w:eastAsia="Times New Roman" w:hAnsi="Constantia" w:cs="Times New Roman"/>
        </w:rPr>
      </w:pPr>
      <w:r w:rsidRPr="00520599">
        <w:rPr>
          <w:rFonts w:ascii="Constantia" w:eastAsia="Times New Roman" w:hAnsi="Constantia" w:cs="Times New Roman"/>
        </w:rPr>
        <w:t>Chicago regions coded using the divisions here:</w:t>
      </w:r>
    </w:p>
    <w:p w:rsidR="00967E56" w:rsidRDefault="00F77D2C" w:rsidP="00520599">
      <w:pPr>
        <w:spacing w:after="0" w:line="240" w:lineRule="auto"/>
        <w:rPr>
          <w:rFonts w:ascii="Constantia" w:eastAsia="Times New Roman" w:hAnsi="Constantia" w:cs="Times New Roman"/>
        </w:rPr>
      </w:pPr>
      <w:proofErr w:type="gramStart"/>
      <w:r w:rsidRPr="00520599">
        <w:rPr>
          <w:rFonts w:ascii="Constantia" w:eastAsia="Times New Roman" w:hAnsi="Constantia" w:cs="Times New Roman"/>
        </w:rPr>
        <w:t>"Chicago Neighborhoods."</w:t>
      </w:r>
      <w:proofErr w:type="gramEnd"/>
      <w:r w:rsidRPr="00520599">
        <w:rPr>
          <w:rFonts w:ascii="Constantia" w:eastAsia="Times New Roman" w:hAnsi="Constantia" w:cs="Times New Roman"/>
        </w:rPr>
        <w:t xml:space="preserve"> </w:t>
      </w:r>
      <w:proofErr w:type="gramStart"/>
      <w:r w:rsidRPr="00520599">
        <w:rPr>
          <w:rFonts w:ascii="Constantia" w:eastAsia="Times New Roman" w:hAnsi="Constantia" w:cs="Times New Roman"/>
        </w:rPr>
        <w:t>The Chicago 77.</w:t>
      </w:r>
      <w:proofErr w:type="gramEnd"/>
      <w:r w:rsidRPr="00520599">
        <w:rPr>
          <w:rFonts w:ascii="Constantia" w:eastAsia="Times New Roman" w:hAnsi="Constantia" w:cs="Times New Roman"/>
        </w:rPr>
        <w:t xml:space="preserve"> 2015. Accessed November 22, 2015. http://www.thechicago77.com/chicago-neighborhoods/. </w:t>
      </w:r>
      <w:r w:rsidRPr="00520599">
        <w:rPr>
          <w:rFonts w:ascii="Constantia" w:eastAsia="Times New Roman" w:hAnsi="Constantia" w:cs="Times New Roman"/>
        </w:rPr>
        <w:tab/>
      </w:r>
    </w:p>
    <w:p w:rsidR="00520599" w:rsidRDefault="00520599" w:rsidP="00520599">
      <w:pPr>
        <w:spacing w:after="0" w:line="240" w:lineRule="auto"/>
        <w:rPr>
          <w:rFonts w:ascii="Constantia" w:eastAsia="Times New Roman" w:hAnsi="Constantia" w:cs="Times New Roman"/>
        </w:rPr>
      </w:pPr>
    </w:p>
    <w:p w:rsidR="00520599" w:rsidRPr="00520599" w:rsidRDefault="00520599" w:rsidP="00520599">
      <w:pPr>
        <w:spacing w:after="0" w:line="240" w:lineRule="auto"/>
        <w:rPr>
          <w:rFonts w:ascii="Constantia" w:eastAsia="Times New Roman" w:hAnsi="Constantia" w:cs="Times New Roman"/>
          <w:b/>
        </w:rPr>
      </w:pPr>
      <w:r>
        <w:rPr>
          <w:rFonts w:ascii="Constantia" w:eastAsia="Times New Roman" w:hAnsi="Constantia" w:cs="Times New Roman"/>
          <w:b/>
        </w:rPr>
        <w:t>Works Cited:</w:t>
      </w:r>
    </w:p>
    <w:sectPr w:rsidR="00520599" w:rsidRPr="00520599">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26811" w:rsidRDefault="00226811" w:rsidP="00582103">
      <w:pPr>
        <w:spacing w:after="0" w:line="240" w:lineRule="auto"/>
      </w:pPr>
      <w:r>
        <w:separator/>
      </w:r>
    </w:p>
  </w:endnote>
  <w:endnote w:type="continuationSeparator" w:id="0">
    <w:p w:rsidR="00226811" w:rsidRDefault="00226811" w:rsidP="00582103">
      <w:pPr>
        <w:spacing w:after="0" w:line="240" w:lineRule="auto"/>
      </w:pPr>
      <w:r>
        <w:continuationSeparator/>
      </w:r>
    </w:p>
  </w:endnote>
  <w:endnote w:id="1">
    <w:p w:rsidR="006C182A" w:rsidRPr="00520599" w:rsidRDefault="006C182A" w:rsidP="00520599">
      <w:pPr>
        <w:pStyle w:val="Bibliography"/>
        <w:rPr>
          <w:rFonts w:ascii="Constantia" w:hAnsi="Constantia"/>
          <w:noProof/>
        </w:rPr>
      </w:pPr>
      <w:r>
        <w:rPr>
          <w:rStyle w:val="EndnoteReference"/>
        </w:rPr>
        <w:endnoteRef/>
      </w:r>
      <w:r>
        <w:t xml:space="preserve"> </w:t>
      </w:r>
      <w:r w:rsidRPr="00520599">
        <w:rPr>
          <w:rFonts w:ascii="Constantia" w:hAnsi="Constantia"/>
        </w:rPr>
        <w:fldChar w:fldCharType="begin"/>
      </w:r>
      <w:r w:rsidRPr="00520599">
        <w:rPr>
          <w:rFonts w:ascii="Constantia" w:hAnsi="Constantia"/>
        </w:rPr>
        <w:instrText xml:space="preserve"> BIBLIOGRAPHY </w:instrText>
      </w:r>
      <w:r w:rsidRPr="00520599">
        <w:rPr>
          <w:rFonts w:ascii="Constantia" w:hAnsi="Constantia"/>
        </w:rPr>
        <w:fldChar w:fldCharType="separate"/>
      </w:r>
      <w:r w:rsidRPr="00520599">
        <w:rPr>
          <w:rFonts w:ascii="Constantia" w:hAnsi="Constantia"/>
          <w:noProof/>
        </w:rPr>
        <w:t>Bird CE, AM Fremont, AS Bierman, S Wickstrom, M Shah, T Rect</w:t>
      </w:r>
      <w:r w:rsidR="00520599">
        <w:rPr>
          <w:rFonts w:ascii="Constantia" w:hAnsi="Constantia"/>
          <w:noProof/>
        </w:rPr>
        <w:t xml:space="preserve">or, T Horstman, and JJ Escarce. </w:t>
      </w:r>
      <w:r w:rsidRPr="00520599">
        <w:rPr>
          <w:rFonts w:ascii="Constantia" w:hAnsi="Constantia"/>
          <w:noProof/>
        </w:rPr>
        <w:t xml:space="preserve">"Does quality of care for cardiovascular disease and diabetes differ by gender for enrollees in managed care plans?" </w:t>
      </w:r>
      <w:r w:rsidRPr="00520599">
        <w:rPr>
          <w:rFonts w:ascii="Constantia" w:hAnsi="Constantia"/>
          <w:i/>
          <w:iCs/>
          <w:noProof/>
        </w:rPr>
        <w:t>Women's Health Issues : Official Publication of the Jacobs Institute of Women's Health</w:t>
      </w:r>
      <w:r w:rsidRPr="00520599">
        <w:rPr>
          <w:rFonts w:ascii="Constantia" w:hAnsi="Constantia"/>
          <w:noProof/>
        </w:rPr>
        <w:t>, 2007: 17(3).</w:t>
      </w:r>
      <w:r w:rsidRPr="00520599">
        <w:rPr>
          <w:rFonts w:ascii="Constantia" w:hAnsi="Constantia"/>
          <w:b/>
          <w:bCs/>
        </w:rPr>
        <w:fldChar w:fldCharType="end"/>
      </w:r>
    </w:p>
  </w:endnote>
  <w:endnote w:id="2">
    <w:p w:rsidR="006C182A" w:rsidRPr="00520599" w:rsidRDefault="006C182A" w:rsidP="00520599">
      <w:pPr>
        <w:pStyle w:val="Bibliography"/>
        <w:rPr>
          <w:rFonts w:ascii="Constantia" w:hAnsi="Constantia"/>
          <w:noProof/>
        </w:rPr>
      </w:pPr>
      <w:r w:rsidRPr="00520599">
        <w:rPr>
          <w:rStyle w:val="EndnoteReference"/>
          <w:rFonts w:ascii="Constantia" w:hAnsi="Constantia"/>
        </w:rPr>
        <w:endnoteRef/>
      </w:r>
      <w:r w:rsidRPr="00520599">
        <w:rPr>
          <w:rFonts w:ascii="Constantia" w:hAnsi="Constantia"/>
        </w:rPr>
        <w:t xml:space="preserve"> </w:t>
      </w:r>
      <w:r w:rsidRPr="00520599">
        <w:rPr>
          <w:rFonts w:ascii="Constantia" w:hAnsi="Constantia"/>
          <w:noProof/>
        </w:rPr>
        <w:t>Division of Diabetes Translation, National Center for Chroni</w:t>
      </w:r>
      <w:r w:rsidR="00520599">
        <w:rPr>
          <w:rFonts w:ascii="Constantia" w:hAnsi="Constantia"/>
          <w:noProof/>
        </w:rPr>
        <w:t xml:space="preserve">c Disease Prevention and Health </w:t>
      </w:r>
      <w:r w:rsidRPr="00520599">
        <w:rPr>
          <w:rFonts w:ascii="Constantia" w:hAnsi="Constantia"/>
          <w:noProof/>
        </w:rPr>
        <w:t xml:space="preserve">Promotion. </w:t>
      </w:r>
      <w:r w:rsidRPr="00520599">
        <w:rPr>
          <w:rFonts w:ascii="Constantia" w:hAnsi="Constantia"/>
          <w:i/>
          <w:iCs/>
          <w:noProof/>
        </w:rPr>
        <w:t>Diabetes Public Health Resource.</w:t>
      </w:r>
      <w:r w:rsidRPr="00520599">
        <w:rPr>
          <w:rFonts w:ascii="Constantia" w:hAnsi="Constantia"/>
          <w:noProof/>
        </w:rPr>
        <w:t xml:space="preserve"> December 2, 20</w:t>
      </w:r>
      <w:r w:rsidR="00520599">
        <w:rPr>
          <w:rFonts w:ascii="Constantia" w:hAnsi="Constantia"/>
          <w:noProof/>
        </w:rPr>
        <w:t xml:space="preserve">12. Accessed November 21, 2015.  </w:t>
      </w:r>
      <w:r w:rsidRPr="00520599">
        <w:rPr>
          <w:rFonts w:ascii="Constantia" w:hAnsi="Constantia"/>
          <w:noProof/>
        </w:rPr>
        <w:t>http://www.cdc.gov.ezproxy.depaul.edu/diabetes/statistics/mobility/health_status/fig4.htm.</w:t>
      </w:r>
    </w:p>
  </w:endnote>
  <w:endnote w:id="3">
    <w:p w:rsidR="006C182A" w:rsidRPr="00520599" w:rsidRDefault="00582103" w:rsidP="00520599">
      <w:pPr>
        <w:pStyle w:val="EndnoteText"/>
        <w:rPr>
          <w:rFonts w:ascii="Constantia" w:hAnsi="Constantia"/>
          <w:sz w:val="22"/>
          <w:szCs w:val="22"/>
        </w:rPr>
      </w:pPr>
      <w:r w:rsidRPr="00520599">
        <w:rPr>
          <w:rStyle w:val="EndnoteReference"/>
          <w:rFonts w:ascii="Constantia" w:hAnsi="Constantia"/>
          <w:sz w:val="22"/>
          <w:szCs w:val="22"/>
        </w:rPr>
        <w:endnoteRef/>
      </w:r>
      <w:r w:rsidRPr="00520599">
        <w:rPr>
          <w:rFonts w:ascii="Constantia" w:hAnsi="Constantia"/>
          <w:sz w:val="22"/>
          <w:szCs w:val="22"/>
        </w:rPr>
        <w:t xml:space="preserve"> </w:t>
      </w:r>
      <w:r w:rsidR="006C182A" w:rsidRPr="00520599">
        <w:rPr>
          <w:rFonts w:ascii="Constantia" w:hAnsi="Constantia"/>
          <w:sz w:val="22"/>
          <w:szCs w:val="22"/>
        </w:rPr>
        <w:t xml:space="preserve"> Gebel, PhD, Erika. "How Diabetes Differs for Men and Women." </w:t>
      </w:r>
      <w:r w:rsidR="006C182A" w:rsidRPr="00520599">
        <w:rPr>
          <w:rFonts w:ascii="Constantia" w:hAnsi="Constantia"/>
          <w:i/>
          <w:sz w:val="22"/>
          <w:szCs w:val="22"/>
        </w:rPr>
        <w:t>Diabetes Forecast.</w:t>
      </w:r>
      <w:r w:rsidR="006C182A" w:rsidRPr="00520599">
        <w:rPr>
          <w:rFonts w:ascii="Constantia" w:hAnsi="Constantia"/>
          <w:sz w:val="22"/>
          <w:szCs w:val="22"/>
        </w:rPr>
        <w:t xml:space="preserve"> October 1, 2011. </w:t>
      </w:r>
      <w:proofErr w:type="gramStart"/>
      <w:r w:rsidR="006C182A" w:rsidRPr="00520599">
        <w:rPr>
          <w:rFonts w:ascii="Constantia" w:hAnsi="Constantia"/>
          <w:sz w:val="22"/>
          <w:szCs w:val="22"/>
        </w:rPr>
        <w:t>Accessed November 21, 2015.</w:t>
      </w:r>
      <w:proofErr w:type="gramEnd"/>
      <w:r w:rsidR="006C182A" w:rsidRPr="00520599">
        <w:rPr>
          <w:rFonts w:ascii="Constantia" w:hAnsi="Constantia"/>
          <w:sz w:val="22"/>
          <w:szCs w:val="22"/>
        </w:rPr>
        <w:t xml:space="preserve"> http://www.diabetesforecast.org/2011/oct/how-diabetes-differs-for-men-and-women.html.</w:t>
      </w:r>
    </w:p>
    <w:p w:rsidR="00582103" w:rsidRPr="00520599" w:rsidRDefault="00582103" w:rsidP="00520599">
      <w:pPr>
        <w:pStyle w:val="EndnoteText"/>
        <w:ind w:left="720"/>
        <w:rPr>
          <w:rFonts w:ascii="Constantia" w:hAnsi="Constantia"/>
          <w:sz w:val="22"/>
          <w:szCs w:val="22"/>
        </w:rPr>
      </w:pPr>
    </w:p>
  </w:endnote>
  <w:endnote w:id="4">
    <w:p w:rsidR="004F4918" w:rsidRPr="00520599" w:rsidRDefault="004F4918" w:rsidP="004F4918">
      <w:pPr>
        <w:pStyle w:val="EndnoteText"/>
        <w:rPr>
          <w:rFonts w:ascii="Constantia" w:hAnsi="Constantia"/>
          <w:sz w:val="22"/>
          <w:szCs w:val="22"/>
        </w:rPr>
      </w:pPr>
      <w:r w:rsidRPr="00520599">
        <w:rPr>
          <w:rStyle w:val="EndnoteReference"/>
          <w:rFonts w:ascii="Constantia" w:hAnsi="Constantia"/>
          <w:sz w:val="22"/>
          <w:szCs w:val="22"/>
        </w:rPr>
        <w:endnoteRef/>
      </w:r>
      <w:r w:rsidRPr="00520599">
        <w:rPr>
          <w:rFonts w:ascii="Constantia" w:hAnsi="Constantia"/>
          <w:sz w:val="22"/>
          <w:szCs w:val="22"/>
        </w:rPr>
        <w:t xml:space="preserve"> </w:t>
      </w:r>
      <w:proofErr w:type="spellStart"/>
      <w:proofErr w:type="gramStart"/>
      <w:r w:rsidRPr="00520599">
        <w:rPr>
          <w:rFonts w:ascii="Constantia" w:hAnsi="Constantia"/>
          <w:sz w:val="22"/>
          <w:szCs w:val="22"/>
        </w:rPr>
        <w:t>Steenland</w:t>
      </w:r>
      <w:proofErr w:type="spellEnd"/>
      <w:r w:rsidRPr="00520599">
        <w:rPr>
          <w:rFonts w:ascii="Constantia" w:hAnsi="Constantia"/>
          <w:sz w:val="22"/>
          <w:szCs w:val="22"/>
        </w:rPr>
        <w:t xml:space="preserve"> K, J Henley, and M Thun.</w:t>
      </w:r>
      <w:proofErr w:type="gramEnd"/>
      <w:r w:rsidRPr="00520599">
        <w:rPr>
          <w:rFonts w:ascii="Constantia" w:hAnsi="Constantia"/>
          <w:sz w:val="22"/>
          <w:szCs w:val="22"/>
        </w:rPr>
        <w:t xml:space="preserve"> 2002. "All-cause and cause-specific death rates by educational status for two million people in two American Cancer Society cohorts, 1959-1996". </w:t>
      </w:r>
      <w:proofErr w:type="gramStart"/>
      <w:r w:rsidRPr="00520599">
        <w:rPr>
          <w:rFonts w:ascii="Constantia" w:hAnsi="Constantia"/>
          <w:sz w:val="22"/>
          <w:szCs w:val="22"/>
        </w:rPr>
        <w:t>American Journal of Epidemiology.</w:t>
      </w:r>
      <w:proofErr w:type="gramEnd"/>
      <w:r w:rsidRPr="00520599">
        <w:rPr>
          <w:rFonts w:ascii="Constantia" w:hAnsi="Constantia"/>
          <w:sz w:val="22"/>
          <w:szCs w:val="22"/>
        </w:rPr>
        <w:t xml:space="preserve"> 156 (1): 11-21.</w:t>
      </w:r>
    </w:p>
    <w:p w:rsidR="00FF1D63" w:rsidRPr="00520599" w:rsidRDefault="00FF1D63" w:rsidP="004F4918">
      <w:pPr>
        <w:pStyle w:val="EndnoteText"/>
        <w:rPr>
          <w:rFonts w:ascii="Constantia" w:hAnsi="Constantia"/>
          <w:sz w:val="22"/>
          <w:szCs w:val="22"/>
        </w:rPr>
      </w:pPr>
    </w:p>
  </w:endnote>
  <w:endnote w:id="5">
    <w:p w:rsidR="00D92786" w:rsidRDefault="00D92786">
      <w:pPr>
        <w:pStyle w:val="EndnoteText"/>
        <w:rPr>
          <w:rFonts w:ascii="Constantia" w:hAnsi="Constantia"/>
          <w:color w:val="000000"/>
          <w:sz w:val="22"/>
          <w:szCs w:val="22"/>
          <w:shd w:val="clear" w:color="auto" w:fill="FFFFFF"/>
        </w:rPr>
      </w:pPr>
      <w:r w:rsidRPr="00520599">
        <w:rPr>
          <w:rStyle w:val="EndnoteReference"/>
          <w:rFonts w:ascii="Constantia" w:hAnsi="Constantia"/>
          <w:sz w:val="22"/>
          <w:szCs w:val="22"/>
        </w:rPr>
        <w:endnoteRef/>
      </w:r>
      <w:r w:rsidRPr="00520599">
        <w:rPr>
          <w:rFonts w:ascii="Constantia" w:hAnsi="Constantia"/>
          <w:sz w:val="22"/>
          <w:szCs w:val="22"/>
        </w:rPr>
        <w:t xml:space="preserve"> </w:t>
      </w:r>
      <w:proofErr w:type="gramStart"/>
      <w:r w:rsidRPr="00520599">
        <w:rPr>
          <w:rFonts w:ascii="Constantia" w:hAnsi="Constantia"/>
          <w:color w:val="000000"/>
          <w:sz w:val="22"/>
          <w:szCs w:val="22"/>
          <w:shd w:val="clear" w:color="auto" w:fill="FFFFFF"/>
        </w:rPr>
        <w:t xml:space="preserve">Kinsey, T., A. </w:t>
      </w:r>
      <w:proofErr w:type="spellStart"/>
      <w:r w:rsidRPr="00520599">
        <w:rPr>
          <w:rFonts w:ascii="Constantia" w:hAnsi="Constantia"/>
          <w:color w:val="000000"/>
          <w:sz w:val="22"/>
          <w:szCs w:val="22"/>
          <w:shd w:val="clear" w:color="auto" w:fill="FFFFFF"/>
        </w:rPr>
        <w:t>Jemal</w:t>
      </w:r>
      <w:proofErr w:type="spellEnd"/>
      <w:r w:rsidRPr="00520599">
        <w:rPr>
          <w:rFonts w:ascii="Constantia" w:hAnsi="Constantia"/>
          <w:color w:val="000000"/>
          <w:sz w:val="22"/>
          <w:szCs w:val="22"/>
          <w:shd w:val="clear" w:color="auto" w:fill="FFFFFF"/>
        </w:rPr>
        <w:t xml:space="preserve">, J. </w:t>
      </w:r>
      <w:proofErr w:type="spellStart"/>
      <w:r w:rsidRPr="00520599">
        <w:rPr>
          <w:rFonts w:ascii="Constantia" w:hAnsi="Constantia"/>
          <w:color w:val="000000"/>
          <w:sz w:val="22"/>
          <w:szCs w:val="22"/>
          <w:shd w:val="clear" w:color="auto" w:fill="FFFFFF"/>
        </w:rPr>
        <w:t>Liff</w:t>
      </w:r>
      <w:proofErr w:type="spellEnd"/>
      <w:r w:rsidRPr="00520599">
        <w:rPr>
          <w:rFonts w:ascii="Constantia" w:hAnsi="Constantia"/>
          <w:color w:val="000000"/>
          <w:sz w:val="22"/>
          <w:szCs w:val="22"/>
          <w:shd w:val="clear" w:color="auto" w:fill="FFFFFF"/>
        </w:rPr>
        <w:t>, E. Ward, and M. Thun.</w:t>
      </w:r>
      <w:proofErr w:type="gramEnd"/>
      <w:r w:rsidRPr="00520599">
        <w:rPr>
          <w:rFonts w:ascii="Constantia" w:hAnsi="Constantia"/>
          <w:color w:val="000000"/>
          <w:sz w:val="22"/>
          <w:szCs w:val="22"/>
          <w:shd w:val="clear" w:color="auto" w:fill="FFFFFF"/>
        </w:rPr>
        <w:t xml:space="preserve"> "Secular Trends in Mortality </w:t>
      </w:r>
      <w:proofErr w:type="gramStart"/>
      <w:r w:rsidRPr="00520599">
        <w:rPr>
          <w:rFonts w:ascii="Constantia" w:hAnsi="Constantia"/>
          <w:color w:val="000000"/>
          <w:sz w:val="22"/>
          <w:szCs w:val="22"/>
          <w:shd w:val="clear" w:color="auto" w:fill="FFFFFF"/>
        </w:rPr>
        <w:t>From</w:t>
      </w:r>
      <w:proofErr w:type="gramEnd"/>
      <w:r w:rsidRPr="00520599">
        <w:rPr>
          <w:rFonts w:ascii="Constantia" w:hAnsi="Constantia"/>
          <w:color w:val="000000"/>
          <w:sz w:val="22"/>
          <w:szCs w:val="22"/>
          <w:shd w:val="clear" w:color="auto" w:fill="FFFFFF"/>
        </w:rPr>
        <w:t xml:space="preserve"> Common Cancers in the United States by Educational Attainment, 1993-2001." </w:t>
      </w:r>
      <w:r w:rsidRPr="00520599">
        <w:rPr>
          <w:rFonts w:ascii="Constantia" w:hAnsi="Constantia"/>
          <w:i/>
          <w:iCs/>
          <w:color w:val="000000"/>
          <w:sz w:val="22"/>
          <w:szCs w:val="22"/>
          <w:shd w:val="clear" w:color="auto" w:fill="FFFFFF"/>
        </w:rPr>
        <w:t>JNCI Journal of the National Cancer Institute</w:t>
      </w:r>
      <w:r w:rsidRPr="00520599">
        <w:rPr>
          <w:rFonts w:ascii="Constantia" w:hAnsi="Constantia"/>
          <w:color w:val="000000"/>
          <w:sz w:val="22"/>
          <w:szCs w:val="22"/>
          <w:shd w:val="clear" w:color="auto" w:fill="FFFFFF"/>
        </w:rPr>
        <w:t> 100, no. 14 (2008): 1003-1012. doi:10.1093/</w:t>
      </w:r>
      <w:proofErr w:type="spellStart"/>
      <w:r w:rsidRPr="00520599">
        <w:rPr>
          <w:rFonts w:ascii="Constantia" w:hAnsi="Constantia"/>
          <w:color w:val="000000"/>
          <w:sz w:val="22"/>
          <w:szCs w:val="22"/>
          <w:shd w:val="clear" w:color="auto" w:fill="FFFFFF"/>
        </w:rPr>
        <w:t>jnci</w:t>
      </w:r>
      <w:proofErr w:type="spellEnd"/>
      <w:r w:rsidRPr="00520599">
        <w:rPr>
          <w:rFonts w:ascii="Constantia" w:hAnsi="Constantia"/>
          <w:color w:val="000000"/>
          <w:sz w:val="22"/>
          <w:szCs w:val="22"/>
          <w:shd w:val="clear" w:color="auto" w:fill="FFFFFF"/>
        </w:rPr>
        <w:t>/djn207.</w:t>
      </w:r>
    </w:p>
    <w:p w:rsidR="00520599" w:rsidRPr="00520599" w:rsidRDefault="00520599">
      <w:pPr>
        <w:pStyle w:val="EndnoteText"/>
        <w:rPr>
          <w:rFonts w:ascii="Constantia" w:hAnsi="Constantia"/>
          <w:sz w:val="22"/>
          <w:szCs w:val="22"/>
        </w:rPr>
      </w:pPr>
    </w:p>
  </w:endnote>
  <w:endnote w:id="6">
    <w:p w:rsidR="00FF1D63" w:rsidRPr="00520599" w:rsidRDefault="00FF1D63" w:rsidP="00FF1D63">
      <w:pPr>
        <w:pStyle w:val="EndnoteText"/>
        <w:rPr>
          <w:rFonts w:ascii="Constantia" w:hAnsi="Constantia"/>
          <w:sz w:val="22"/>
          <w:szCs w:val="22"/>
        </w:rPr>
      </w:pPr>
      <w:r w:rsidRPr="00520599">
        <w:rPr>
          <w:rStyle w:val="EndnoteReference"/>
          <w:rFonts w:ascii="Constantia" w:hAnsi="Constantia"/>
          <w:sz w:val="22"/>
          <w:szCs w:val="22"/>
        </w:rPr>
        <w:endnoteRef/>
      </w:r>
      <w:r w:rsidRPr="00520599">
        <w:rPr>
          <w:rFonts w:ascii="Constantia" w:hAnsi="Constantia"/>
          <w:sz w:val="22"/>
          <w:szCs w:val="22"/>
        </w:rPr>
        <w:t xml:space="preserve"> </w:t>
      </w:r>
      <w:proofErr w:type="gramStart"/>
      <w:r w:rsidRPr="00520599">
        <w:rPr>
          <w:rFonts w:ascii="Constantia" w:hAnsi="Constantia"/>
          <w:sz w:val="22"/>
          <w:szCs w:val="22"/>
        </w:rPr>
        <w:t xml:space="preserve">Roth, Jeffrey, Jo Hendrickson, Max Schilling, and Daniel W. </w:t>
      </w:r>
      <w:proofErr w:type="spellStart"/>
      <w:r w:rsidRPr="00520599">
        <w:rPr>
          <w:rFonts w:ascii="Constantia" w:hAnsi="Constantia"/>
          <w:sz w:val="22"/>
          <w:szCs w:val="22"/>
        </w:rPr>
        <w:t>Stowell</w:t>
      </w:r>
      <w:proofErr w:type="spellEnd"/>
      <w:r w:rsidRPr="00520599">
        <w:rPr>
          <w:rFonts w:ascii="Constantia" w:hAnsi="Constantia"/>
          <w:sz w:val="22"/>
          <w:szCs w:val="22"/>
        </w:rPr>
        <w:t>.</w:t>
      </w:r>
      <w:proofErr w:type="gramEnd"/>
      <w:r w:rsidRPr="00520599">
        <w:rPr>
          <w:rFonts w:ascii="Constantia" w:hAnsi="Constantia"/>
          <w:sz w:val="22"/>
          <w:szCs w:val="22"/>
        </w:rPr>
        <w:t xml:space="preserve"> 1998. "The Risk of Teen Mothers Having Low Birth Weight Babies: Implications of Recent Medical Research for School Health Personnel". </w:t>
      </w:r>
      <w:proofErr w:type="gramStart"/>
      <w:r w:rsidRPr="00520599">
        <w:rPr>
          <w:rFonts w:ascii="Constantia" w:hAnsi="Constantia"/>
          <w:sz w:val="22"/>
          <w:szCs w:val="22"/>
        </w:rPr>
        <w:t>Journal of School Health.</w:t>
      </w:r>
      <w:proofErr w:type="gramEnd"/>
      <w:r w:rsidRPr="00520599">
        <w:rPr>
          <w:rFonts w:ascii="Constantia" w:hAnsi="Constantia"/>
          <w:sz w:val="22"/>
          <w:szCs w:val="22"/>
        </w:rPr>
        <w:t xml:space="preserve"> 68 (7): 271-275.</w:t>
      </w:r>
    </w:p>
    <w:p w:rsidR="00FF1D63" w:rsidRPr="00520599" w:rsidRDefault="00FF1D63">
      <w:pPr>
        <w:pStyle w:val="EndnoteText"/>
        <w:rPr>
          <w:rFonts w:ascii="Constantia" w:hAnsi="Constantia"/>
          <w:sz w:val="22"/>
          <w:szCs w:val="22"/>
        </w:rPr>
      </w:pPr>
    </w:p>
  </w:endnote>
  <w:endnote w:id="7">
    <w:p w:rsidR="00B71A05" w:rsidRPr="00520599" w:rsidRDefault="00B71A05">
      <w:pPr>
        <w:pStyle w:val="EndnoteText"/>
        <w:rPr>
          <w:rFonts w:ascii="Constantia" w:hAnsi="Constantia"/>
          <w:sz w:val="22"/>
          <w:szCs w:val="22"/>
        </w:rPr>
      </w:pPr>
      <w:r w:rsidRPr="00520599">
        <w:rPr>
          <w:rStyle w:val="EndnoteReference"/>
          <w:rFonts w:ascii="Constantia" w:hAnsi="Constantia"/>
          <w:sz w:val="22"/>
          <w:szCs w:val="22"/>
        </w:rPr>
        <w:endnoteRef/>
      </w:r>
      <w:r w:rsidRPr="00520599">
        <w:rPr>
          <w:rFonts w:ascii="Constantia" w:hAnsi="Constantia"/>
          <w:sz w:val="22"/>
          <w:szCs w:val="22"/>
        </w:rPr>
        <w:t xml:space="preserve"> </w:t>
      </w:r>
      <w:proofErr w:type="spellStart"/>
      <w:r w:rsidRPr="00520599">
        <w:rPr>
          <w:rFonts w:ascii="Constantia" w:hAnsi="Constantia"/>
          <w:sz w:val="22"/>
          <w:szCs w:val="22"/>
        </w:rPr>
        <w:t>Basch</w:t>
      </w:r>
      <w:proofErr w:type="spellEnd"/>
      <w:r w:rsidRPr="00520599">
        <w:rPr>
          <w:rFonts w:ascii="Constantia" w:hAnsi="Constantia"/>
          <w:sz w:val="22"/>
          <w:szCs w:val="22"/>
        </w:rPr>
        <w:t xml:space="preserve">, Charles E. 2011. "Teen Pregnancy and the Achievement Gap </w:t>
      </w:r>
      <w:proofErr w:type="gramStart"/>
      <w:r w:rsidRPr="00520599">
        <w:rPr>
          <w:rFonts w:ascii="Constantia" w:hAnsi="Constantia"/>
          <w:sz w:val="22"/>
          <w:szCs w:val="22"/>
        </w:rPr>
        <w:t>Among</w:t>
      </w:r>
      <w:proofErr w:type="gramEnd"/>
      <w:r w:rsidRPr="00520599">
        <w:rPr>
          <w:rFonts w:ascii="Constantia" w:hAnsi="Constantia"/>
          <w:sz w:val="22"/>
          <w:szCs w:val="22"/>
        </w:rPr>
        <w:t xml:space="preserve"> Urban Minority Youth". </w:t>
      </w:r>
      <w:proofErr w:type="gramStart"/>
      <w:r w:rsidRPr="00520599">
        <w:rPr>
          <w:rFonts w:ascii="Constantia" w:hAnsi="Constantia"/>
          <w:sz w:val="22"/>
          <w:szCs w:val="22"/>
        </w:rPr>
        <w:t>Journal of School Health.</w:t>
      </w:r>
      <w:proofErr w:type="gramEnd"/>
      <w:r w:rsidRPr="00520599">
        <w:rPr>
          <w:rFonts w:ascii="Constantia" w:hAnsi="Constantia"/>
          <w:sz w:val="22"/>
          <w:szCs w:val="22"/>
        </w:rPr>
        <w:t xml:space="preserve"> 81 (10): 614-618.</w:t>
      </w:r>
    </w:p>
    <w:p w:rsidR="00B71A05" w:rsidRPr="00520599" w:rsidRDefault="00B71A05">
      <w:pPr>
        <w:pStyle w:val="EndnoteText"/>
        <w:rPr>
          <w:rFonts w:ascii="Constantia" w:hAnsi="Constantia"/>
          <w:sz w:val="22"/>
          <w:szCs w:val="22"/>
        </w:rPr>
      </w:pPr>
    </w:p>
  </w:endnote>
  <w:endnote w:id="8">
    <w:p w:rsidR="008575C2" w:rsidRDefault="008575C2">
      <w:pPr>
        <w:pStyle w:val="EndnoteText"/>
        <w:rPr>
          <w:rFonts w:ascii="Constantia" w:eastAsia="Arial Unicode MS" w:hAnsi="Constantia" w:cs="Arial Unicode MS"/>
          <w:color w:val="000000"/>
          <w:sz w:val="22"/>
          <w:szCs w:val="22"/>
          <w:shd w:val="clear" w:color="auto" w:fill="FFFFFF"/>
        </w:rPr>
      </w:pPr>
      <w:r w:rsidRPr="00520599">
        <w:rPr>
          <w:rStyle w:val="EndnoteReference"/>
          <w:rFonts w:ascii="Constantia" w:hAnsi="Constantia"/>
          <w:sz w:val="22"/>
          <w:szCs w:val="22"/>
        </w:rPr>
        <w:endnoteRef/>
      </w:r>
      <w:r w:rsidRPr="00520599">
        <w:rPr>
          <w:rFonts w:ascii="Constantia" w:hAnsi="Constantia"/>
          <w:sz w:val="22"/>
          <w:szCs w:val="22"/>
        </w:rPr>
        <w:t xml:space="preserve"> </w:t>
      </w:r>
      <w:r w:rsidRPr="00520599">
        <w:rPr>
          <w:rFonts w:ascii="Constantia" w:eastAsia="Arial Unicode MS" w:hAnsi="Constantia" w:cs="Arial Unicode MS"/>
          <w:color w:val="000000"/>
          <w:sz w:val="22"/>
          <w:szCs w:val="22"/>
          <w:shd w:val="clear" w:color="auto" w:fill="FFFFFF"/>
        </w:rPr>
        <w:t xml:space="preserve">Walker </w:t>
      </w:r>
      <w:proofErr w:type="gramStart"/>
      <w:r w:rsidRPr="00520599">
        <w:rPr>
          <w:rFonts w:ascii="Constantia" w:eastAsia="Arial Unicode MS" w:hAnsi="Constantia" w:cs="Arial Unicode MS"/>
          <w:color w:val="000000"/>
          <w:sz w:val="22"/>
          <w:szCs w:val="22"/>
          <w:shd w:val="clear" w:color="auto" w:fill="FFFFFF"/>
        </w:rPr>
        <w:t>CK,</w:t>
      </w:r>
      <w:proofErr w:type="gramEnd"/>
      <w:r w:rsidRPr="00520599">
        <w:rPr>
          <w:rFonts w:ascii="Constantia" w:eastAsia="Arial Unicode MS" w:hAnsi="Constantia" w:cs="Arial Unicode MS"/>
          <w:color w:val="000000"/>
          <w:sz w:val="22"/>
          <w:szCs w:val="22"/>
          <w:shd w:val="clear" w:color="auto" w:fill="FFFFFF"/>
        </w:rPr>
        <w:t xml:space="preserve"> and RL Sweet. 2011. "Gonorrhea infection in women: prevalence, effects, screening, and management".</w:t>
      </w:r>
      <w:r w:rsidRPr="00520599">
        <w:rPr>
          <w:rStyle w:val="apple-converted-space"/>
          <w:rFonts w:ascii="Constantia" w:eastAsia="Arial Unicode MS" w:hAnsi="Constantia" w:cs="Arial Unicode MS"/>
          <w:color w:val="000000"/>
          <w:sz w:val="22"/>
          <w:szCs w:val="22"/>
          <w:shd w:val="clear" w:color="auto" w:fill="FFFFFF"/>
        </w:rPr>
        <w:t> </w:t>
      </w:r>
      <w:proofErr w:type="gramStart"/>
      <w:r w:rsidRPr="00520599">
        <w:rPr>
          <w:rFonts w:ascii="Constantia" w:eastAsia="Arial Unicode MS" w:hAnsi="Constantia" w:cs="Arial Unicode MS"/>
          <w:i/>
          <w:iCs/>
          <w:color w:val="000000"/>
          <w:sz w:val="22"/>
          <w:szCs w:val="22"/>
          <w:shd w:val="clear" w:color="auto" w:fill="FFFFFF"/>
        </w:rPr>
        <w:t>International Journal of Women's Health.</w:t>
      </w:r>
      <w:proofErr w:type="gramEnd"/>
      <w:r w:rsidRPr="00520599">
        <w:rPr>
          <w:rStyle w:val="apple-converted-space"/>
          <w:rFonts w:ascii="Constantia" w:eastAsia="Arial Unicode MS" w:hAnsi="Constantia" w:cs="Arial Unicode MS"/>
          <w:i/>
          <w:iCs/>
          <w:color w:val="000000"/>
          <w:sz w:val="22"/>
          <w:szCs w:val="22"/>
          <w:shd w:val="clear" w:color="auto" w:fill="FFFFFF"/>
        </w:rPr>
        <w:t> </w:t>
      </w:r>
      <w:r w:rsidRPr="00520599">
        <w:rPr>
          <w:rFonts w:ascii="Constantia" w:eastAsia="Arial Unicode MS" w:hAnsi="Constantia" w:cs="Arial Unicode MS"/>
          <w:color w:val="000000"/>
          <w:sz w:val="22"/>
          <w:szCs w:val="22"/>
          <w:shd w:val="clear" w:color="auto" w:fill="FFFFFF"/>
        </w:rPr>
        <w:t>3: 197-206.</w:t>
      </w:r>
    </w:p>
    <w:p w:rsidR="00520599" w:rsidRDefault="00520599">
      <w:pPr>
        <w:pStyle w:val="EndnoteText"/>
        <w:rPr>
          <w:rFonts w:ascii="Constantia" w:eastAsia="Arial Unicode MS" w:hAnsi="Constantia" w:cs="Arial Unicode MS"/>
          <w:color w:val="000000"/>
          <w:sz w:val="22"/>
          <w:szCs w:val="22"/>
          <w:shd w:val="clear" w:color="auto" w:fill="FFFFFF"/>
        </w:rPr>
      </w:pPr>
    </w:p>
    <w:p w:rsidR="00520599" w:rsidRDefault="00520599">
      <w:pPr>
        <w:pStyle w:val="EndnoteText"/>
      </w:pPr>
    </w:p>
    <w:p w:rsidR="00520599" w:rsidRPr="00520599" w:rsidRDefault="00520599" w:rsidP="00520599">
      <w:pPr>
        <w:rPr>
          <w:rFonts w:ascii="Constantia" w:hAnsi="Constantia"/>
          <w:b/>
        </w:rPr>
      </w:pPr>
      <w:r w:rsidRPr="00520599">
        <w:rPr>
          <w:rFonts w:ascii="Constantia" w:hAnsi="Constantia"/>
          <w:b/>
        </w:rPr>
        <w:t>SAS Output: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sort</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 xml:space="preserve"> = </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FF"/>
          <w:shd w:val="clear" w:color="auto" w:fill="FFFFFF"/>
        </w:rPr>
        <w:t>by</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NoDiploma</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means</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 xml:space="preserve"> = </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n</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min</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max</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mean</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FF"/>
          <w:shd w:val="clear" w:color="auto" w:fill="FFFFFF"/>
        </w:rPr>
        <w:t>std</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median</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Q1</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Q3</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Skew</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FF"/>
          <w:shd w:val="clear" w:color="auto" w:fill="FFFFFF"/>
        </w:rPr>
        <w:t>clm</w:t>
      </w:r>
      <w:proofErr w:type="spellEnd"/>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FF"/>
          <w:shd w:val="clear" w:color="auto" w:fill="FFFFFF"/>
        </w:rPr>
        <w:t>maxdec</w:t>
      </w:r>
      <w:proofErr w:type="spellEnd"/>
      <w:r w:rsidRPr="00520599">
        <w:rPr>
          <w:rFonts w:ascii="Constantia" w:hAnsi="Constantia" w:cs="Courier New"/>
          <w:color w:val="000000"/>
          <w:shd w:val="clear" w:color="auto" w:fill="FFFFFF"/>
        </w:rPr>
        <w:t xml:space="preserve"> = </w:t>
      </w:r>
      <w:r w:rsidRPr="00520599">
        <w:rPr>
          <w:rFonts w:ascii="Constantia" w:hAnsi="Constantia" w:cs="Courier New"/>
          <w:b/>
          <w:bCs/>
          <w:color w:val="008080"/>
          <w:shd w:val="clear" w:color="auto" w:fill="FFFFFF"/>
        </w:rPr>
        <w:t>1</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proofErr w:type="spellStart"/>
      <w:r w:rsidRPr="00520599">
        <w:rPr>
          <w:rFonts w:ascii="Constantia" w:hAnsi="Constantia" w:cs="Courier New"/>
          <w:color w:val="0000FF"/>
          <w:shd w:val="clear" w:color="auto" w:fill="FFFFFF"/>
        </w:rPr>
        <w:t>var</w:t>
      </w:r>
      <w:proofErr w:type="spellEnd"/>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LowBirthWt</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TeenBirthRt</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BrstCancer</w:t>
      </w:r>
      <w:proofErr w:type="spellEnd"/>
      <w:r w:rsidRPr="00520599">
        <w:rPr>
          <w:rFonts w:ascii="Constantia" w:hAnsi="Constantia" w:cs="Courier New"/>
          <w:color w:val="000000"/>
          <w:shd w:val="clear" w:color="auto" w:fill="FFFFFF"/>
        </w:rPr>
        <w:tab/>
        <w:t>Diabetes</w:t>
      </w:r>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FGonorrhea</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MGonorrhea</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NoDiploma</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b/>
          <w:bCs/>
          <w:color w:val="000080"/>
          <w:shd w:val="clear" w:color="auto" w:fill="FFFFFF"/>
        </w:rPr>
        <w:t>ttest</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 xml:space="preserve"> = </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FF"/>
          <w:shd w:val="clear" w:color="auto" w:fill="FFFFFF"/>
        </w:rPr>
        <w:t>Paired</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FGonorrhea</w:t>
      </w:r>
      <w:proofErr w:type="spellEnd"/>
      <w:r w:rsidRPr="00520599">
        <w:rPr>
          <w:rFonts w:ascii="Constantia" w:hAnsi="Constantia" w:cs="Courier New"/>
          <w:color w:val="000000"/>
          <w:shd w:val="clear" w:color="auto" w:fill="FFFFFF"/>
        </w:rPr>
        <w:t>*</w:t>
      </w:r>
      <w:proofErr w:type="spellStart"/>
      <w:r w:rsidRPr="00520599">
        <w:rPr>
          <w:rFonts w:ascii="Constantia" w:hAnsi="Constantia" w:cs="Courier New"/>
          <w:color w:val="000000"/>
          <w:shd w:val="clear" w:color="auto" w:fill="FFFFFF"/>
        </w:rPr>
        <w:t>MGonorrhea</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CORR</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NOSIMPLE</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FF"/>
          <w:shd w:val="clear" w:color="auto" w:fill="FFFFFF"/>
        </w:rPr>
        <w:t>TITLE</w:t>
      </w:r>
      <w:r w:rsidRPr="00520599">
        <w:rPr>
          <w:rFonts w:ascii="Constantia" w:hAnsi="Constantia" w:cs="Courier New"/>
          <w:color w:val="000000"/>
          <w:shd w:val="clear" w:color="auto" w:fill="FFFFFF"/>
        </w:rPr>
        <w:t xml:space="preserve"> </w:t>
      </w:r>
      <w:r w:rsidRPr="00520599">
        <w:rPr>
          <w:rFonts w:ascii="Constantia" w:hAnsi="Constantia" w:cs="Courier New"/>
          <w:color w:val="800080"/>
          <w:shd w:val="clear" w:color="auto" w:fill="FFFFFF"/>
        </w:rPr>
        <w:t>'Correlations between health indicators and education'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FF"/>
          <w:shd w:val="clear" w:color="auto" w:fill="FFFFFF"/>
        </w:rPr>
        <w:t>VAR</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TeenBirthRt</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BrstCancer</w:t>
      </w:r>
      <w:proofErr w:type="spellEnd"/>
      <w:r w:rsidRPr="00520599">
        <w:rPr>
          <w:rFonts w:ascii="Constantia" w:hAnsi="Constantia" w:cs="Courier New"/>
          <w:color w:val="000000"/>
          <w:shd w:val="clear" w:color="auto" w:fill="FFFFFF"/>
        </w:rPr>
        <w:tab/>
        <w:t>Diabetes</w:t>
      </w:r>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FGonorrhea</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NoDiploma</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CORR</w:t>
      </w: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NOSIMPLE</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ab/>
      </w:r>
      <w:r w:rsidRPr="00520599">
        <w:rPr>
          <w:rFonts w:ascii="Constantia" w:hAnsi="Constantia" w:cs="Courier New"/>
          <w:color w:val="0000FF"/>
          <w:shd w:val="clear" w:color="auto" w:fill="FFFFFF"/>
        </w:rPr>
        <w:t>TITLE</w:t>
      </w:r>
      <w:r w:rsidRPr="00520599">
        <w:rPr>
          <w:rFonts w:ascii="Constantia" w:hAnsi="Constantia" w:cs="Courier New"/>
          <w:color w:val="000000"/>
          <w:shd w:val="clear" w:color="auto" w:fill="FFFFFF"/>
        </w:rPr>
        <w:t xml:space="preserve"> </w:t>
      </w:r>
      <w:r w:rsidRPr="00520599">
        <w:rPr>
          <w:rFonts w:ascii="Constantia" w:hAnsi="Constantia" w:cs="Courier New"/>
          <w:color w:val="800080"/>
          <w:shd w:val="clear" w:color="auto" w:fill="FFFFFF"/>
        </w:rPr>
        <w:t>'Correlations between health and education, removing effects of poverty, dependency, and unemployment'</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ab/>
      </w:r>
      <w:r w:rsidRPr="00520599">
        <w:rPr>
          <w:rFonts w:ascii="Constantia" w:hAnsi="Constantia" w:cs="Courier New"/>
          <w:color w:val="0000FF"/>
          <w:shd w:val="clear" w:color="auto" w:fill="FFFFFF"/>
        </w:rPr>
        <w:t>VAR</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TeenBirthRt</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BrstCancer</w:t>
      </w:r>
      <w:proofErr w:type="spellEnd"/>
      <w:r w:rsidRPr="00520599">
        <w:rPr>
          <w:rFonts w:ascii="Constantia" w:hAnsi="Constantia" w:cs="Courier New"/>
          <w:color w:val="000000"/>
          <w:shd w:val="clear" w:color="auto" w:fill="FFFFFF"/>
        </w:rPr>
        <w:tab/>
        <w:t>Diabetes</w:t>
      </w:r>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FGonorrhea</w:t>
      </w:r>
      <w:proofErr w:type="spellEnd"/>
      <w:r w:rsidRPr="00520599">
        <w:rPr>
          <w:rFonts w:ascii="Constantia" w:hAnsi="Constantia" w:cs="Courier New"/>
          <w:color w:val="000000"/>
          <w:shd w:val="clear" w:color="auto" w:fill="FFFFFF"/>
        </w:rPr>
        <w:tab/>
      </w:r>
      <w:proofErr w:type="spellStart"/>
      <w:r w:rsidRPr="00520599">
        <w:rPr>
          <w:rFonts w:ascii="Constantia" w:hAnsi="Constantia" w:cs="Courier New"/>
          <w:color w:val="000000"/>
          <w:shd w:val="clear" w:color="auto" w:fill="FFFFFF"/>
        </w:rPr>
        <w:t>NoDiploma</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ab/>
      </w:r>
      <w:r w:rsidRPr="00520599">
        <w:rPr>
          <w:rFonts w:ascii="Constantia" w:hAnsi="Constantia" w:cs="Courier New"/>
          <w:color w:val="0000FF"/>
          <w:shd w:val="clear" w:color="auto" w:fill="FFFFFF"/>
        </w:rPr>
        <w:t>PARTIAL</w:t>
      </w:r>
      <w:r w:rsidRPr="00520599">
        <w:rPr>
          <w:rFonts w:ascii="Constantia" w:hAnsi="Constantia" w:cs="Courier New"/>
          <w:color w:val="000000"/>
          <w:shd w:val="clear" w:color="auto" w:fill="FFFFFF"/>
        </w:rPr>
        <w:t xml:space="preserve"> Poverty Dependency Unemployment; </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b/>
          <w:bCs/>
          <w:color w:val="000080"/>
          <w:shd w:val="clear" w:color="auto" w:fill="FFFFFF"/>
        </w:rPr>
        <w:t>proc</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b/>
          <w:bCs/>
          <w:color w:val="000080"/>
          <w:shd w:val="clear" w:color="auto" w:fill="FFFFFF"/>
        </w:rPr>
        <w:t>glm</w:t>
      </w:r>
      <w:proofErr w:type="spellEnd"/>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data</w:t>
      </w:r>
      <w:r w:rsidRPr="00520599">
        <w:rPr>
          <w:rFonts w:ascii="Constantia" w:hAnsi="Constantia" w:cs="Courier New"/>
          <w:color w:val="000000"/>
          <w:shd w:val="clear" w:color="auto" w:fill="FFFFFF"/>
        </w:rPr>
        <w:t>=</w:t>
      </w:r>
      <w:proofErr w:type="spellStart"/>
      <w:r w:rsidRPr="00520599">
        <w:rPr>
          <w:rFonts w:ascii="Constantia" w:hAnsi="Constantia" w:cs="Courier New"/>
          <w:color w:val="000000"/>
          <w:shd w:val="clear" w:color="auto" w:fill="FFFFFF"/>
        </w:rPr>
        <w:t>ChiHealth</w:t>
      </w:r>
      <w:proofErr w:type="spellEnd"/>
      <w:r w:rsidRPr="00520599">
        <w:rPr>
          <w:rFonts w:ascii="Constantia" w:hAnsi="Constantia" w:cs="Courier New"/>
          <w:color w:val="000000"/>
          <w:shd w:val="clear" w:color="auto" w:fill="FFFFFF"/>
        </w:rPr>
        <w:t>;</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class</w:t>
      </w:r>
      <w:r w:rsidRPr="00520599">
        <w:rPr>
          <w:rFonts w:ascii="Constantia" w:hAnsi="Constantia" w:cs="Courier New"/>
          <w:color w:val="000000"/>
          <w:shd w:val="clear" w:color="auto" w:fill="FFFFFF"/>
        </w:rPr>
        <w:t xml:space="preserve"> Region;</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 xml:space="preserve">      </w:t>
      </w:r>
      <w:r w:rsidRPr="00520599">
        <w:rPr>
          <w:rFonts w:ascii="Constantia" w:hAnsi="Constantia" w:cs="Courier New"/>
          <w:color w:val="0000FF"/>
          <w:shd w:val="clear" w:color="auto" w:fill="FFFFFF"/>
        </w:rPr>
        <w:t>model</w:t>
      </w:r>
      <w:r w:rsidRPr="00520599">
        <w:rPr>
          <w:rFonts w:ascii="Constantia" w:hAnsi="Constantia" w:cs="Courier New"/>
          <w:color w:val="000000"/>
          <w:shd w:val="clear" w:color="auto" w:fill="FFFFFF"/>
        </w:rPr>
        <w:t xml:space="preserve"> </w:t>
      </w:r>
      <w:proofErr w:type="spellStart"/>
      <w:r w:rsidRPr="00520599">
        <w:rPr>
          <w:rFonts w:ascii="Constantia" w:hAnsi="Constantia" w:cs="Courier New"/>
          <w:color w:val="000000"/>
          <w:shd w:val="clear" w:color="auto" w:fill="FFFFFF"/>
        </w:rPr>
        <w:t>NoDiploma</w:t>
      </w:r>
      <w:proofErr w:type="spellEnd"/>
      <w:r w:rsidRPr="00520599">
        <w:rPr>
          <w:rFonts w:ascii="Constantia" w:hAnsi="Constantia" w:cs="Courier New"/>
          <w:color w:val="000000"/>
          <w:shd w:val="clear" w:color="auto" w:fill="FFFFFF"/>
        </w:rPr>
        <w:t xml:space="preserve"> = Region;</w:t>
      </w:r>
    </w:p>
    <w:p w:rsidR="00520599" w:rsidRPr="00520599" w:rsidRDefault="00520599" w:rsidP="00520599">
      <w:pPr>
        <w:autoSpaceDE w:val="0"/>
        <w:autoSpaceDN w:val="0"/>
        <w:adjustRightInd w:val="0"/>
        <w:spacing w:after="0" w:line="240" w:lineRule="auto"/>
        <w:rPr>
          <w:rFonts w:ascii="Constantia" w:hAnsi="Constantia" w:cs="Courier New"/>
          <w:color w:val="000000"/>
          <w:shd w:val="clear" w:color="auto" w:fill="FFFFFF"/>
        </w:rPr>
      </w:pPr>
      <w:r w:rsidRPr="00520599">
        <w:rPr>
          <w:rFonts w:ascii="Constantia" w:hAnsi="Constantia" w:cs="Courier New"/>
          <w:color w:val="000000"/>
          <w:shd w:val="clear" w:color="auto" w:fill="FFFFFF"/>
        </w:rPr>
        <w:tab/>
        <w:t xml:space="preserve">  </w:t>
      </w:r>
      <w:r w:rsidRPr="00520599">
        <w:rPr>
          <w:rFonts w:ascii="Constantia" w:hAnsi="Constantia" w:cs="Courier New"/>
          <w:color w:val="0000FF"/>
          <w:shd w:val="clear" w:color="auto" w:fill="FFFFFF"/>
        </w:rPr>
        <w:t>means</w:t>
      </w:r>
      <w:r w:rsidRPr="00520599">
        <w:rPr>
          <w:rFonts w:ascii="Constantia" w:hAnsi="Constantia" w:cs="Courier New"/>
          <w:color w:val="000000"/>
          <w:shd w:val="clear" w:color="auto" w:fill="FFFFFF"/>
        </w:rPr>
        <w:t xml:space="preserve"> Region /</w:t>
      </w:r>
      <w:proofErr w:type="spellStart"/>
      <w:r w:rsidRPr="00520599">
        <w:rPr>
          <w:rFonts w:ascii="Constantia" w:hAnsi="Constantia" w:cs="Courier New"/>
          <w:color w:val="0000FF"/>
          <w:shd w:val="clear" w:color="auto" w:fill="FFFFFF"/>
        </w:rPr>
        <w:t>snk</w:t>
      </w:r>
      <w:proofErr w:type="spellEnd"/>
      <w:r w:rsidRPr="00520599">
        <w:rPr>
          <w:rFonts w:ascii="Constantia" w:hAnsi="Constantia" w:cs="Courier New"/>
          <w:color w:val="000000"/>
          <w:shd w:val="clear" w:color="auto" w:fill="FFFFFF"/>
        </w:rPr>
        <w:t>;</w:t>
      </w:r>
    </w:p>
    <w:p w:rsidR="00520599" w:rsidRPr="00520599" w:rsidRDefault="00520599" w:rsidP="00520599">
      <w:pPr>
        <w:rPr>
          <w:rFonts w:ascii="Constantia" w:hAnsi="Constantia"/>
        </w:rPr>
      </w:pPr>
      <w:r w:rsidRPr="00520599">
        <w:rPr>
          <w:rFonts w:ascii="Constantia" w:hAnsi="Constantia" w:cs="Courier New"/>
          <w:color w:val="000000"/>
          <w:shd w:val="clear" w:color="auto" w:fill="FFFFFF"/>
        </w:rPr>
        <w:t xml:space="preserve">   </w:t>
      </w:r>
      <w:r w:rsidRPr="00520599">
        <w:rPr>
          <w:rFonts w:ascii="Constantia" w:hAnsi="Constantia" w:cs="Courier New"/>
          <w:b/>
          <w:bCs/>
          <w:color w:val="000080"/>
          <w:shd w:val="clear" w:color="auto" w:fill="FFFFFF"/>
        </w:rPr>
        <w:t>run</w:t>
      </w:r>
      <w:r w:rsidRPr="00520599">
        <w:rPr>
          <w:rFonts w:ascii="Constantia" w:hAnsi="Constantia" w:cs="Courier New"/>
          <w:color w:val="000000"/>
          <w:shd w:val="clear" w:color="auto" w:fill="FFFFFF"/>
        </w:rPr>
        <w:t>;</w:t>
      </w:r>
    </w:p>
    <w:p w:rsidR="00520599" w:rsidRDefault="00520599">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3490532"/>
      <w:docPartObj>
        <w:docPartGallery w:val="Page Numbers (Bottom of Page)"/>
        <w:docPartUnique/>
      </w:docPartObj>
    </w:sdtPr>
    <w:sdtEndPr>
      <w:rPr>
        <w:noProof/>
      </w:rPr>
    </w:sdtEndPr>
    <w:sdtContent>
      <w:p w:rsidR="00F91498" w:rsidRDefault="00F91498">
        <w:pPr>
          <w:pStyle w:val="Footer"/>
          <w:jc w:val="center"/>
        </w:pPr>
        <w:r>
          <w:fldChar w:fldCharType="begin"/>
        </w:r>
        <w:r>
          <w:instrText xml:space="preserve"> PAGE   \* MERGEFORMAT </w:instrText>
        </w:r>
        <w:r>
          <w:fldChar w:fldCharType="separate"/>
        </w:r>
        <w:r w:rsidR="00E77D08">
          <w:rPr>
            <w:noProof/>
          </w:rPr>
          <w:t>10</w:t>
        </w:r>
        <w:r>
          <w:rPr>
            <w:noProof/>
          </w:rPr>
          <w:fldChar w:fldCharType="end"/>
        </w:r>
      </w:p>
    </w:sdtContent>
  </w:sdt>
  <w:p w:rsidR="00F91498" w:rsidRDefault="00F914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26811" w:rsidRDefault="00226811" w:rsidP="00582103">
      <w:pPr>
        <w:spacing w:after="0" w:line="240" w:lineRule="auto"/>
      </w:pPr>
      <w:r>
        <w:separator/>
      </w:r>
    </w:p>
  </w:footnote>
  <w:footnote w:type="continuationSeparator" w:id="0">
    <w:p w:rsidR="00226811" w:rsidRDefault="00226811" w:rsidP="005821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498" w:rsidRDefault="00F91498">
    <w:pPr>
      <w:pStyle w:val="Header"/>
    </w:pPr>
    <w:proofErr w:type="spellStart"/>
    <w:r>
      <w:t>Polishchuk</w:t>
    </w:r>
    <w:proofErr w:type="spellEnd"/>
    <w:r>
      <w:ptab w:relativeTo="margin" w:alignment="center" w:leader="none"/>
    </w:r>
    <w:r>
      <w:t>Final Presentation</w:t>
    </w:r>
    <w:r>
      <w:ptab w:relativeTo="margin" w:alignment="right" w:leader="none"/>
    </w:r>
    <w:r>
      <w:t>MAT 441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C61"/>
    <w:rsid w:val="000F301B"/>
    <w:rsid w:val="001956B3"/>
    <w:rsid w:val="001C11BE"/>
    <w:rsid w:val="00226811"/>
    <w:rsid w:val="002923FA"/>
    <w:rsid w:val="003B6850"/>
    <w:rsid w:val="003F5C7E"/>
    <w:rsid w:val="00473ED2"/>
    <w:rsid w:val="004F4918"/>
    <w:rsid w:val="00520599"/>
    <w:rsid w:val="005436BE"/>
    <w:rsid w:val="00582103"/>
    <w:rsid w:val="005C5DD7"/>
    <w:rsid w:val="005F68D5"/>
    <w:rsid w:val="0064439E"/>
    <w:rsid w:val="0066695E"/>
    <w:rsid w:val="00696613"/>
    <w:rsid w:val="006C182A"/>
    <w:rsid w:val="007638B3"/>
    <w:rsid w:val="0082048D"/>
    <w:rsid w:val="00836317"/>
    <w:rsid w:val="00854F29"/>
    <w:rsid w:val="008575C2"/>
    <w:rsid w:val="008714C6"/>
    <w:rsid w:val="008830EF"/>
    <w:rsid w:val="008D4B5B"/>
    <w:rsid w:val="008D7A06"/>
    <w:rsid w:val="00945E4A"/>
    <w:rsid w:val="00967E56"/>
    <w:rsid w:val="009B488A"/>
    <w:rsid w:val="009C09BF"/>
    <w:rsid w:val="009D2143"/>
    <w:rsid w:val="00B253E2"/>
    <w:rsid w:val="00B2630B"/>
    <w:rsid w:val="00B71A05"/>
    <w:rsid w:val="00BD760D"/>
    <w:rsid w:val="00BE7EDE"/>
    <w:rsid w:val="00CB48E3"/>
    <w:rsid w:val="00CD1C61"/>
    <w:rsid w:val="00CD6D1F"/>
    <w:rsid w:val="00CE4DF8"/>
    <w:rsid w:val="00D304DA"/>
    <w:rsid w:val="00D43FEC"/>
    <w:rsid w:val="00D8451E"/>
    <w:rsid w:val="00D92786"/>
    <w:rsid w:val="00E219CB"/>
    <w:rsid w:val="00E31AA0"/>
    <w:rsid w:val="00E77D08"/>
    <w:rsid w:val="00ED4C5C"/>
    <w:rsid w:val="00F77D2C"/>
    <w:rsid w:val="00F91498"/>
    <w:rsid w:val="00FF1D63"/>
    <w:rsid w:val="00F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48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2048D"/>
    <w:rPr>
      <w:i/>
      <w:iCs/>
    </w:rPr>
  </w:style>
  <w:style w:type="paragraph" w:styleId="Subtitle">
    <w:name w:val="Subtitle"/>
    <w:basedOn w:val="Normal"/>
    <w:next w:val="Normal"/>
    <w:link w:val="SubtitleChar"/>
    <w:uiPriority w:val="11"/>
    <w:qFormat/>
    <w:rsid w:val="0082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4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2048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E56"/>
    <w:rPr>
      <w:rFonts w:ascii="Tahoma" w:hAnsi="Tahoma" w:cs="Tahoma"/>
      <w:sz w:val="16"/>
      <w:szCs w:val="16"/>
    </w:rPr>
  </w:style>
  <w:style w:type="paragraph" w:styleId="Bibliography">
    <w:name w:val="Bibliography"/>
    <w:basedOn w:val="Normal"/>
    <w:next w:val="Normal"/>
    <w:uiPriority w:val="37"/>
    <w:unhideWhenUsed/>
    <w:rsid w:val="00967E56"/>
  </w:style>
  <w:style w:type="paragraph" w:styleId="FootnoteText">
    <w:name w:val="footnote text"/>
    <w:basedOn w:val="Normal"/>
    <w:link w:val="FootnoteTextChar"/>
    <w:uiPriority w:val="99"/>
    <w:semiHidden/>
    <w:unhideWhenUsed/>
    <w:rsid w:val="00582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2103"/>
    <w:rPr>
      <w:sz w:val="20"/>
      <w:szCs w:val="20"/>
    </w:rPr>
  </w:style>
  <w:style w:type="character" w:styleId="FootnoteReference">
    <w:name w:val="footnote reference"/>
    <w:basedOn w:val="DefaultParagraphFont"/>
    <w:uiPriority w:val="99"/>
    <w:semiHidden/>
    <w:unhideWhenUsed/>
    <w:rsid w:val="00582103"/>
    <w:rPr>
      <w:vertAlign w:val="superscript"/>
    </w:rPr>
  </w:style>
  <w:style w:type="paragraph" w:styleId="EndnoteText">
    <w:name w:val="endnote text"/>
    <w:basedOn w:val="Normal"/>
    <w:link w:val="EndnoteTextChar"/>
    <w:uiPriority w:val="99"/>
    <w:semiHidden/>
    <w:unhideWhenUsed/>
    <w:rsid w:val="005821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2103"/>
    <w:rPr>
      <w:sz w:val="20"/>
      <w:szCs w:val="20"/>
    </w:rPr>
  </w:style>
  <w:style w:type="character" w:styleId="EndnoteReference">
    <w:name w:val="endnote reference"/>
    <w:basedOn w:val="DefaultParagraphFont"/>
    <w:uiPriority w:val="99"/>
    <w:semiHidden/>
    <w:unhideWhenUsed/>
    <w:rsid w:val="00582103"/>
    <w:rPr>
      <w:vertAlign w:val="superscript"/>
    </w:rPr>
  </w:style>
  <w:style w:type="character" w:styleId="PlaceholderText">
    <w:name w:val="Placeholder Text"/>
    <w:basedOn w:val="DefaultParagraphFont"/>
    <w:uiPriority w:val="99"/>
    <w:semiHidden/>
    <w:rsid w:val="00FF1D63"/>
    <w:rPr>
      <w:color w:val="808080"/>
    </w:rPr>
  </w:style>
  <w:style w:type="character" w:customStyle="1" w:styleId="apple-converted-space">
    <w:name w:val="apple-converted-space"/>
    <w:basedOn w:val="DefaultParagraphFont"/>
    <w:rsid w:val="00D92786"/>
  </w:style>
  <w:style w:type="character" w:styleId="Hyperlink">
    <w:name w:val="Hyperlink"/>
    <w:basedOn w:val="DefaultParagraphFont"/>
    <w:uiPriority w:val="99"/>
    <w:unhideWhenUsed/>
    <w:rsid w:val="00F77D2C"/>
    <w:rPr>
      <w:color w:val="0000FF" w:themeColor="hyperlink"/>
      <w:u w:val="single"/>
    </w:rPr>
  </w:style>
  <w:style w:type="paragraph" w:styleId="Caption">
    <w:name w:val="caption"/>
    <w:basedOn w:val="Normal"/>
    <w:next w:val="Normal"/>
    <w:uiPriority w:val="35"/>
    <w:unhideWhenUsed/>
    <w:qFormat/>
    <w:rsid w:val="003F5C7E"/>
    <w:pPr>
      <w:spacing w:line="240" w:lineRule="auto"/>
    </w:pPr>
    <w:rPr>
      <w:b/>
      <w:bCs/>
      <w:color w:val="4F81BD" w:themeColor="accent1"/>
      <w:sz w:val="18"/>
      <w:szCs w:val="18"/>
    </w:rPr>
  </w:style>
  <w:style w:type="paragraph" w:styleId="Header">
    <w:name w:val="header"/>
    <w:basedOn w:val="Normal"/>
    <w:link w:val="HeaderChar"/>
    <w:uiPriority w:val="99"/>
    <w:unhideWhenUsed/>
    <w:rsid w:val="00F91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98"/>
  </w:style>
  <w:style w:type="paragraph" w:styleId="Footer">
    <w:name w:val="footer"/>
    <w:basedOn w:val="Normal"/>
    <w:link w:val="FooterChar"/>
    <w:uiPriority w:val="99"/>
    <w:unhideWhenUsed/>
    <w:rsid w:val="00F91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048D"/>
    <w:rPr>
      <w:rFonts w:asciiTheme="majorHAnsi" w:eastAsiaTheme="majorEastAsia" w:hAnsiTheme="majorHAnsi" w:cstheme="majorBidi"/>
      <w:color w:val="17365D" w:themeColor="text2" w:themeShade="BF"/>
      <w:spacing w:val="5"/>
      <w:kern w:val="28"/>
      <w:sz w:val="52"/>
      <w:szCs w:val="52"/>
    </w:rPr>
  </w:style>
  <w:style w:type="character" w:styleId="Emphasis">
    <w:name w:val="Emphasis"/>
    <w:basedOn w:val="DefaultParagraphFont"/>
    <w:uiPriority w:val="20"/>
    <w:qFormat/>
    <w:rsid w:val="0082048D"/>
    <w:rPr>
      <w:i/>
      <w:iCs/>
    </w:rPr>
  </w:style>
  <w:style w:type="paragraph" w:styleId="Subtitle">
    <w:name w:val="Subtitle"/>
    <w:basedOn w:val="Normal"/>
    <w:next w:val="Normal"/>
    <w:link w:val="SubtitleChar"/>
    <w:uiPriority w:val="11"/>
    <w:qFormat/>
    <w:rsid w:val="0082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2048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2048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967E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E56"/>
    <w:rPr>
      <w:rFonts w:ascii="Tahoma" w:hAnsi="Tahoma" w:cs="Tahoma"/>
      <w:sz w:val="16"/>
      <w:szCs w:val="16"/>
    </w:rPr>
  </w:style>
  <w:style w:type="paragraph" w:styleId="Bibliography">
    <w:name w:val="Bibliography"/>
    <w:basedOn w:val="Normal"/>
    <w:next w:val="Normal"/>
    <w:uiPriority w:val="37"/>
    <w:unhideWhenUsed/>
    <w:rsid w:val="00967E56"/>
  </w:style>
  <w:style w:type="paragraph" w:styleId="FootnoteText">
    <w:name w:val="footnote text"/>
    <w:basedOn w:val="Normal"/>
    <w:link w:val="FootnoteTextChar"/>
    <w:uiPriority w:val="99"/>
    <w:semiHidden/>
    <w:unhideWhenUsed/>
    <w:rsid w:val="005821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2103"/>
    <w:rPr>
      <w:sz w:val="20"/>
      <w:szCs w:val="20"/>
    </w:rPr>
  </w:style>
  <w:style w:type="character" w:styleId="FootnoteReference">
    <w:name w:val="footnote reference"/>
    <w:basedOn w:val="DefaultParagraphFont"/>
    <w:uiPriority w:val="99"/>
    <w:semiHidden/>
    <w:unhideWhenUsed/>
    <w:rsid w:val="00582103"/>
    <w:rPr>
      <w:vertAlign w:val="superscript"/>
    </w:rPr>
  </w:style>
  <w:style w:type="paragraph" w:styleId="EndnoteText">
    <w:name w:val="endnote text"/>
    <w:basedOn w:val="Normal"/>
    <w:link w:val="EndnoteTextChar"/>
    <w:uiPriority w:val="99"/>
    <w:semiHidden/>
    <w:unhideWhenUsed/>
    <w:rsid w:val="0058210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82103"/>
    <w:rPr>
      <w:sz w:val="20"/>
      <w:szCs w:val="20"/>
    </w:rPr>
  </w:style>
  <w:style w:type="character" w:styleId="EndnoteReference">
    <w:name w:val="endnote reference"/>
    <w:basedOn w:val="DefaultParagraphFont"/>
    <w:uiPriority w:val="99"/>
    <w:semiHidden/>
    <w:unhideWhenUsed/>
    <w:rsid w:val="00582103"/>
    <w:rPr>
      <w:vertAlign w:val="superscript"/>
    </w:rPr>
  </w:style>
  <w:style w:type="character" w:styleId="PlaceholderText">
    <w:name w:val="Placeholder Text"/>
    <w:basedOn w:val="DefaultParagraphFont"/>
    <w:uiPriority w:val="99"/>
    <w:semiHidden/>
    <w:rsid w:val="00FF1D63"/>
    <w:rPr>
      <w:color w:val="808080"/>
    </w:rPr>
  </w:style>
  <w:style w:type="character" w:customStyle="1" w:styleId="apple-converted-space">
    <w:name w:val="apple-converted-space"/>
    <w:basedOn w:val="DefaultParagraphFont"/>
    <w:rsid w:val="00D92786"/>
  </w:style>
  <w:style w:type="character" w:styleId="Hyperlink">
    <w:name w:val="Hyperlink"/>
    <w:basedOn w:val="DefaultParagraphFont"/>
    <w:uiPriority w:val="99"/>
    <w:unhideWhenUsed/>
    <w:rsid w:val="00F77D2C"/>
    <w:rPr>
      <w:color w:val="0000FF" w:themeColor="hyperlink"/>
      <w:u w:val="single"/>
    </w:rPr>
  </w:style>
  <w:style w:type="paragraph" w:styleId="Caption">
    <w:name w:val="caption"/>
    <w:basedOn w:val="Normal"/>
    <w:next w:val="Normal"/>
    <w:uiPriority w:val="35"/>
    <w:unhideWhenUsed/>
    <w:qFormat/>
    <w:rsid w:val="003F5C7E"/>
    <w:pPr>
      <w:spacing w:line="240" w:lineRule="auto"/>
    </w:pPr>
    <w:rPr>
      <w:b/>
      <w:bCs/>
      <w:color w:val="4F81BD" w:themeColor="accent1"/>
      <w:sz w:val="18"/>
      <w:szCs w:val="18"/>
    </w:rPr>
  </w:style>
  <w:style w:type="paragraph" w:styleId="Header">
    <w:name w:val="header"/>
    <w:basedOn w:val="Normal"/>
    <w:link w:val="HeaderChar"/>
    <w:uiPriority w:val="99"/>
    <w:unhideWhenUsed/>
    <w:rsid w:val="00F914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1498"/>
  </w:style>
  <w:style w:type="paragraph" w:styleId="Footer">
    <w:name w:val="footer"/>
    <w:basedOn w:val="Normal"/>
    <w:link w:val="FooterChar"/>
    <w:uiPriority w:val="99"/>
    <w:unhideWhenUsed/>
    <w:rsid w:val="00F914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14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9829142">
      <w:bodyDiv w:val="1"/>
      <w:marLeft w:val="0"/>
      <w:marRight w:val="0"/>
      <w:marTop w:val="0"/>
      <w:marBottom w:val="0"/>
      <w:divBdr>
        <w:top w:val="none" w:sz="0" w:space="0" w:color="auto"/>
        <w:left w:val="none" w:sz="0" w:space="0" w:color="auto"/>
        <w:bottom w:val="none" w:sz="0" w:space="0" w:color="auto"/>
        <w:right w:val="none" w:sz="0" w:space="0" w:color="auto"/>
      </w:divBdr>
      <w:divsChild>
        <w:div w:id="1555040724">
          <w:marLeft w:val="0"/>
          <w:marRight w:val="0"/>
          <w:marTop w:val="0"/>
          <w:marBottom w:val="0"/>
          <w:divBdr>
            <w:top w:val="none" w:sz="0" w:space="0" w:color="auto"/>
            <w:left w:val="none" w:sz="0" w:space="0" w:color="auto"/>
            <w:bottom w:val="none" w:sz="0" w:space="0" w:color="auto"/>
            <w:right w:val="none" w:sz="0" w:space="0" w:color="auto"/>
          </w:divBdr>
        </w:div>
      </w:divsChild>
    </w:div>
    <w:div w:id="663823072">
      <w:bodyDiv w:val="1"/>
      <w:marLeft w:val="0"/>
      <w:marRight w:val="0"/>
      <w:marTop w:val="0"/>
      <w:marBottom w:val="0"/>
      <w:divBdr>
        <w:top w:val="none" w:sz="0" w:space="0" w:color="auto"/>
        <w:left w:val="none" w:sz="0" w:space="0" w:color="auto"/>
        <w:bottom w:val="none" w:sz="0" w:space="0" w:color="auto"/>
        <w:right w:val="none" w:sz="0" w:space="0" w:color="auto"/>
      </w:divBdr>
      <w:divsChild>
        <w:div w:id="1395619826">
          <w:marLeft w:val="0"/>
          <w:marRight w:val="0"/>
          <w:marTop w:val="0"/>
          <w:marBottom w:val="0"/>
          <w:divBdr>
            <w:top w:val="none" w:sz="0" w:space="0" w:color="auto"/>
            <w:left w:val="none" w:sz="0" w:space="0" w:color="auto"/>
            <w:bottom w:val="none" w:sz="0" w:space="0" w:color="auto"/>
            <w:right w:val="none" w:sz="0" w:space="0" w:color="auto"/>
          </w:divBdr>
        </w:div>
      </w:divsChild>
    </w:div>
    <w:div w:id="1132673418">
      <w:bodyDiv w:val="1"/>
      <w:marLeft w:val="0"/>
      <w:marRight w:val="0"/>
      <w:marTop w:val="0"/>
      <w:marBottom w:val="0"/>
      <w:divBdr>
        <w:top w:val="none" w:sz="0" w:space="0" w:color="auto"/>
        <w:left w:val="none" w:sz="0" w:space="0" w:color="auto"/>
        <w:bottom w:val="none" w:sz="0" w:space="0" w:color="auto"/>
        <w:right w:val="none" w:sz="0" w:space="0" w:color="auto"/>
      </w:divBdr>
    </w:div>
    <w:div w:id="1348213179">
      <w:bodyDiv w:val="1"/>
      <w:marLeft w:val="0"/>
      <w:marRight w:val="0"/>
      <w:marTop w:val="0"/>
      <w:marBottom w:val="0"/>
      <w:divBdr>
        <w:top w:val="none" w:sz="0" w:space="0" w:color="auto"/>
        <w:left w:val="none" w:sz="0" w:space="0" w:color="auto"/>
        <w:bottom w:val="none" w:sz="0" w:space="0" w:color="auto"/>
        <w:right w:val="none" w:sz="0" w:space="0" w:color="auto"/>
      </w:divBdr>
      <w:divsChild>
        <w:div w:id="1147941019">
          <w:marLeft w:val="0"/>
          <w:marRight w:val="0"/>
          <w:marTop w:val="0"/>
          <w:marBottom w:val="0"/>
          <w:divBdr>
            <w:top w:val="none" w:sz="0" w:space="0" w:color="auto"/>
            <w:left w:val="none" w:sz="0" w:space="0" w:color="auto"/>
            <w:bottom w:val="none" w:sz="0" w:space="0" w:color="auto"/>
            <w:right w:val="none" w:sz="0" w:space="0" w:color="auto"/>
          </w:divBdr>
        </w:div>
      </w:divsChild>
    </w:div>
    <w:div w:id="1819569061">
      <w:bodyDiv w:val="1"/>
      <w:marLeft w:val="0"/>
      <w:marRight w:val="0"/>
      <w:marTop w:val="0"/>
      <w:marBottom w:val="0"/>
      <w:divBdr>
        <w:top w:val="none" w:sz="0" w:space="0" w:color="auto"/>
        <w:left w:val="none" w:sz="0" w:space="0" w:color="auto"/>
        <w:bottom w:val="none" w:sz="0" w:space="0" w:color="auto"/>
        <w:right w:val="none" w:sz="0" w:space="0" w:color="auto"/>
      </w:divBdr>
      <w:divsChild>
        <w:div w:id="19283429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ata.cityofchicago.org/api/assets/2107948F-357D-4ED7-ACC2-2E9266BBFFA2"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tantia">
    <w:panose1 w:val="02030602050306030303"/>
    <w:charset w:val="00"/>
    <w:family w:val="roman"/>
    <w:pitch w:val="variable"/>
    <w:sig w:usb0="A00002EF" w:usb1="400020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122"/>
    <w:rsid w:val="00152122"/>
    <w:rsid w:val="00DD5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AD6C8DE774EB6A60BF2C880397AA1">
    <w:name w:val="5F2AD6C8DE774EB6A60BF2C880397AA1"/>
    <w:rsid w:val="0015212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2AD6C8DE774EB6A60BF2C880397AA1">
    <w:name w:val="5F2AD6C8DE774EB6A60BF2C880397AA1"/>
    <w:rsid w:val="001521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1</b:Tag>
    <b:SourceType>JournalArticle</b:SourceType>
    <b:Guid>{87DBB5D8-5674-4DB7-8DA2-0C1332F82C32}</b:Guid>
    <b:Title>Does quality of care for cardiovascular disease and diabetes differ by gender for enrollees in managed care plans?</b:Title>
    <b:Year>2007</b:Year>
    <b:Author>
      <b:Author>
        <b:NameList>
          <b:Person>
            <b:Last>Bird CE</b:Last>
            <b:First>AM</b:First>
            <b:Middle>Fremont, AS Bierman, S Wickstrom, M Shah, T Rector, T Horstman, and JJ Escarce</b:Middle>
          </b:Person>
        </b:NameList>
      </b:Author>
    </b:Author>
    <b:JournalName>Women's Health Issues : Official Publication of the Jacobs Institute of Women's Health</b:JournalName>
    <b:Pages>17(3)</b:Pages>
    <b:RefOrder>1</b:RefOrder>
  </b:Source>
  <b:Source>
    <b:Tag>MobilityCDC</b:Tag>
    <b:SourceType>InternetSite</b:SourceType>
    <b:Guid>{CC417B49-57E3-438A-8D8D-5D857D521BA4}</b:Guid>
    <b:Title>Diabetes Public Health Resource</b:Title>
    <b:Year>2012</b:Year>
    <b:Author>
      <b:Author>
        <b:Corporate>Division of Diabetes Translation, National Center for Chronic Disease Prevention and Health Promotion</b:Corporate>
      </b:Author>
    </b:Author>
    <b:Month>December</b:Month>
    <b:Day>2</b:Day>
    <b:YearAccessed>2015</b:YearAccessed>
    <b:MonthAccessed>November</b:MonthAccessed>
    <b:DayAccessed>21</b:DayAccessed>
    <b:URL>http://www.cdc.gov.ezproxy.depaul.edu/diabetes/statistics/mobility/health_status/fig4.htm</b:URL>
    <b:RefOrder>2</b:RefOrder>
  </b:Source>
</b:Sources>
</file>

<file path=customXml/itemProps1.xml><?xml version="1.0" encoding="utf-8"?>
<ds:datastoreItem xmlns:ds="http://schemas.openxmlformats.org/officeDocument/2006/customXml" ds:itemID="{F8C01F89-A41E-4A2B-A456-C28310461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690</TotalTime>
  <Pages>10</Pages>
  <Words>3150</Words>
  <Characters>17959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Polishchuk</dc:creator>
  <cp:lastModifiedBy>Natasha Polishchuk</cp:lastModifiedBy>
  <cp:revision>13</cp:revision>
  <dcterms:created xsi:type="dcterms:W3CDTF">2015-11-21T17:31:00Z</dcterms:created>
  <dcterms:modified xsi:type="dcterms:W3CDTF">2015-11-22T20:38:00Z</dcterms:modified>
</cp:coreProperties>
</file>