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первого проекта состоит из 2 задач: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Создать модель для симуляции 3 скоррелированных между собой риск-факторов: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Мгновенная процентная ставка для валюты Рубль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Мгновенная процентная ставка для валюты Доллар США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Обменный курс Рубль-Доллар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симуляции процентных ставок использовать модель Кокса-Ингерсолла-Росса (CIR)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симуляции обменного курса использовать логарифмическую модель (будет дана на ближайшей лекции)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Симуляции провести для расчетной даты 10.12.2021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Необходимы комментарии - обоснования для выборов параметров моделей (волатильность, уровень среднего, скорость возврата к среднему и т.д.)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Выбор шага симуляции и количества симуляций обосновать (используя 2 задачу проекта)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симуляций могут быть выбраны </w:t>
      </w:r>
      <w:r w:rsidDel="00000000" w:rsidR="00000000" w:rsidRPr="00000000">
        <w:rPr>
          <w:b w:val="1"/>
          <w:rtl w:val="0"/>
        </w:rPr>
        <w:t xml:space="preserve">с обоснованиями</w:t>
      </w:r>
      <w:r w:rsidDel="00000000" w:rsidR="00000000" w:rsidRPr="00000000">
        <w:rPr>
          <w:rtl w:val="0"/>
        </w:rPr>
        <w:t xml:space="preserve"> за дополнительный балл и другие симуляционные модели, основанные на стохдиффурах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На основании симуляций динамики обменного курса для пары рубль-долллар оценить справедливую стоимость для продукта Range Accrual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прайсинга необходимо создать отдельный модуль, который будет принимать на вход список параметров продукта: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Верхняя граница диапазона (или ее отсутствие)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Нижняя граница диапазона (или ее отсутствие)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Номинал сделки (максимальную выплату, доступную в случае нахождения внутри диапазона в течение всего срока жизни сделки)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начала действия контракта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окончания действия контракта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Модуль прайсинга вызывает модель симуляции процентных ставок и обменного курса и принимает обратно симуляции с началом в дату начала действия контракта (для простоты считаем, что расчеты проводим в динь заключения). В качестве результата выдаем справедливую стоимость дериватива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