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🏨 INVESTMENT OPPORTUNITY: 63-Key Lifestyle Hotel in Athens Center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Epitome of Greek Hospitality &amp; Strategic Yield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PROJECT HIGHLIGHTS &amp; VISION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Status: Under Construction – A rare opportunity to shape a flagship asset.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Concept: Full-service lifestyle boutique hotel.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The "Wow" Factor: Signature 360° Rooftop Bar and Pool with direct, unobstructed views of the Acropolis and the Parthenon.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Key Asset: 64 spacious keys (25–36 sqm), Wellness &amp; SPA (300 sqm).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STRATEGIC LOCATION (LOGISTICS)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connectivity for high-end tourism and business: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Syntagma Square (City Heart): ~2.2 km (9 mins) – Elite shopping and Parliament.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Monastiraki Square: ~2 km (10 mins) – The soul of Athens' tourism.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Acropolis &amp; Parthenon: ~5.7 km (17 mins) – World-class heritage.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Port of Piraeus: ~14.3 km (26 mins) – Gateway to the Greek Islands.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Athens Airport (ATH): ~41.4 km (44 mins via Attiki Odos).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FINANCIAL MODEL &amp; ROI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extremely competitive entry point for a new-build asset: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Master Lease Terms: 35 years.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Rental Rate: €40,000 / month (only €625 per room).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Investment Incentive: 2-Year Rent Holiday (24 months free) – Effectively subsidizes the interior fit-out.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Fit-out Budget: Estimated $2.5M – $3.5M ($15k–$25k per key + SPA &amp; Rooftop infrastructure).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Revenue Potential: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Estimated Revenue (75% occ, ADR €120): €170,000 / month (Rooms only).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Net Profit Potential: ~€70,000 / month (Rooms) + $30k–$50k / month (Rooftop Bar &amp; SPA).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THE INVESTOR’S EDGE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Golden Visa Shield: Perfect vehicle for investors seeking EU residency for their team or families.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Asset Customization: The 2-year rent-free period allows for a world-class "Fit-out" (Electric, HVAC, Soundproofing, Design) without operational cash flow pressure.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High Resilience: 360° view properties in Athens center consistently outperform the market in ADR and occupancy.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