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Gastronomic hotel</w:t>
        <w:br w:type="textWrapping"/>
        <w:br w:type="textWrapping"/>
        <w:t xml:space="preserve">Location: Ioannina</w:t>
        <w:br w:type="textWrapping"/>
        <w:t xml:space="preserve">* Central Square Location: Situated on Afanon Iroon Square, the property benefits from maximum visibility and 24/7 pedestrian traffic.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* The Tech Hub Impact: Located just minutes away from major R&amp;D centers (TeamViewer, P&amp;I, Deloitte). High demand for premium studio rentals from IT professionals and expats.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 University Proximity: Constant demand for high-quality housing from the University of Ioannina’s academic community.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Description: A premium mixed-use investment opportunity located in one of Ioannina’s most vibrant commercial and residential districts. This asset combines high-yield retail spaces with a stabilized residential portfolio, offering both immediate cash flow and long-term capital appreciation in Greece’s rapidly growing "Tech Capital."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ROI: </w:t>
      </w:r>
      <w:r w:rsidDel="00000000" w:rsidR="00000000" w:rsidRPr="00000000">
        <w:rPr>
          <w:b w:val="1"/>
          <w:bCs w:val="1"/>
          <w:rtl w:val="0"/>
        </w:rPr>
        <w:t xml:space="preserve">up to 8.5%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Price: </w:t>
      </w:r>
      <w:r w:rsidDel="00000000" w:rsidR="00000000" w:rsidRPr="00000000">
        <w:rPr>
          <w:b w:val="1"/>
          <w:bCs w:val="1"/>
          <w:rtl w:val="0"/>
        </w:rPr>
        <w:t xml:space="preserve"> €660,000</w:t>
        <w:br w:type="textWrapping"/>
      </w:r>
      <w:r w:rsidDel="00000000" w:rsidR="00000000" w:rsidRPr="00000000">
        <w:rPr>
          <w:rtl w:val="0"/>
        </w:rPr>
        <w:t xml:space="preserve">Specs:  </w:t>
        <w:br w:type="textWrapping"/>
        <w:t xml:space="preserve">Projected Annual Rental Income: €48,000 – €56,000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Expected Net Yield (ROI): 7.2% – 8.5%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Capital Growth Potential: 15–20% over the next 3 years due to Ioannina's tech-driven real estate boom.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Advantages:</w:t>
        <w:br w:type="textWrapping"/>
        <w:t xml:space="preserve"> - Diversified Income: Low-risk profile with income split between institutional retail (OPAP), hospitality (Cafe/Restaurant), and residential.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-  The "Invisible" Asset: The 80 m² glass-enclosed pergola on the square provides massive additional usable space for the F&amp;B unit, significantly boosting rental value not reflected in standard sq.m pricing.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- 4-Season Yield: Unlike island properties, this city-center asset generates revenue 12 months a year.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Legal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Golden Visa Ready: The total investment of €660,000 qualifies for the Greek Golden Visa program (based on 2026 regulations for commercial-to-residential or strategic investments).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