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INVESTMENT TEASER: THE PAPAZOGLOU 11 MANSION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Asset Class: Trophy Real Estate / Listed Monument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Strategy: Value-Add Restoration &amp; Mixed-Use Conversion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11 Papazoglou St., Historic Trade Center, Ioannina, Greece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rare opportunity to acquire a freehold, detached historic mansion in the most prestigious commercial artery of Ioannina. This project offers a sophisticated "Value-Add" play: acquiring a listed monument at a strategic entry price and converting it into a flagship gastronomy destination and ultra-luxury lofts for the region's expanding IT elite.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PROPERTY ARCHITECTURE &amp; UNIQUE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Level | Area | Features | Strategic Potential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Ground Floor | 157 m² | High-visibility frontage | Can be unified into a 150 m² flagship venue.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Upper Floor | 270 m² | 4-meter ceilings, 2 fireplaces | Conversion into 3 Luxury Lofts (85-90 m² each).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Attic | 30 m² | Original structural charm | Integrated into the master suite or private studio.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Outdoor Zones | 200 m² | Private Backyard Garden | High-demand "Secret Garden" for premium F&amp;B.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The "X-Factor": The property features rare 4-meter ceilings and a 200 m² private courtyard—a combination that is virtually non-existent in the dense historic center of Ioannina.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INVESTMENT STRUCTURE (CAPEX)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Phase | Description | Estimated Budget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Acquisition | Property "As-Is" Purchase Price | €600,000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Closing Costs | Taxes, Notary, Legal, Registration (~10%) | €60,000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Restoration | Full structural &amp; interior refurbishment (Listed status) | €550,000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TOTAL CAPITAL | All-in Project Investment | €1,210,000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FINANCIAL PROJECTIONS (ROI &amp; ROE)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Annual Revenue Projection (Post-Renovation):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Residential: 3 Lofts x €900/month = €32,400/year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Commercial: Flagship Restaurant (Indoor + Garden) = €36,000/year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TOTAL GROSS INCOME: €68,400/year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Key Performance Metrics: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Net Rental Yield: 5.1% – 5.6% (Significantly higher than Athens prime assets).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Capital Appreciation: Estimated market value post-stabilization: €1,500,000+.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ROE (Return on Equity): With 50% leverage (Bank loan), expected ROE is 7.5% – 8.2%.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STRATEGIC INVESTMENT RATIONALE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The IT Hub Synergy: Ioannina is the "Tech Capital" of Greece (hosting TeamViewer, Deloitte, P&amp;I). There is an acute shortage of high-ceiling, character-rich lofts for high-earning tech executives.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Gastronomy Monopoly: The 200 m² private garden and wide sidewalk frontage allow for a unique restaurant concept that cannot be replicated in the historic district due to space constraints.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Inflation Hedge: Listed buildings in AAA locations are the ultimate inflation hedge. Their limited supply and cultural status ensure consistent value growth.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Golden Visa Eligible: The project comfortably meets and exceeds the investment thresholds for the Greek Golden Visa (Strategic Investment Tier).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CONTACT FOR DUE DILIGENCE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Full floor plans, heritage committee reports, and architectural surveys are available for review.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Olga Kononenko Independent Investment Expert | Epirus Portfolio Specialist WhatsApp: [Your Number]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Email: [Your Email]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