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INVESTMENT TEASER: THE TOSITSA HERITAGE SUITES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Asset Class: Fully Operational Boutique Hotel / Listed Monument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Location: 3 Tositsa St., Ioannina (100m from the Castle &amp; 100m from the Lake)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Move-in Ready / High-Yield Potential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rare opportunity to acquire a fully restored (2008–2013) stone-built mansion in the heart of Ioannina’s "Golden Triangle." While currently operated as a passive residential asset, this property is designed as a luxury boutique hotel. The investment case rests on Management Arbitrage: acquiring the asset at a residential valuation and unlocking double-digit returns through professional hospitality management.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PROPERTY ARCHITECTURE &amp; SPECS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Total Building Area: 343 m² on a 250.86 m² plot.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Structural Integrity: Traditional stone exterior with a modern reinforced concrete internal skeleton (fully earthquake-resistant).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Inventory: 6 high-end units.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* Ground Floor: Reception, lounge/breakfast area, and 2 boutique rooms.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* 1st &amp; 2nd Floors: 4 expansive Luxury Suites (48–57 m²) equipped with kitchens and living areas.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* Outdoor Area: Large private cobblestone courtyard for guest relaxation.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STRATEGIC LOCATION: THE "BEST OF BOTH WORLDS"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Unlike properties deep within the Castle walls, 3 Tositsa St. offers: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* Elite Proximity: Exactly 100 meters from the historic Castle gate and 100 meters from the prestigious lakefront promenade.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* Superior Logistics: Easier access for luxury transfers and luggage handling compared to restricted zones inside the walls.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 Lifestyle Hub: Surrounded by the city's top-rated restaurants and cultural landmarks.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THE BUSINESS CASE: UNLOCKING HIDDEN VALUE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property is currently underperforming due to a "passive" rental model: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* Current Model: Suites are rented long-term for only €400/month.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* Proposed Model: Transitioning to a professional 6-key Boutique Hotel.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Metric | Current Passive Model | Professional Hotel Model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Annual Gross Revenue | ~€37,200 | ~€194,500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Net Operating Income (NOI) | ~€33,000 | ~€116,700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Acquisition Price | €800,000 | €800,000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Net ROI (Cash) | ~4.2% | ~13.0%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5. RETURN ON EQUITY (ROE) ANALYSIS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Using a 50% Loan-to-Value (LTV) strategy, this asset becomes one of the highest-performing properties in the region: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* Investor Equity (Cash): €400,000 (Purchase) + €100,000 (Closing/Furniture) = €500,000.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* Bank Financing: €400,000 @ 4.5% interest.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* Net Cash Flow after Debt: €98,700/year.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&gt; TARGET ROE: 19.7%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 WHY INVEST NOW?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* Immediate Cash Flow: No renovation (CAPEX) required. Start operating on Day 1.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* IT Hub Demand: Perfect for the "Executive Stay" market driven by local tech giants (TeamViewer, Deloitte).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* Golden Visa Eligible: Fully compliant with the Greek Golden Visa investment thresholds.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* Limited Supply: Properties of this size and structural quality near the lake are exceptionally rare.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CONTACT FOR DUE DILIGENCE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Access to architectural plans, site surveys, and financial history is available for qualified investors.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Olga Kononenko Independent Investment Expert | Epirus Portfolio Specialist WhatsApp: [Your Number]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Email: [Your Email]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Would you like me to generate a consolidated "Investor Portfolio" overview that puts all three of your Ioannina properties on a single comparison slide?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