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42F2F9F" w14:textId="0025210B" w:rsidR="00B86341" w:rsidRPr="0035485C" w:rsidRDefault="00047CC9" w:rsidP="007C57E0">
      <w:pPr>
        <w:rPr>
          <w:sz w:val="48"/>
          <w:szCs w:val="48"/>
        </w:rPr>
      </w:pPr>
      <w:r w:rsidRPr="0035485C">
        <w:rPr>
          <w:sz w:val="48"/>
          <w:szCs w:val="48"/>
        </w:rPr>
        <w:t xml:space="preserve">Title of </w:t>
      </w:r>
      <w:r w:rsidR="0035485C" w:rsidRPr="0035485C">
        <w:rPr>
          <w:sz w:val="48"/>
          <w:szCs w:val="48"/>
        </w:rPr>
        <w:t>T</w:t>
      </w:r>
      <w:r w:rsidRPr="0035485C">
        <w:rPr>
          <w:sz w:val="48"/>
          <w:szCs w:val="48"/>
        </w:rPr>
        <w:t xml:space="preserve">he Research </w:t>
      </w:r>
      <w:r w:rsidR="0035485C" w:rsidRPr="0035485C">
        <w:rPr>
          <w:sz w:val="48"/>
          <w:szCs w:val="48"/>
        </w:rPr>
        <w:t>P</w:t>
      </w:r>
      <w:r w:rsidRPr="0035485C">
        <w:rPr>
          <w:sz w:val="48"/>
          <w:szCs w:val="48"/>
        </w:rPr>
        <w:t>aper</w:t>
      </w:r>
    </w:p>
    <w:p w14:paraId="6142C58B" w14:textId="77777777" w:rsidR="00A16CCD" w:rsidRDefault="00A16CCD" w:rsidP="007C57E0">
      <w:pPr>
        <w:rPr>
          <w:b/>
          <w:sz w:val="40"/>
          <w:szCs w:val="40"/>
        </w:rPr>
        <w:sectPr w:rsidR="00A16CCD">
          <w:headerReference w:type="default" r:id="rId8"/>
          <w:footerReference w:type="default" r:id="rId9"/>
          <w:pgSz w:w="12240" w:h="15840" w:code="1"/>
          <w:pgMar w:top="1080" w:right="893" w:bottom="1440" w:left="893" w:header="720" w:footer="720" w:gutter="0"/>
          <w:cols w:space="720"/>
          <w:docGrid w:linePitch="360"/>
        </w:sectPr>
      </w:pPr>
    </w:p>
    <w:p w14:paraId="59A15D15" w14:textId="77777777" w:rsidR="007C57E0" w:rsidRPr="00DC33FD" w:rsidRDefault="007C57E0" w:rsidP="00DC33FD">
      <w:pPr>
        <w:pStyle w:val="Affiliation"/>
        <w:rPr>
          <w:sz w:val="22"/>
          <w:szCs w:val="22"/>
        </w:rPr>
      </w:pPr>
    </w:p>
    <w:p w14:paraId="1E7CC493" w14:textId="77777777" w:rsidR="009303D9" w:rsidRPr="00DC33FD" w:rsidRDefault="009303D9" w:rsidP="00DC33FD">
      <w:pPr>
        <w:pStyle w:val="Affiliation"/>
        <w:rPr>
          <w:sz w:val="22"/>
          <w:szCs w:val="22"/>
        </w:rPr>
        <w:sectPr w:rsidR="009303D9" w:rsidRPr="00DC33FD" w:rsidSect="00A16CCD">
          <w:type w:val="continuous"/>
          <w:pgSz w:w="12240" w:h="15840" w:code="1"/>
          <w:pgMar w:top="1080" w:right="893" w:bottom="1440" w:left="893" w:header="720" w:footer="720" w:gutter="0"/>
          <w:cols w:space="720"/>
          <w:docGrid w:linePitch="360"/>
        </w:sectPr>
      </w:pPr>
    </w:p>
    <w:p w14:paraId="338DFBFE" w14:textId="0C17BEF8" w:rsidR="00A16CCD" w:rsidRPr="000D1FB7" w:rsidRDefault="00047CC9" w:rsidP="00A16CCD">
      <w:pPr>
        <w:pStyle w:val="Affiliation"/>
        <w:rPr>
          <w:sz w:val="22"/>
          <w:szCs w:val="22"/>
        </w:rPr>
      </w:pPr>
      <w:r>
        <w:rPr>
          <w:sz w:val="22"/>
          <w:szCs w:val="22"/>
        </w:rPr>
        <w:t>Author</w:t>
      </w:r>
      <w:r w:rsidRPr="0035485C">
        <w:rPr>
          <w:sz w:val="22"/>
          <w:szCs w:val="22"/>
          <w:vertAlign w:val="superscript"/>
        </w:rPr>
        <w:t>1</w:t>
      </w:r>
      <w:r>
        <w:rPr>
          <w:sz w:val="22"/>
          <w:szCs w:val="22"/>
        </w:rPr>
        <w:t>, Author</w:t>
      </w:r>
      <w:r w:rsidRPr="0035485C">
        <w:rPr>
          <w:sz w:val="22"/>
          <w:szCs w:val="22"/>
          <w:vertAlign w:val="superscript"/>
        </w:rPr>
        <w:t>2</w:t>
      </w:r>
      <w:r>
        <w:rPr>
          <w:sz w:val="22"/>
          <w:szCs w:val="22"/>
        </w:rPr>
        <w:t xml:space="preserve"> and Author</w:t>
      </w:r>
      <w:proofErr w:type="gramStart"/>
      <w:r w:rsidRPr="0035485C">
        <w:rPr>
          <w:sz w:val="22"/>
          <w:szCs w:val="22"/>
          <w:vertAlign w:val="superscript"/>
        </w:rPr>
        <w:t>3</w:t>
      </w:r>
      <w:r w:rsidR="0035485C">
        <w:rPr>
          <w:sz w:val="22"/>
          <w:szCs w:val="22"/>
          <w:vertAlign w:val="superscript"/>
        </w:rPr>
        <w:t>,</w:t>
      </w:r>
      <w:r w:rsidR="00A16CCD" w:rsidRPr="0035485C">
        <w:rPr>
          <w:sz w:val="22"/>
          <w:szCs w:val="22"/>
          <w:vertAlign w:val="superscript"/>
        </w:rPr>
        <w:t>*</w:t>
      </w:r>
      <w:proofErr w:type="gramEnd"/>
    </w:p>
    <w:p w14:paraId="690908C7" w14:textId="77777777" w:rsidR="003E0640" w:rsidRPr="000D1FB7" w:rsidRDefault="003E0640" w:rsidP="001864C8">
      <w:pPr>
        <w:pStyle w:val="Affiliation"/>
        <w:rPr>
          <w:sz w:val="22"/>
          <w:szCs w:val="22"/>
        </w:rPr>
      </w:pPr>
    </w:p>
    <w:p w14:paraId="1AA29B67" w14:textId="2DDB8571" w:rsidR="00975347" w:rsidRDefault="0035485C" w:rsidP="001864C8">
      <w:pPr>
        <w:pStyle w:val="Affiliation"/>
      </w:pPr>
      <w:r w:rsidRPr="0035485C">
        <w:rPr>
          <w:vertAlign w:val="superscript"/>
        </w:rPr>
        <w:t>1</w:t>
      </w:r>
      <w:r>
        <w:t xml:space="preserve">Affiliation of the author </w:t>
      </w:r>
      <w:r w:rsidR="00047CC9">
        <w:t>with address and pin code</w:t>
      </w:r>
    </w:p>
    <w:p w14:paraId="3EE414F7" w14:textId="6C6FE081" w:rsidR="00A16CCD" w:rsidRDefault="00A16CCD" w:rsidP="0035485C">
      <w:pPr>
        <w:pStyle w:val="Affiliation"/>
        <w:pBdr>
          <w:bottom w:val="single" w:sz="6" w:space="5" w:color="auto"/>
        </w:pBdr>
        <w:sectPr w:rsidR="00A16CCD" w:rsidSect="00A16CCD">
          <w:type w:val="continuous"/>
          <w:pgSz w:w="12240" w:h="15840" w:code="1"/>
          <w:pgMar w:top="1080" w:right="893" w:bottom="1440" w:left="893" w:header="720" w:footer="720" w:gutter="0"/>
          <w:cols w:space="720"/>
          <w:docGrid w:linePitch="360"/>
        </w:sectPr>
      </w:pPr>
      <w:r>
        <w:t>*</w:t>
      </w:r>
      <w:r w:rsidRPr="008435A6">
        <w:rPr>
          <w:i/>
          <w:iCs/>
        </w:rPr>
        <w:t>Corresponding author</w:t>
      </w:r>
      <w:r w:rsidR="0035485C">
        <w:t xml:space="preserve">: </w:t>
      </w:r>
      <w:r w:rsidR="0035485C" w:rsidRPr="005B520E">
        <w:t>e-</w:t>
      </w:r>
      <w:r w:rsidR="0035485C">
        <w:t>mail</w:t>
      </w:r>
      <w:r w:rsidR="0035485C">
        <w:t xml:space="preserve"> </w:t>
      </w:r>
      <w:r w:rsidR="0035485C">
        <w:t>of corresponding author</w:t>
      </w:r>
    </w:p>
    <w:p w14:paraId="43DDC7BE" w14:textId="77777777" w:rsidR="0035485C" w:rsidRDefault="0035485C" w:rsidP="00975347">
      <w:pPr>
        <w:pStyle w:val="Affiliation"/>
        <w:jc w:val="both"/>
      </w:pPr>
    </w:p>
    <w:p w14:paraId="10E046FE" w14:textId="77777777" w:rsidR="00563C89" w:rsidRDefault="00563C89" w:rsidP="00975347">
      <w:pPr>
        <w:pStyle w:val="Affiliation"/>
        <w:jc w:val="left"/>
      </w:pPr>
    </w:p>
    <w:p w14:paraId="07103E31" w14:textId="77777777" w:rsidR="00563C89" w:rsidRPr="005B520E" w:rsidRDefault="00563C89" w:rsidP="00975347">
      <w:pPr>
        <w:pStyle w:val="Affiliation"/>
        <w:jc w:val="left"/>
        <w:sectPr w:rsidR="00563C89" w:rsidRPr="005B520E">
          <w:type w:val="continuous"/>
          <w:pgSz w:w="12240" w:h="15840" w:code="1"/>
          <w:pgMar w:top="1080" w:right="893" w:bottom="1440" w:left="893" w:header="720" w:footer="720" w:gutter="0"/>
          <w:cols w:num="2" w:space="720" w:equalWidth="0">
            <w:col w:w="4701" w:space="720"/>
            <w:col w:w="4701"/>
          </w:cols>
          <w:docGrid w:linePitch="360"/>
        </w:sectPr>
      </w:pPr>
    </w:p>
    <w:p w14:paraId="152E8EF5" w14:textId="77777777" w:rsidR="009303D9" w:rsidRPr="005B520E" w:rsidRDefault="009303D9">
      <w:pPr>
        <w:pStyle w:val="Affiliation"/>
      </w:pPr>
    </w:p>
    <w:p w14:paraId="362F067A" w14:textId="77777777" w:rsidR="009303D9" w:rsidRPr="005B520E" w:rsidRDefault="009303D9">
      <w:pPr>
        <w:sectPr w:rsidR="009303D9" w:rsidRPr="005B520E">
          <w:type w:val="continuous"/>
          <w:pgSz w:w="12240" w:h="15840" w:code="1"/>
          <w:pgMar w:top="1080" w:right="893" w:bottom="1440" w:left="893" w:header="720" w:footer="720" w:gutter="0"/>
          <w:cols w:space="720"/>
          <w:docGrid w:linePitch="360"/>
        </w:sectPr>
      </w:pPr>
    </w:p>
    <w:p w14:paraId="45183602" w14:textId="22F4CF1E" w:rsidR="007C57E0" w:rsidRPr="005837FD" w:rsidRDefault="009303D9" w:rsidP="0035485C">
      <w:pPr>
        <w:spacing w:after="120" w:line="228" w:lineRule="auto"/>
        <w:jc w:val="both"/>
        <w:rPr>
          <w:b/>
          <w:sz w:val="18"/>
          <w:szCs w:val="18"/>
        </w:rPr>
      </w:pPr>
      <w:r w:rsidRPr="0035485C">
        <w:rPr>
          <w:b/>
        </w:rPr>
        <w:t>Abstract</w:t>
      </w:r>
      <w:r w:rsidR="0035485C">
        <w:rPr>
          <w:b/>
        </w:rPr>
        <w:t xml:space="preserve">: </w:t>
      </w:r>
      <w:r w:rsidR="008840F4" w:rsidRPr="0035485C">
        <w:rPr>
          <w:bCs/>
          <w:i/>
          <w:iCs/>
          <w:sz w:val="18"/>
          <w:szCs w:val="18"/>
        </w:rPr>
        <w:t>Various conceptions of Russian philosophy have led scholars to locate its start at different moments in history and with different individuals. However, few would dispute that there was a religious orientation to Russian thought prior to Peter the Great (around 1700) and that professional, secular philosophy—in which philosophical issues are considered on their own terms without explicit appeal to their utility—arose comparatively recently in the country's history.</w:t>
      </w:r>
    </w:p>
    <w:p w14:paraId="4CDCD3B3" w14:textId="77777777" w:rsidR="00272ADB" w:rsidRPr="005837FD" w:rsidRDefault="00272ADB" w:rsidP="007C57E0">
      <w:pPr>
        <w:ind w:firstLine="720"/>
        <w:jc w:val="both"/>
        <w:rPr>
          <w:b/>
          <w:sz w:val="18"/>
          <w:szCs w:val="18"/>
        </w:rPr>
      </w:pPr>
    </w:p>
    <w:p w14:paraId="4EB26639" w14:textId="322C2637" w:rsidR="009303D9" w:rsidRPr="005837FD" w:rsidRDefault="004D72B5" w:rsidP="006A17BD">
      <w:pPr>
        <w:pStyle w:val="Keywords"/>
        <w:ind w:firstLine="0"/>
      </w:pPr>
      <w:r w:rsidRPr="0035485C">
        <w:rPr>
          <w:i w:val="0"/>
          <w:iCs/>
        </w:rPr>
        <w:t>Keywords</w:t>
      </w:r>
      <w:r w:rsidR="0035485C">
        <w:rPr>
          <w:b w:val="0"/>
          <w:bCs w:val="0"/>
          <w:i w:val="0"/>
          <w:iCs/>
        </w:rPr>
        <w:t xml:space="preserve">:  </w:t>
      </w:r>
      <w:proofErr w:type="spellStart"/>
      <w:proofErr w:type="gramStart"/>
      <w:r w:rsidR="0035485C" w:rsidRPr="0035485C">
        <w:rPr>
          <w:b w:val="0"/>
          <w:bCs w:val="0"/>
          <w:i w:val="0"/>
          <w:iCs/>
        </w:rPr>
        <w:t>LASER</w:t>
      </w:r>
      <w:r w:rsidR="008840F4" w:rsidRPr="0035485C">
        <w:rPr>
          <w:b w:val="0"/>
          <w:bCs w:val="0"/>
          <w:i w:val="0"/>
          <w:iCs/>
        </w:rPr>
        <w:t>;</w:t>
      </w:r>
      <w:r w:rsidR="0035485C" w:rsidRPr="0035485C">
        <w:rPr>
          <w:b w:val="0"/>
          <w:bCs w:val="0"/>
          <w:i w:val="0"/>
          <w:iCs/>
        </w:rPr>
        <w:t>UV</w:t>
      </w:r>
      <w:proofErr w:type="gramEnd"/>
      <w:r w:rsidR="0035485C" w:rsidRPr="0035485C">
        <w:rPr>
          <w:b w:val="0"/>
          <w:bCs w:val="0"/>
          <w:i w:val="0"/>
          <w:iCs/>
        </w:rPr>
        <w:t>-vis;Nanopartciles</w:t>
      </w:r>
      <w:proofErr w:type="spellEnd"/>
      <w:r w:rsidR="006A17BD" w:rsidRPr="005837FD">
        <w:t xml:space="preserve"> </w:t>
      </w:r>
    </w:p>
    <w:p w14:paraId="2D087DA3" w14:textId="77777777" w:rsidR="00272ADB" w:rsidRPr="004D72B5" w:rsidRDefault="00272ADB" w:rsidP="00972203">
      <w:pPr>
        <w:pStyle w:val="Keywords"/>
      </w:pPr>
    </w:p>
    <w:p w14:paraId="39C8A364" w14:textId="77777777" w:rsidR="00B86341" w:rsidRPr="00B86341" w:rsidRDefault="00B86341" w:rsidP="001864C8">
      <w:pPr>
        <w:pStyle w:val="ListParagraph"/>
        <w:numPr>
          <w:ilvl w:val="0"/>
          <w:numId w:val="27"/>
        </w:numPr>
        <w:spacing w:after="120" w:line="360" w:lineRule="auto"/>
        <w:jc w:val="center"/>
        <w:rPr>
          <w:rFonts w:ascii="Times New Roman" w:hAnsi="Times New Roman"/>
          <w:sz w:val="20"/>
          <w:szCs w:val="20"/>
        </w:rPr>
      </w:pPr>
      <w:r w:rsidRPr="00B86341">
        <w:rPr>
          <w:rFonts w:ascii="Times New Roman" w:hAnsi="Times New Roman"/>
          <w:sz w:val="20"/>
          <w:szCs w:val="20"/>
        </w:rPr>
        <w:t>INTRODUCTION</w:t>
      </w:r>
    </w:p>
    <w:p w14:paraId="6131109D" w14:textId="709FE86C" w:rsidR="007C57E0" w:rsidRPr="00B86341" w:rsidRDefault="008840F4" w:rsidP="00DC33FD">
      <w:pPr>
        <w:spacing w:after="120"/>
        <w:ind w:firstLine="288"/>
        <w:jc w:val="both"/>
      </w:pPr>
      <w:r w:rsidRPr="00DC33FD">
        <w:t xml:space="preserve">Others, particularly ethnic Russians, alarmed by what they took to be Masaryk's implicit denigration of their intellectual character, have denied that Russian philosophy suffered from a veritable absence of epistemological inquiry. For N. </w:t>
      </w:r>
      <w:proofErr w:type="spellStart"/>
      <w:r w:rsidRPr="00DC33FD">
        <w:t>Lossky</w:t>
      </w:r>
      <w:proofErr w:type="spellEnd"/>
      <w:r w:rsidRPr="00DC33FD">
        <w:t xml:space="preserve"> (1870-1965.This, together with a prevalent epistemological view that externality is knowable—and indeed through an immediate grasping or intuition—has given Russian philosophy a form distinct from much of modern Western philosophy</w:t>
      </w:r>
      <w:r w:rsidR="0035485C">
        <w:t xml:space="preserve"> </w:t>
      </w:r>
      <w:r w:rsidRPr="0035485C">
        <w:rPr>
          <w:color w:val="5D64F0"/>
        </w:rPr>
        <w:t>[1]</w:t>
      </w:r>
      <w:r w:rsidRPr="00DC33FD">
        <w:t>. Nevertheless, the relatively late emergence of independent Russian philosophical thought was a result of the medieval "Tatar yoke" and of the subsequent cultural isolation of Russia until Peter the Great's opening to the West</w:t>
      </w:r>
      <w:r w:rsidR="0035485C">
        <w:t xml:space="preserve"> </w:t>
      </w:r>
      <w:r w:rsidR="0035485C" w:rsidRPr="0035485C">
        <w:rPr>
          <w:color w:val="5D64F0"/>
        </w:rPr>
        <w:t>[</w:t>
      </w:r>
      <w:r w:rsidR="0035485C">
        <w:rPr>
          <w:color w:val="5D64F0"/>
        </w:rPr>
        <w:t>2</w:t>
      </w:r>
      <w:r w:rsidR="0035485C" w:rsidRPr="0035485C">
        <w:rPr>
          <w:color w:val="5D64F0"/>
        </w:rPr>
        <w:t>]</w:t>
      </w:r>
      <w:r w:rsidRPr="00DC33FD">
        <w:t xml:space="preserve">. Even then, Russian thought remained heavily indebted to developments in Germany until the emergence of 19th century Slavophilism with I. </w:t>
      </w:r>
      <w:proofErr w:type="spellStart"/>
      <w:r w:rsidRPr="00DC33FD">
        <w:t>Kireyevsky</w:t>
      </w:r>
      <w:proofErr w:type="spellEnd"/>
      <w:r w:rsidRPr="00DC33FD">
        <w:t xml:space="preserve"> (1806-56) and A. </w:t>
      </w:r>
      <w:proofErr w:type="spellStart"/>
      <w:r w:rsidRPr="00DC33FD">
        <w:t>Khomiakov</w:t>
      </w:r>
      <w:proofErr w:type="spellEnd"/>
      <w:r w:rsidRPr="00DC33FD">
        <w:t>.</w:t>
      </w:r>
    </w:p>
    <w:p w14:paraId="32573658" w14:textId="77777777" w:rsidR="00B86341" w:rsidRPr="00B86341" w:rsidRDefault="00B86341" w:rsidP="001864C8">
      <w:pPr>
        <w:pStyle w:val="ListParagraph"/>
        <w:numPr>
          <w:ilvl w:val="0"/>
          <w:numId w:val="27"/>
        </w:numPr>
        <w:spacing w:after="120" w:line="240" w:lineRule="auto"/>
        <w:jc w:val="center"/>
        <w:rPr>
          <w:rFonts w:ascii="Times New Roman" w:hAnsi="Times New Roman"/>
          <w:sz w:val="20"/>
          <w:szCs w:val="20"/>
        </w:rPr>
      </w:pPr>
      <w:r w:rsidRPr="00B86341">
        <w:rPr>
          <w:rFonts w:ascii="Times New Roman" w:hAnsi="Times New Roman"/>
          <w:sz w:val="20"/>
          <w:szCs w:val="20"/>
        </w:rPr>
        <w:t>EXPERIMENTAL</w:t>
      </w:r>
    </w:p>
    <w:p w14:paraId="56CCA99B" w14:textId="77777777" w:rsidR="00B86341" w:rsidRPr="00DC33FD" w:rsidRDefault="00022C57" w:rsidP="0022045E">
      <w:pPr>
        <w:spacing w:after="120"/>
        <w:ind w:firstLine="288"/>
        <w:jc w:val="both"/>
      </w:pPr>
      <w:r w:rsidRPr="00DC33FD">
        <w:t xml:space="preserve">How precisely to subdivide the history of Russian philosophy has also been a subject of some controversy. In his pioneering study from 1898, A. </w:t>
      </w:r>
      <w:proofErr w:type="spellStart"/>
      <w:r w:rsidRPr="00DC33FD">
        <w:t>Vvedensky</w:t>
      </w:r>
      <w:proofErr w:type="spellEnd"/>
      <w:r w:rsidRPr="00DC33FD">
        <w:t xml:space="preserve"> (see below), Russia's foremost neo-Kantian, found three periods up to his time. Of course, in light of 20th century events his list must be revisited, reexamined, and expanded. We can readily discern five periods in Russian philosophy, the last of which is still too recent to characterize. Unlike most major nations, specific extra-philosophical (namely, political) events clearly played a major role, if not the sole role, in terminating a period.</w:t>
      </w:r>
    </w:p>
    <w:p w14:paraId="04937EC5" w14:textId="77777777" w:rsidR="00022C57" w:rsidRPr="00B86341" w:rsidRDefault="00022C57" w:rsidP="0022045E">
      <w:pPr>
        <w:spacing w:after="120"/>
        <w:ind w:firstLine="288"/>
        <w:jc w:val="both"/>
      </w:pPr>
    </w:p>
    <w:p w14:paraId="29730EC7" w14:textId="77777777" w:rsidR="00B86341" w:rsidRPr="00DC33FD" w:rsidRDefault="000D6B78" w:rsidP="001864C8">
      <w:pPr>
        <w:pStyle w:val="ListParagraph"/>
        <w:numPr>
          <w:ilvl w:val="0"/>
          <w:numId w:val="27"/>
        </w:numPr>
        <w:spacing w:after="120" w:line="240" w:lineRule="auto"/>
        <w:jc w:val="center"/>
        <w:rPr>
          <w:rFonts w:ascii="Times New Roman" w:eastAsia="SimSun" w:hAnsi="Times New Roman"/>
          <w:sz w:val="20"/>
          <w:szCs w:val="20"/>
        </w:rPr>
      </w:pPr>
      <w:r w:rsidRPr="00DC33FD">
        <w:rPr>
          <w:rFonts w:ascii="Times New Roman" w:eastAsia="SimSun" w:hAnsi="Times New Roman"/>
          <w:sz w:val="20"/>
          <w:szCs w:val="20"/>
        </w:rPr>
        <w:t>RESULTS AND DISCUSSIONS</w:t>
      </w:r>
    </w:p>
    <w:p w14:paraId="3E0ABF83" w14:textId="6D1EC1E2" w:rsidR="005C3AB7" w:rsidRDefault="00D0446F" w:rsidP="00EE2A95">
      <w:pPr>
        <w:spacing w:after="120" w:line="228" w:lineRule="auto"/>
        <w:ind w:firstLine="289"/>
        <w:jc w:val="both"/>
      </w:pPr>
      <w:r>
        <w:t xml:space="preserve">XRD pattern </w:t>
      </w:r>
      <w:r w:rsidR="00B86341" w:rsidRPr="00B86341">
        <w:t xml:space="preserve">of the samples were analyzed to verify the phase and structural </w:t>
      </w:r>
      <w:r>
        <w:t>features</w:t>
      </w:r>
      <w:r w:rsidR="00B86341" w:rsidRPr="00B86341">
        <w:t xml:space="preserve">.  Figure 1.a shows the XRD </w:t>
      </w:r>
      <w:r w:rsidR="00B86341" w:rsidRPr="00B86341">
        <w:t xml:space="preserve">pattern of the samples. The intense and sharp diffraction peaks </w:t>
      </w:r>
      <w:r w:rsidR="0035485C" w:rsidRPr="00B86341">
        <w:t>indicate</w:t>
      </w:r>
      <w:r w:rsidR="00B86341" w:rsidRPr="00B86341">
        <w:t xml:space="preserve"> that the samples are highly crystalline.</w:t>
      </w:r>
      <w:r w:rsidR="00281F95">
        <w:t xml:space="preserve">  All</w:t>
      </w:r>
      <w:r w:rsidR="00B86341" w:rsidRPr="00B86341">
        <w:t xml:space="preserve"> peaks are indexed with standard ICDD data (</w:t>
      </w:r>
      <w:r w:rsidR="00453F4E">
        <w:t>card no</w:t>
      </w:r>
      <w:r w:rsidR="00B86341" w:rsidRPr="00B86341">
        <w:t xml:space="preserve">. 00-010-0173) and </w:t>
      </w:r>
      <w:r w:rsidR="00453F4E">
        <w:t xml:space="preserve">confirmed that </w:t>
      </w:r>
      <w:r w:rsidR="00281F95">
        <w:t xml:space="preserve">alpha phase </w:t>
      </w:r>
      <w:r w:rsidR="00453F4E">
        <w:t xml:space="preserve">with </w:t>
      </w:r>
      <w:r w:rsidR="00B86341" w:rsidRPr="00B86341">
        <w:t>R-3c</w:t>
      </w:r>
      <w:r w:rsidR="00281F95">
        <w:t xml:space="preserve"> space group</w:t>
      </w:r>
      <w:r w:rsidR="00453F4E">
        <w:t xml:space="preserve"> is formed</w:t>
      </w:r>
      <w:r w:rsidR="00B86341" w:rsidRPr="00B86341">
        <w:t xml:space="preserve">. </w:t>
      </w:r>
      <w:r w:rsidR="00453F4E">
        <w:t xml:space="preserve">It was also noted that </w:t>
      </w:r>
      <w:r w:rsidR="00B86341" w:rsidRPr="00B86341">
        <w:t xml:space="preserve">with decreasing Cr concentration, all the diffraction peaks </w:t>
      </w:r>
      <w:r w:rsidR="0035485C" w:rsidRPr="00B86341">
        <w:t>shift</w:t>
      </w:r>
      <w:r w:rsidR="00B86341" w:rsidRPr="00B86341">
        <w:t xml:space="preserve"> to the higher 2θ angle.  This </w:t>
      </w:r>
      <w:r w:rsidR="00453F4E">
        <w:t xml:space="preserve">is </w:t>
      </w:r>
      <w:r w:rsidR="00B86341" w:rsidRPr="00B86341">
        <w:t xml:space="preserve">more obvious in Figure 1.b, where the </w:t>
      </w:r>
      <w:r w:rsidR="00453F4E">
        <w:t xml:space="preserve">peak corresponding to </w:t>
      </w:r>
      <w:r w:rsidR="00B86341" w:rsidRPr="00B86341">
        <w:t xml:space="preserve">plane (113) </w:t>
      </w:r>
      <w:r w:rsidR="00453F4E">
        <w:t xml:space="preserve">clearly shifts </w:t>
      </w:r>
      <w:r w:rsidR="00B86341" w:rsidRPr="00B86341">
        <w:t xml:space="preserve">to higher angle </w:t>
      </w:r>
      <w:r w:rsidR="00453F4E">
        <w:t xml:space="preserve">with decrease in Cr concentration.  </w:t>
      </w:r>
      <w:r w:rsidR="00B86341" w:rsidRPr="00B86341">
        <w:t>This regular shrinkage of lattice cell implies that the concentration of Cr</w:t>
      </w:r>
      <w:r w:rsidR="00B86341" w:rsidRPr="0035485C">
        <w:rPr>
          <w:vertAlign w:val="superscript"/>
        </w:rPr>
        <w:t>3+</w:t>
      </w:r>
      <w:r w:rsidR="00B86341" w:rsidRPr="00B86341">
        <w:t xml:space="preserve"> ions in the starting sol</w:t>
      </w:r>
      <w:r w:rsidR="00453F4E">
        <w:t xml:space="preserve"> </w:t>
      </w:r>
      <w:r w:rsidR="005C3AB7">
        <w:t xml:space="preserve">affects the thermodynamics of the crystal growth process and manifest as a change in </w:t>
      </w:r>
      <w:r w:rsidR="00453F4E">
        <w:t>lattice constants.</w:t>
      </w:r>
      <w:r w:rsidR="00B86341" w:rsidRPr="00B86341">
        <w:t xml:space="preserve"> </w:t>
      </w:r>
    </w:p>
    <w:p w14:paraId="3D61C88D" w14:textId="77777777" w:rsidR="00C33877" w:rsidRDefault="00C33877" w:rsidP="00EE2A95">
      <w:pPr>
        <w:keepNext/>
        <w:spacing w:after="120"/>
        <w:ind w:firstLine="288"/>
      </w:pPr>
    </w:p>
    <w:p w14:paraId="6B579965" w14:textId="1707FFA1" w:rsidR="007045CC" w:rsidRDefault="00A43D66" w:rsidP="007045CC">
      <w:pPr>
        <w:keepNext/>
      </w:pPr>
      <w:r>
        <w:rPr>
          <w:noProof/>
        </w:rPr>
        <w:object w:dxaOrig="6105" w:dyaOrig="4683" w14:anchorId="5CF751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3in;height:152.6pt;mso-width-percent:0;mso-height-percent:0;mso-width-percent:0;mso-height-percent:0" o:ole="">
            <v:imagedata r:id="rId10" o:title="" croptop="5397f" cropbottom="1890f" cropleft="6602f" cropright="5636f"/>
          </v:shape>
          <o:OLEObject Type="Embed" ProgID="Origin50.Graph" ShapeID="_x0000_i1025" DrawAspect="Content" ObjectID="_1641282267" r:id="rId11"/>
        </w:object>
      </w:r>
      <w:bookmarkStart w:id="0" w:name="_GoBack"/>
      <w:bookmarkEnd w:id="0"/>
    </w:p>
    <w:p w14:paraId="1AA49F2C" w14:textId="77777777" w:rsidR="007045CC" w:rsidRPr="007045CC" w:rsidRDefault="007045CC" w:rsidP="003E210A">
      <w:pPr>
        <w:pStyle w:val="Caption"/>
        <w:jc w:val="both"/>
        <w:rPr>
          <w:rFonts w:ascii="Times New Roman" w:hAnsi="Times New Roman"/>
          <w:i w:val="0"/>
          <w:color w:val="auto"/>
          <w:sz w:val="16"/>
          <w:szCs w:val="16"/>
        </w:rPr>
      </w:pPr>
      <w:r w:rsidRPr="007045CC">
        <w:rPr>
          <w:rFonts w:ascii="Times New Roman" w:hAnsi="Times New Roman"/>
          <w:b/>
          <w:i w:val="0"/>
          <w:color w:val="auto"/>
          <w:sz w:val="16"/>
          <w:szCs w:val="16"/>
        </w:rPr>
        <w:t xml:space="preserve">Figure </w:t>
      </w:r>
      <w:r w:rsidR="00345C9E">
        <w:rPr>
          <w:rFonts w:ascii="Times New Roman" w:hAnsi="Times New Roman"/>
          <w:b/>
          <w:i w:val="0"/>
          <w:color w:val="auto"/>
          <w:sz w:val="16"/>
          <w:szCs w:val="16"/>
        </w:rPr>
        <w:t>1</w:t>
      </w:r>
      <w:r>
        <w:rPr>
          <w:rFonts w:ascii="Times New Roman" w:hAnsi="Times New Roman"/>
          <w:b/>
          <w:i w:val="0"/>
          <w:color w:val="auto"/>
          <w:sz w:val="16"/>
          <w:szCs w:val="16"/>
        </w:rPr>
        <w:t xml:space="preserve">. a) </w:t>
      </w:r>
      <w:r w:rsidRPr="007045CC">
        <w:rPr>
          <w:rFonts w:ascii="Times New Roman" w:hAnsi="Times New Roman"/>
          <w:i w:val="0"/>
          <w:color w:val="auto"/>
          <w:sz w:val="16"/>
          <w:szCs w:val="16"/>
        </w:rPr>
        <w:t xml:space="preserve">Defect level transition for </w:t>
      </w:r>
      <w:r w:rsidR="003E210A">
        <w:rPr>
          <w:rFonts w:ascii="Times New Roman" w:hAnsi="Times New Roman"/>
          <w:i w:val="0"/>
          <w:color w:val="auto"/>
          <w:sz w:val="16"/>
          <w:szCs w:val="16"/>
        </w:rPr>
        <w:t>samples Cr-0.001 and Cr-0.01 (♦ indicates the second harm</w:t>
      </w:r>
      <w:r w:rsidR="00F571BA">
        <w:rPr>
          <w:rFonts w:ascii="Times New Roman" w:hAnsi="Times New Roman"/>
          <w:i w:val="0"/>
          <w:color w:val="auto"/>
          <w:sz w:val="16"/>
          <w:szCs w:val="16"/>
        </w:rPr>
        <w:t xml:space="preserve">onics of the excitation source </w:t>
      </w:r>
      <w:r w:rsidRPr="00B92203">
        <w:rPr>
          <w:rFonts w:ascii="Times New Roman" w:hAnsi="Times New Roman"/>
          <w:b/>
          <w:i w:val="0"/>
          <w:color w:val="auto"/>
          <w:sz w:val="16"/>
          <w:szCs w:val="16"/>
        </w:rPr>
        <w:t>b)</w:t>
      </w:r>
      <w:r w:rsidRPr="007045CC">
        <w:rPr>
          <w:rFonts w:ascii="Times New Roman" w:hAnsi="Times New Roman"/>
          <w:i w:val="0"/>
          <w:color w:val="auto"/>
          <w:sz w:val="16"/>
          <w:szCs w:val="16"/>
        </w:rPr>
        <w:t xml:space="preserve"> </w:t>
      </w:r>
      <w:r w:rsidR="00D072DC" w:rsidRPr="007045CC">
        <w:rPr>
          <w:rFonts w:ascii="Times New Roman" w:hAnsi="Times New Roman"/>
          <w:i w:val="0"/>
          <w:color w:val="auto"/>
          <w:sz w:val="16"/>
          <w:szCs w:val="16"/>
        </w:rPr>
        <w:t>Emission</w:t>
      </w:r>
      <w:r w:rsidRPr="007045CC">
        <w:rPr>
          <w:rFonts w:ascii="Times New Roman" w:hAnsi="Times New Roman"/>
          <w:i w:val="0"/>
          <w:color w:val="auto"/>
          <w:sz w:val="16"/>
          <w:szCs w:val="16"/>
        </w:rPr>
        <w:t xml:space="preserve"> spectra for the sample </w:t>
      </w:r>
      <w:r w:rsidR="00570D10">
        <w:rPr>
          <w:rFonts w:ascii="Times New Roman" w:hAnsi="Times New Roman"/>
          <w:i w:val="0"/>
          <w:color w:val="auto"/>
          <w:sz w:val="16"/>
          <w:szCs w:val="16"/>
        </w:rPr>
        <w:t xml:space="preserve">excited with </w:t>
      </w:r>
      <w:r w:rsidR="00D072DC">
        <w:rPr>
          <w:rFonts w:ascii="Times New Roman" w:hAnsi="Times New Roman"/>
          <w:i w:val="0"/>
          <w:color w:val="auto"/>
          <w:sz w:val="16"/>
          <w:szCs w:val="16"/>
        </w:rPr>
        <w:t>260</w:t>
      </w:r>
      <w:r w:rsidR="00570D10">
        <w:rPr>
          <w:rFonts w:ascii="Times New Roman" w:hAnsi="Times New Roman"/>
          <w:i w:val="0"/>
          <w:color w:val="auto"/>
          <w:sz w:val="16"/>
          <w:szCs w:val="16"/>
        </w:rPr>
        <w:t xml:space="preserve"> </w:t>
      </w:r>
      <w:r w:rsidR="00D072DC">
        <w:rPr>
          <w:rFonts w:ascii="Times New Roman" w:hAnsi="Times New Roman"/>
          <w:i w:val="0"/>
          <w:color w:val="auto"/>
          <w:sz w:val="16"/>
          <w:szCs w:val="16"/>
        </w:rPr>
        <w:t>nm</w:t>
      </w:r>
      <w:r w:rsidRPr="007045CC">
        <w:rPr>
          <w:rFonts w:ascii="Times New Roman" w:hAnsi="Times New Roman"/>
          <w:i w:val="0"/>
          <w:color w:val="auto"/>
          <w:sz w:val="16"/>
          <w:szCs w:val="16"/>
        </w:rPr>
        <w:t>.</w:t>
      </w:r>
    </w:p>
    <w:p w14:paraId="387B089E" w14:textId="77777777" w:rsidR="0061295B" w:rsidRPr="003542F5" w:rsidRDefault="00330EDF" w:rsidP="001864C8">
      <w:pPr>
        <w:pStyle w:val="Caption"/>
        <w:numPr>
          <w:ilvl w:val="0"/>
          <w:numId w:val="27"/>
        </w:numPr>
        <w:jc w:val="center"/>
        <w:rPr>
          <w:rFonts w:ascii="Times New Roman" w:hAnsi="Times New Roman"/>
          <w:i w:val="0"/>
          <w:color w:val="auto"/>
          <w:sz w:val="20"/>
          <w:szCs w:val="20"/>
        </w:rPr>
      </w:pPr>
      <w:r>
        <w:rPr>
          <w:rFonts w:ascii="Times New Roman" w:hAnsi="Times New Roman"/>
          <w:i w:val="0"/>
          <w:color w:val="auto"/>
          <w:sz w:val="20"/>
          <w:szCs w:val="20"/>
        </w:rPr>
        <w:t>CONCULSION</w:t>
      </w:r>
    </w:p>
    <w:p w14:paraId="630660A0" w14:textId="77777777" w:rsidR="00B13C03" w:rsidRDefault="006473DD" w:rsidP="00AA0B78">
      <w:pPr>
        <w:ind w:firstLine="360"/>
        <w:jc w:val="both"/>
      </w:pPr>
      <w:r w:rsidRPr="00DC33FD">
        <w:t xml:space="preserve">Under the initiative of the new Tsar, Alexander I, two new universities were opened in 1804. With them, the need for adequately trained professors again arose. Once more the government turned to Germany, and, with the dislocations caused by the Napoleonic Wars, Russia stood in an excellent position to reap an intellectual harvest. Unfortunately, many of these invited scholars left little lasting impact on Russian thought. For example, one of the most outstanding, Johann </w:t>
      </w:r>
      <w:proofErr w:type="spellStart"/>
      <w:r w:rsidRPr="00DC33FD">
        <w:t>Buhle</w:t>
      </w:r>
      <w:proofErr w:type="spellEnd"/>
      <w:r w:rsidRPr="00DC33FD">
        <w:t xml:space="preserve"> (1763-1821), had already written a number of works on the history of philosophy before taking up residence in Moscow. Yet, once in Russia, his literary output plummeted, and his ignorance of the local language certainly did nothing to extend his influence.</w:t>
      </w:r>
    </w:p>
    <w:p w14:paraId="06B5C20E" w14:textId="77777777" w:rsidR="00DC33FD" w:rsidRDefault="00DC33FD" w:rsidP="00AA0B78">
      <w:pPr>
        <w:ind w:firstLine="360"/>
        <w:jc w:val="both"/>
      </w:pPr>
    </w:p>
    <w:p w14:paraId="05E24418" w14:textId="77777777" w:rsidR="00DC33FD" w:rsidRDefault="00DC33FD" w:rsidP="00AA0B78">
      <w:pPr>
        <w:ind w:firstLine="360"/>
        <w:jc w:val="both"/>
      </w:pPr>
    </w:p>
    <w:p w14:paraId="545AF840" w14:textId="77777777" w:rsidR="00DC33FD" w:rsidRDefault="00DC33FD" w:rsidP="00AA0B78">
      <w:pPr>
        <w:ind w:firstLine="360"/>
        <w:jc w:val="both"/>
      </w:pPr>
    </w:p>
    <w:p w14:paraId="40F29D8B" w14:textId="77777777" w:rsidR="00DC33FD" w:rsidRDefault="00DC33FD" w:rsidP="00AA0B78">
      <w:pPr>
        <w:ind w:firstLine="360"/>
        <w:jc w:val="both"/>
      </w:pPr>
    </w:p>
    <w:p w14:paraId="3692C5B9" w14:textId="77777777" w:rsidR="00B13C03" w:rsidRDefault="00B13C03" w:rsidP="001864C8">
      <w:pPr>
        <w:numPr>
          <w:ilvl w:val="0"/>
          <w:numId w:val="27"/>
        </w:numPr>
      </w:pPr>
      <w:r>
        <w:t>AKNOWLEDGEMENT</w:t>
      </w:r>
    </w:p>
    <w:p w14:paraId="37B81716" w14:textId="77777777" w:rsidR="003542F5" w:rsidRDefault="003542F5" w:rsidP="003542F5">
      <w:pPr>
        <w:ind w:left="1080"/>
        <w:jc w:val="both"/>
      </w:pPr>
    </w:p>
    <w:p w14:paraId="2C5A6868" w14:textId="77777777" w:rsidR="00335928" w:rsidRDefault="00F571BA" w:rsidP="00DC33FD">
      <w:pPr>
        <w:ind w:firstLine="360"/>
        <w:jc w:val="both"/>
      </w:pPr>
      <w:r>
        <w:t xml:space="preserve">Authors </w:t>
      </w:r>
      <w:r w:rsidR="00722B9E">
        <w:t xml:space="preserve">should </w:t>
      </w:r>
      <w:r>
        <w:t>acknowledge</w:t>
      </w:r>
      <w:r w:rsidR="00BF1BA7">
        <w:t xml:space="preserve"> </w:t>
      </w:r>
      <w:r w:rsidR="00722B9E">
        <w:t>all the collaborated institute and funding agency.</w:t>
      </w:r>
    </w:p>
    <w:p w14:paraId="23642737" w14:textId="77777777" w:rsidR="004C6168" w:rsidRDefault="004C6168" w:rsidP="004C6168">
      <w:pPr>
        <w:ind w:firstLine="360"/>
        <w:jc w:val="both"/>
      </w:pPr>
    </w:p>
    <w:p w14:paraId="54411CC1" w14:textId="77777777" w:rsidR="006473DD" w:rsidRDefault="006473DD" w:rsidP="004C6168">
      <w:pPr>
        <w:pStyle w:val="Heading5"/>
      </w:pPr>
    </w:p>
    <w:p w14:paraId="60F905A8" w14:textId="77777777" w:rsidR="004C6168" w:rsidRDefault="004C6168" w:rsidP="004C6168">
      <w:pPr>
        <w:pStyle w:val="Heading5"/>
      </w:pPr>
      <w:r w:rsidRPr="005B520E">
        <w:t>References</w:t>
      </w:r>
    </w:p>
    <w:p w14:paraId="4C5AED4D" w14:textId="77777777" w:rsidR="009303D9" w:rsidRPr="005B520E" w:rsidRDefault="009303D9"/>
    <w:p w14:paraId="574E72B2" w14:textId="6F9C5FFE" w:rsidR="009303D9" w:rsidRDefault="004C6168" w:rsidP="004C6168">
      <w:pPr>
        <w:pStyle w:val="references"/>
        <w:spacing w:line="240" w:lineRule="auto"/>
        <w:ind w:left="354" w:hanging="354"/>
      </w:pPr>
      <w:r w:rsidRPr="004C6168">
        <w:t>T. Toyoda, T. Obikawa, T. Shigenari, “Photoluminecence spectroscopy of Cr</w:t>
      </w:r>
      <w:r w:rsidRPr="008435A6">
        <w:rPr>
          <w:vertAlign w:val="superscript"/>
        </w:rPr>
        <w:t>3+</w:t>
      </w:r>
      <w:r w:rsidRPr="004C6168">
        <w:t xml:space="preserve"> in ceramic Al</w:t>
      </w:r>
      <w:r w:rsidRPr="004C6168">
        <w:rPr>
          <w:vertAlign w:val="subscript"/>
        </w:rPr>
        <w:t>2</w:t>
      </w:r>
      <w:r w:rsidRPr="004C6168">
        <w:t>O</w:t>
      </w:r>
      <w:r>
        <w:rPr>
          <w:vertAlign w:val="subscript"/>
        </w:rPr>
        <w:t>3</w:t>
      </w:r>
      <w:r>
        <w:t>”</w:t>
      </w:r>
      <w:r w:rsidRPr="004C6168">
        <w:t xml:space="preserve">,  </w:t>
      </w:r>
      <w:r w:rsidRPr="008435A6">
        <w:rPr>
          <w:i/>
          <w:iCs/>
        </w:rPr>
        <w:t>Material science and Engineering</w:t>
      </w:r>
      <w:r w:rsidR="008435A6">
        <w:t xml:space="preserve"> 1997</w:t>
      </w:r>
      <w:r>
        <w:t>,</w:t>
      </w:r>
      <w:r w:rsidRPr="004C6168">
        <w:t xml:space="preserve"> </w:t>
      </w:r>
      <w:r w:rsidR="008435A6">
        <w:t xml:space="preserve">(25), </w:t>
      </w:r>
      <w:r w:rsidRPr="004C6168">
        <w:t>33-37</w:t>
      </w:r>
      <w:r w:rsidR="008435A6">
        <w:t>.</w:t>
      </w:r>
    </w:p>
    <w:p w14:paraId="7792FAB1" w14:textId="2CBD2760" w:rsidR="008624AD" w:rsidRDefault="008624AD" w:rsidP="008624AD">
      <w:pPr>
        <w:pStyle w:val="references"/>
      </w:pPr>
      <w:r>
        <w:t>J. Krizan, J. MOzina, I. Bajsic and Matjaz, “Synthesis and Fluorescent Properties of Chromium Doped Aluminate Nano Powders”,</w:t>
      </w:r>
      <w:r w:rsidR="008435A6">
        <w:t xml:space="preserve"> </w:t>
      </w:r>
      <w:r w:rsidR="008435A6" w:rsidRPr="008435A6">
        <w:rPr>
          <w:i/>
          <w:iCs/>
        </w:rPr>
        <w:t>Physical Review B</w:t>
      </w:r>
      <w:r>
        <w:t xml:space="preserve"> 2012, 59, 163-168.</w:t>
      </w:r>
    </w:p>
    <w:p w14:paraId="5CA844F2" w14:textId="77777777" w:rsidR="009303D9" w:rsidRPr="008624AD" w:rsidRDefault="009303D9" w:rsidP="00453A54">
      <w:pPr>
        <w:pStyle w:val="references"/>
        <w:numPr>
          <w:ilvl w:val="0"/>
          <w:numId w:val="0"/>
        </w:numPr>
        <w:rPr>
          <w:highlight w:val="yellow"/>
        </w:rPr>
        <w:sectPr w:rsidR="009303D9" w:rsidRPr="008624AD" w:rsidSect="00C919A4">
          <w:type w:val="continuous"/>
          <w:pgSz w:w="12240" w:h="15840" w:code="1"/>
          <w:pgMar w:top="1080" w:right="907" w:bottom="1440" w:left="907" w:header="720" w:footer="720" w:gutter="0"/>
          <w:cols w:num="2" w:space="360"/>
          <w:docGrid w:linePitch="360"/>
        </w:sectPr>
      </w:pPr>
    </w:p>
    <w:p w14:paraId="3E69E070" w14:textId="77777777" w:rsidR="009303D9" w:rsidRDefault="009303D9" w:rsidP="005B520E"/>
    <w:sectPr w:rsidR="009303D9">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73A8DC" w14:textId="77777777" w:rsidR="00A43D66" w:rsidRDefault="00A43D66" w:rsidP="0035485C">
      <w:r>
        <w:separator/>
      </w:r>
    </w:p>
  </w:endnote>
  <w:endnote w:type="continuationSeparator" w:id="0">
    <w:p w14:paraId="4101C49D" w14:textId="77777777" w:rsidR="00A43D66" w:rsidRDefault="00A43D66" w:rsidP="0035485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69116A" w14:textId="58DB0B3C" w:rsidR="0035485C" w:rsidRDefault="0035485C">
    <w:pPr>
      <w:pStyle w:val="Footer"/>
    </w:pPr>
    <w:r>
      <w:t>[Type here]</w:t>
    </w:r>
  </w:p>
  <w:p w14:paraId="03898F88" w14:textId="77777777" w:rsidR="0035485C" w:rsidRDefault="003548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8DAA420" w14:textId="77777777" w:rsidR="00A43D66" w:rsidRDefault="00A43D66" w:rsidP="0035485C">
      <w:r>
        <w:separator/>
      </w:r>
    </w:p>
  </w:footnote>
  <w:footnote w:type="continuationSeparator" w:id="0">
    <w:p w14:paraId="7934A25E" w14:textId="77777777" w:rsidR="00A43D66" w:rsidRDefault="00A43D66" w:rsidP="0035485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6042B9" w14:textId="1F7C2A30" w:rsidR="0035485C" w:rsidRPr="0035485C" w:rsidRDefault="0035485C">
    <w:pPr>
      <w:pStyle w:val="Header"/>
      <w:rPr>
        <w:i/>
        <w:iCs/>
      </w:rPr>
    </w:pPr>
    <w:r w:rsidRPr="0035485C">
      <w:rPr>
        <w:i/>
        <w:iCs/>
      </w:rPr>
      <w:t>Proceedings of National Photonics Symposium 2020</w:t>
    </w:r>
  </w:p>
  <w:p w14:paraId="3485388F" w14:textId="77777777" w:rsidR="0035485C" w:rsidRDefault="0035485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1D"/>
    <w:multiLevelType w:val="multilevel"/>
    <w:tmpl w:val="7A36CE9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2648E1C4"/>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9D38DB5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632C24E2"/>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82268A14"/>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EA847AF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FA31A0"/>
    <w:multiLevelType w:val="hybridMultilevel"/>
    <w:tmpl w:val="3264844C"/>
    <w:lvl w:ilvl="0" w:tplc="0409000F">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15:restartNumberingAfterBreak="0">
    <w:nsid w:val="213E0D7B"/>
    <w:multiLevelType w:val="hybridMultilevel"/>
    <w:tmpl w:val="91C6025E"/>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outline w:val="0"/>
        <w:shadow w:val="0"/>
        <w:emboss w:val="0"/>
        <w:imprint w:val="0"/>
        <w:vanish w:val="0"/>
        <w:sz w:val="16"/>
        <w:szCs w:val="16"/>
        <w:vertAlign w:val="superscript"/>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6" w15:restartNumberingAfterBreak="0">
    <w:nsid w:val="30306141"/>
    <w:multiLevelType w:val="hybridMultilevel"/>
    <w:tmpl w:val="F2AA04D4"/>
    <w:lvl w:ilvl="0" w:tplc="425E837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7660336"/>
    <w:multiLevelType w:val="hybridMultilevel"/>
    <w:tmpl w:val="754EAC84"/>
    <w:lvl w:ilvl="0" w:tplc="C46877EA">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outline w:val="0"/>
        <w:shadow w:val="0"/>
        <w:emboss w:val="0"/>
        <w:imprint w:val="0"/>
        <w:vanish w:val="0"/>
        <w:color w:val="auto"/>
        <w:spacing w:val="0"/>
        <w:w w:val="100"/>
        <w:kern w:val="0"/>
        <w:position w:val="0"/>
        <w:sz w:val="16"/>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2" w15:restartNumberingAfterBreak="0">
    <w:nsid w:val="54B03979"/>
    <w:multiLevelType w:val="hybridMultilevel"/>
    <w:tmpl w:val="6380B430"/>
    <w:lvl w:ilvl="0" w:tplc="CEBED7B2">
      <w:start w:val="1"/>
      <w:numFmt w:val="upperRoman"/>
      <w:lvlText w:val="%1."/>
      <w:lvlJc w:val="left"/>
      <w:pPr>
        <w:ind w:left="2088" w:hanging="720"/>
      </w:pPr>
      <w:rPr>
        <w:rFonts w:hint="default"/>
      </w:rPr>
    </w:lvl>
    <w:lvl w:ilvl="1" w:tplc="04090019" w:tentative="1">
      <w:start w:val="1"/>
      <w:numFmt w:val="lowerLetter"/>
      <w:lvlText w:val="%2."/>
      <w:lvlJc w:val="left"/>
      <w:pPr>
        <w:ind w:left="2448" w:hanging="360"/>
      </w:pPr>
    </w:lvl>
    <w:lvl w:ilvl="2" w:tplc="0409001B" w:tentative="1">
      <w:start w:val="1"/>
      <w:numFmt w:val="lowerRoman"/>
      <w:lvlText w:val="%3."/>
      <w:lvlJc w:val="right"/>
      <w:pPr>
        <w:ind w:left="3168" w:hanging="180"/>
      </w:pPr>
    </w:lvl>
    <w:lvl w:ilvl="3" w:tplc="0409000F" w:tentative="1">
      <w:start w:val="1"/>
      <w:numFmt w:val="decimal"/>
      <w:lvlText w:val="%4."/>
      <w:lvlJc w:val="left"/>
      <w:pPr>
        <w:ind w:left="3888" w:hanging="360"/>
      </w:pPr>
    </w:lvl>
    <w:lvl w:ilvl="4" w:tplc="04090019" w:tentative="1">
      <w:start w:val="1"/>
      <w:numFmt w:val="lowerLetter"/>
      <w:lvlText w:val="%5."/>
      <w:lvlJc w:val="left"/>
      <w:pPr>
        <w:ind w:left="4608" w:hanging="360"/>
      </w:pPr>
    </w:lvl>
    <w:lvl w:ilvl="5" w:tplc="0409001B" w:tentative="1">
      <w:start w:val="1"/>
      <w:numFmt w:val="lowerRoman"/>
      <w:lvlText w:val="%6."/>
      <w:lvlJc w:val="right"/>
      <w:pPr>
        <w:ind w:left="5328" w:hanging="180"/>
      </w:pPr>
    </w:lvl>
    <w:lvl w:ilvl="6" w:tplc="0409000F" w:tentative="1">
      <w:start w:val="1"/>
      <w:numFmt w:val="decimal"/>
      <w:lvlText w:val="%7."/>
      <w:lvlJc w:val="left"/>
      <w:pPr>
        <w:ind w:left="6048" w:hanging="360"/>
      </w:pPr>
    </w:lvl>
    <w:lvl w:ilvl="7" w:tplc="04090019" w:tentative="1">
      <w:start w:val="1"/>
      <w:numFmt w:val="lowerLetter"/>
      <w:lvlText w:val="%8."/>
      <w:lvlJc w:val="left"/>
      <w:pPr>
        <w:ind w:left="6768" w:hanging="360"/>
      </w:pPr>
    </w:lvl>
    <w:lvl w:ilvl="8" w:tplc="0409001B" w:tentative="1">
      <w:start w:val="1"/>
      <w:numFmt w:val="lowerRoman"/>
      <w:lvlText w:val="%9."/>
      <w:lvlJc w:val="right"/>
      <w:pPr>
        <w:ind w:left="7488" w:hanging="180"/>
      </w:pPr>
    </w:lvl>
  </w:abstractNum>
  <w:abstractNum w:abstractNumId="23" w15:restartNumberingAfterBreak="0">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17"/>
  </w:num>
  <w:num w:numId="2">
    <w:abstractNumId w:val="23"/>
  </w:num>
  <w:num w:numId="3">
    <w:abstractNumId w:val="15"/>
  </w:num>
  <w:num w:numId="4">
    <w:abstractNumId w:val="19"/>
  </w:num>
  <w:num w:numId="5">
    <w:abstractNumId w:val="19"/>
  </w:num>
  <w:num w:numId="6">
    <w:abstractNumId w:val="19"/>
  </w:num>
  <w:num w:numId="7">
    <w:abstractNumId w:val="19"/>
  </w:num>
  <w:num w:numId="8">
    <w:abstractNumId w:val="21"/>
  </w:num>
  <w:num w:numId="9">
    <w:abstractNumId w:val="24"/>
  </w:num>
  <w:num w:numId="10">
    <w:abstractNumId w:val="18"/>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0"/>
  </w:num>
  <w:num w:numId="25">
    <w:abstractNumId w:val="16"/>
  </w:num>
  <w:num w:numId="26">
    <w:abstractNumId w:val="22"/>
  </w:num>
  <w:num w:numId="27">
    <w:abstractNumId w:val="11"/>
  </w:num>
  <w:num w:numId="28">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44"/>
  <w:embedSystemFonts/>
  <w:proofState w:spelling="clean" w:grammar="clean"/>
  <w:doNotTrackMoves/>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303D9"/>
    <w:rsid w:val="00022C57"/>
    <w:rsid w:val="00040732"/>
    <w:rsid w:val="0004781E"/>
    <w:rsid w:val="00047CC9"/>
    <w:rsid w:val="0005187E"/>
    <w:rsid w:val="00056A80"/>
    <w:rsid w:val="0006388B"/>
    <w:rsid w:val="00074288"/>
    <w:rsid w:val="0008131D"/>
    <w:rsid w:val="000B3422"/>
    <w:rsid w:val="000C1E68"/>
    <w:rsid w:val="000C5FD4"/>
    <w:rsid w:val="000D1FB7"/>
    <w:rsid w:val="000D6B78"/>
    <w:rsid w:val="001109DE"/>
    <w:rsid w:val="00142E0A"/>
    <w:rsid w:val="00144460"/>
    <w:rsid w:val="00147238"/>
    <w:rsid w:val="001864C8"/>
    <w:rsid w:val="001968E4"/>
    <w:rsid w:val="001A2EFD"/>
    <w:rsid w:val="001A2F7C"/>
    <w:rsid w:val="001B57F3"/>
    <w:rsid w:val="001B67DC"/>
    <w:rsid w:val="001D592F"/>
    <w:rsid w:val="00214060"/>
    <w:rsid w:val="0022045E"/>
    <w:rsid w:val="002254A9"/>
    <w:rsid w:val="00263F0D"/>
    <w:rsid w:val="00272ADB"/>
    <w:rsid w:val="00275767"/>
    <w:rsid w:val="00281F95"/>
    <w:rsid w:val="002C5055"/>
    <w:rsid w:val="00300814"/>
    <w:rsid w:val="00330EDF"/>
    <w:rsid w:val="00335928"/>
    <w:rsid w:val="00336423"/>
    <w:rsid w:val="00345C9E"/>
    <w:rsid w:val="003542F5"/>
    <w:rsid w:val="00354535"/>
    <w:rsid w:val="0035485C"/>
    <w:rsid w:val="003721EC"/>
    <w:rsid w:val="003A19E2"/>
    <w:rsid w:val="003B2EBE"/>
    <w:rsid w:val="003E0640"/>
    <w:rsid w:val="003E210A"/>
    <w:rsid w:val="00420C74"/>
    <w:rsid w:val="00453A54"/>
    <w:rsid w:val="00453F4E"/>
    <w:rsid w:val="00467FDA"/>
    <w:rsid w:val="004841A1"/>
    <w:rsid w:val="004C6168"/>
    <w:rsid w:val="004D39E5"/>
    <w:rsid w:val="004D72B5"/>
    <w:rsid w:val="00551B7F"/>
    <w:rsid w:val="00563C89"/>
    <w:rsid w:val="00570D10"/>
    <w:rsid w:val="00574FAD"/>
    <w:rsid w:val="00575BCA"/>
    <w:rsid w:val="005837FD"/>
    <w:rsid w:val="00584F4B"/>
    <w:rsid w:val="005B0344"/>
    <w:rsid w:val="005B520E"/>
    <w:rsid w:val="005C3AB7"/>
    <w:rsid w:val="005E2800"/>
    <w:rsid w:val="0061295B"/>
    <w:rsid w:val="006459EF"/>
    <w:rsid w:val="006473DD"/>
    <w:rsid w:val="00651A08"/>
    <w:rsid w:val="00670434"/>
    <w:rsid w:val="006A17BD"/>
    <w:rsid w:val="006A3416"/>
    <w:rsid w:val="006A6F13"/>
    <w:rsid w:val="006B6B66"/>
    <w:rsid w:val="006C172D"/>
    <w:rsid w:val="00700FAE"/>
    <w:rsid w:val="007045CC"/>
    <w:rsid w:val="00722B9E"/>
    <w:rsid w:val="00740EEA"/>
    <w:rsid w:val="00761534"/>
    <w:rsid w:val="00776452"/>
    <w:rsid w:val="00790EA9"/>
    <w:rsid w:val="00794804"/>
    <w:rsid w:val="007B33F1"/>
    <w:rsid w:val="007C0308"/>
    <w:rsid w:val="007C2E5F"/>
    <w:rsid w:val="007C2FF2"/>
    <w:rsid w:val="007C57E0"/>
    <w:rsid w:val="007D4972"/>
    <w:rsid w:val="007F1F99"/>
    <w:rsid w:val="007F768F"/>
    <w:rsid w:val="0080791D"/>
    <w:rsid w:val="00810F6C"/>
    <w:rsid w:val="008435A6"/>
    <w:rsid w:val="008624AD"/>
    <w:rsid w:val="00873603"/>
    <w:rsid w:val="008840F4"/>
    <w:rsid w:val="00893E1C"/>
    <w:rsid w:val="008A2C7D"/>
    <w:rsid w:val="008C4B23"/>
    <w:rsid w:val="00903E18"/>
    <w:rsid w:val="00905554"/>
    <w:rsid w:val="0091433D"/>
    <w:rsid w:val="009303D9"/>
    <w:rsid w:val="00933C64"/>
    <w:rsid w:val="0093716F"/>
    <w:rsid w:val="00972203"/>
    <w:rsid w:val="00975347"/>
    <w:rsid w:val="009C21DC"/>
    <w:rsid w:val="009C3B31"/>
    <w:rsid w:val="00A059B3"/>
    <w:rsid w:val="00A062F7"/>
    <w:rsid w:val="00A13793"/>
    <w:rsid w:val="00A16CCD"/>
    <w:rsid w:val="00A43D66"/>
    <w:rsid w:val="00A57D90"/>
    <w:rsid w:val="00A72DDC"/>
    <w:rsid w:val="00AA0B78"/>
    <w:rsid w:val="00AE3409"/>
    <w:rsid w:val="00AF69AB"/>
    <w:rsid w:val="00B05AEE"/>
    <w:rsid w:val="00B11A60"/>
    <w:rsid w:val="00B13C03"/>
    <w:rsid w:val="00B22613"/>
    <w:rsid w:val="00B479D5"/>
    <w:rsid w:val="00B50FE7"/>
    <w:rsid w:val="00B749BA"/>
    <w:rsid w:val="00B86341"/>
    <w:rsid w:val="00B92203"/>
    <w:rsid w:val="00BA1025"/>
    <w:rsid w:val="00BC3420"/>
    <w:rsid w:val="00BE7D3C"/>
    <w:rsid w:val="00BF1BA7"/>
    <w:rsid w:val="00BF5FF6"/>
    <w:rsid w:val="00C0207F"/>
    <w:rsid w:val="00C16117"/>
    <w:rsid w:val="00C20A1F"/>
    <w:rsid w:val="00C24BB8"/>
    <w:rsid w:val="00C33877"/>
    <w:rsid w:val="00C74393"/>
    <w:rsid w:val="00C919A4"/>
    <w:rsid w:val="00C92787"/>
    <w:rsid w:val="00CC0781"/>
    <w:rsid w:val="00CC393F"/>
    <w:rsid w:val="00D0446F"/>
    <w:rsid w:val="00D072DC"/>
    <w:rsid w:val="00D632BE"/>
    <w:rsid w:val="00D7536F"/>
    <w:rsid w:val="00D86F23"/>
    <w:rsid w:val="00DA3292"/>
    <w:rsid w:val="00DC33FD"/>
    <w:rsid w:val="00E1590C"/>
    <w:rsid w:val="00E61E12"/>
    <w:rsid w:val="00E7596C"/>
    <w:rsid w:val="00E878F2"/>
    <w:rsid w:val="00E927E9"/>
    <w:rsid w:val="00ED0149"/>
    <w:rsid w:val="00EE2A95"/>
    <w:rsid w:val="00EE2E8A"/>
    <w:rsid w:val="00EE7166"/>
    <w:rsid w:val="00F00794"/>
    <w:rsid w:val="00F03103"/>
    <w:rsid w:val="00F271DE"/>
    <w:rsid w:val="00F44185"/>
    <w:rsid w:val="00F571BA"/>
    <w:rsid w:val="00F613D6"/>
    <w:rsid w:val="00F627DA"/>
    <w:rsid w:val="00F7288F"/>
    <w:rsid w:val="00F8740D"/>
    <w:rsid w:val="00F9441B"/>
    <w:rsid w:val="00FA4C32"/>
    <w:rsid w:val="00FE7114"/>
    <w:rsid w:val="00FF1EA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BE4F875"/>
  <w15:chartTrackingRefBased/>
  <w15:docId w15:val="{289CC56E-D48D-CB48-A37D-C0DC69D699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IN"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footer" w:uiPriority="99"/>
    <w:lsdException w:name="caption" w:semiHidden="1" w:uiPriority="35"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rPr>
      <w:lang w:val="en-US" w:eastAsia="en-US"/>
    </w:rPr>
  </w:style>
  <w:style w:type="paragraph" w:styleId="Heading1">
    <w:name w:val="heading 1"/>
    <w:basedOn w:val="Normal"/>
    <w:next w:val="Normal"/>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ind w:firstLine="288"/>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Normal"/>
    <w:qFormat/>
    <w:pPr>
      <w:tabs>
        <w:tab w:val="left" w:pos="360"/>
      </w:tabs>
      <w:spacing w:before="160" w:after="80"/>
      <w:outlineLvl w:val="4"/>
    </w:pPr>
    <w:rPr>
      <w:smallCaps/>
      <w:noProof/>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Abstract">
    <w:name w:val="Abstract"/>
    <w:rsid w:val="00972203"/>
    <w:pPr>
      <w:spacing w:after="200"/>
      <w:ind w:firstLine="272"/>
      <w:jc w:val="both"/>
    </w:pPr>
    <w:rPr>
      <w:b/>
      <w:bCs/>
      <w:sz w:val="18"/>
      <w:szCs w:val="18"/>
      <w:lang w:val="en-US" w:eastAsia="en-US"/>
    </w:rPr>
  </w:style>
  <w:style w:type="paragraph" w:customStyle="1" w:styleId="Affiliation">
    <w:name w:val="Affiliation"/>
    <w:pPr>
      <w:jc w:val="center"/>
    </w:pPr>
    <w:rPr>
      <w:lang w:val="en-US" w:eastAsia="en-US"/>
    </w:rPr>
  </w:style>
  <w:style w:type="paragraph" w:customStyle="1" w:styleId="Author">
    <w:name w:val="Author"/>
    <w:pPr>
      <w:spacing w:before="360" w:after="40"/>
      <w:jc w:val="center"/>
    </w:pPr>
    <w:rPr>
      <w:noProof/>
      <w:sz w:val="22"/>
      <w:szCs w:val="22"/>
      <w:lang w:val="en-US" w:eastAsia="en-US"/>
    </w:rPr>
  </w:style>
  <w:style w:type="paragraph" w:styleId="BodyText">
    <w:name w:val="Body Text"/>
    <w:basedOn w:val="Normal"/>
    <w:link w:val="BodyTextChar"/>
    <w:rsid w:val="00E7596C"/>
    <w:pPr>
      <w:tabs>
        <w:tab w:val="left" w:pos="288"/>
      </w:tabs>
      <w:spacing w:after="120" w:line="228" w:lineRule="auto"/>
      <w:ind w:firstLine="288"/>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648"/>
      </w:tabs>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5B0344"/>
    <w:pPr>
      <w:numPr>
        <w:numId w:val="2"/>
      </w:numPr>
      <w:tabs>
        <w:tab w:val="left" w:pos="533"/>
      </w:tabs>
      <w:spacing w:before="80" w:after="200"/>
      <w:ind w:left="0" w:firstLine="0"/>
      <w:jc w:val="both"/>
    </w:pPr>
    <w:rPr>
      <w:noProof/>
      <w:sz w:val="16"/>
      <w:szCs w:val="16"/>
      <w:lang w:val="en-US" w:eastAsia="en-US"/>
    </w:rPr>
  </w:style>
  <w:style w:type="paragraph" w:customStyle="1" w:styleId="footnote">
    <w:name w:val="footnote"/>
    <w:pPr>
      <w:framePr w:hSpace="187" w:vSpace="187" w:wrap="notBeside" w:vAnchor="text" w:hAnchor="page" w:x="6121" w:y="577"/>
      <w:numPr>
        <w:numId w:val="3"/>
      </w:numPr>
      <w:spacing w:after="40"/>
    </w:pPr>
    <w:rPr>
      <w:sz w:val="16"/>
      <w:szCs w:val="16"/>
      <w:lang w:val="en-US" w:eastAsia="en-US"/>
    </w:rPr>
  </w:style>
  <w:style w:type="paragraph" w:customStyle="1" w:styleId="papersubtitle">
    <w:name w:val="paper subtitle"/>
    <w:pPr>
      <w:spacing w:after="120"/>
      <w:jc w:val="center"/>
    </w:pPr>
    <w:rPr>
      <w:rFonts w:eastAsia="MS Mincho"/>
      <w:noProof/>
      <w:sz w:val="28"/>
      <w:szCs w:val="28"/>
      <w:lang w:val="en-US" w:eastAsia="en-US"/>
    </w:rPr>
  </w:style>
  <w:style w:type="paragraph" w:customStyle="1" w:styleId="papertitle">
    <w:name w:val="paper title"/>
    <w:pPr>
      <w:spacing w:after="120"/>
      <w:jc w:val="center"/>
    </w:pPr>
    <w:rPr>
      <w:rFonts w:eastAsia="MS Mincho"/>
      <w:noProof/>
      <w:sz w:val="48"/>
      <w:szCs w:val="48"/>
      <w:lang w:val="en-US" w:eastAsia="en-US"/>
    </w:rPr>
  </w:style>
  <w:style w:type="paragraph" w:customStyle="1" w:styleId="references">
    <w:name w:val="references"/>
    <w:pPr>
      <w:numPr>
        <w:numId w:val="8"/>
      </w:numPr>
      <w:spacing w:after="50" w:line="180" w:lineRule="exact"/>
      <w:jc w:val="both"/>
    </w:pPr>
    <w:rPr>
      <w:rFonts w:eastAsia="MS Mincho"/>
      <w:noProof/>
      <w:sz w:val="16"/>
      <w:szCs w:val="16"/>
      <w:lang w:val="en-US" w:eastAsia="en-US"/>
    </w:rPr>
  </w:style>
  <w:style w:type="paragraph" w:customStyle="1" w:styleId="sponsors">
    <w:name w:val="sponsors"/>
    <w:pPr>
      <w:framePr w:wrap="auto" w:hAnchor="text" w:x="615" w:y="2239"/>
      <w:pBdr>
        <w:top w:val="single" w:sz="4" w:space="2" w:color="auto"/>
      </w:pBdr>
      <w:ind w:firstLine="288"/>
    </w:pPr>
    <w:rPr>
      <w:sz w:val="16"/>
      <w:szCs w:val="16"/>
      <w:lang w:val="en-US" w:eastAsia="en-US"/>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lang w:val="en-US" w:eastAsia="en-US"/>
    </w:rPr>
  </w:style>
  <w:style w:type="paragraph" w:customStyle="1" w:styleId="tablefootnote">
    <w:name w:val="table footnote"/>
    <w:rsid w:val="005E2800"/>
    <w:pPr>
      <w:numPr>
        <w:numId w:val="24"/>
      </w:numPr>
      <w:spacing w:before="60" w:after="30"/>
      <w:ind w:left="58" w:hanging="29"/>
      <w:jc w:val="right"/>
    </w:pPr>
    <w:rPr>
      <w:sz w:val="12"/>
      <w:szCs w:val="12"/>
      <w:lang w:val="en-US" w:eastAsia="en-US"/>
    </w:rPr>
  </w:style>
  <w:style w:type="paragraph" w:customStyle="1" w:styleId="tablehead">
    <w:name w:val="table head"/>
    <w:pPr>
      <w:numPr>
        <w:numId w:val="9"/>
      </w:numPr>
      <w:spacing w:before="240" w:after="120" w:line="216" w:lineRule="auto"/>
      <w:jc w:val="center"/>
    </w:pPr>
    <w:rPr>
      <w:smallCaps/>
      <w:noProof/>
      <w:sz w:val="16"/>
      <w:szCs w:val="16"/>
      <w:lang w:val="en-US" w:eastAsia="en-US"/>
    </w:rPr>
  </w:style>
  <w:style w:type="paragraph" w:customStyle="1" w:styleId="Keywords">
    <w:name w:val="Keywords"/>
    <w:basedOn w:val="Abstract"/>
    <w:qFormat/>
    <w:rsid w:val="00F9441B"/>
    <w:pPr>
      <w:spacing w:after="120"/>
      <w:ind w:firstLine="274"/>
    </w:pPr>
    <w:rPr>
      <w:i/>
    </w:rPr>
  </w:style>
  <w:style w:type="paragraph" w:styleId="ListParagraph">
    <w:name w:val="List Paragraph"/>
    <w:basedOn w:val="Normal"/>
    <w:uiPriority w:val="34"/>
    <w:qFormat/>
    <w:rsid w:val="00B86341"/>
    <w:pPr>
      <w:spacing w:after="160" w:line="259" w:lineRule="auto"/>
      <w:ind w:left="720"/>
      <w:contextualSpacing/>
      <w:jc w:val="left"/>
    </w:pPr>
    <w:rPr>
      <w:rFonts w:ascii="Calibri" w:eastAsia="Calibri" w:hAnsi="Calibri"/>
      <w:sz w:val="22"/>
      <w:szCs w:val="22"/>
    </w:rPr>
  </w:style>
  <w:style w:type="paragraph" w:styleId="Caption">
    <w:name w:val="caption"/>
    <w:basedOn w:val="Normal"/>
    <w:next w:val="Normal"/>
    <w:uiPriority w:val="35"/>
    <w:unhideWhenUsed/>
    <w:qFormat/>
    <w:rsid w:val="000D6B78"/>
    <w:pPr>
      <w:spacing w:after="200"/>
      <w:jc w:val="left"/>
    </w:pPr>
    <w:rPr>
      <w:rFonts w:ascii="Calibri" w:eastAsia="Calibri" w:hAnsi="Calibri"/>
      <w:i/>
      <w:iCs/>
      <w:color w:val="44546A"/>
      <w:sz w:val="18"/>
      <w:szCs w:val="18"/>
    </w:rPr>
  </w:style>
  <w:style w:type="character" w:styleId="Hyperlink">
    <w:name w:val="Hyperlink"/>
    <w:rsid w:val="00563C89"/>
    <w:rPr>
      <w:color w:val="0000FF"/>
      <w:u w:val="single"/>
    </w:rPr>
  </w:style>
  <w:style w:type="paragraph" w:styleId="Header">
    <w:name w:val="header"/>
    <w:basedOn w:val="Normal"/>
    <w:link w:val="HeaderChar"/>
    <w:uiPriority w:val="99"/>
    <w:rsid w:val="0035485C"/>
    <w:pPr>
      <w:tabs>
        <w:tab w:val="center" w:pos="4513"/>
        <w:tab w:val="right" w:pos="9026"/>
      </w:tabs>
    </w:pPr>
  </w:style>
  <w:style w:type="character" w:customStyle="1" w:styleId="HeaderChar">
    <w:name w:val="Header Char"/>
    <w:link w:val="Header"/>
    <w:uiPriority w:val="99"/>
    <w:rsid w:val="0035485C"/>
    <w:rPr>
      <w:lang w:val="en-US" w:eastAsia="en-US"/>
    </w:rPr>
  </w:style>
  <w:style w:type="paragraph" w:styleId="Footer">
    <w:name w:val="footer"/>
    <w:basedOn w:val="Normal"/>
    <w:link w:val="FooterChar"/>
    <w:uiPriority w:val="99"/>
    <w:rsid w:val="0035485C"/>
    <w:pPr>
      <w:tabs>
        <w:tab w:val="center" w:pos="4513"/>
        <w:tab w:val="right" w:pos="9026"/>
      </w:tabs>
    </w:pPr>
  </w:style>
  <w:style w:type="character" w:customStyle="1" w:styleId="FooterChar">
    <w:name w:val="Footer Char"/>
    <w:link w:val="Footer"/>
    <w:uiPriority w:val="99"/>
    <w:rsid w:val="0035485C"/>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728883">
      <w:bodyDiv w:val="1"/>
      <w:marLeft w:val="0"/>
      <w:marRight w:val="0"/>
      <w:marTop w:val="0"/>
      <w:marBottom w:val="0"/>
      <w:divBdr>
        <w:top w:val="none" w:sz="0" w:space="0" w:color="auto"/>
        <w:left w:val="none" w:sz="0" w:space="0" w:color="auto"/>
        <w:bottom w:val="none" w:sz="0" w:space="0" w:color="auto"/>
        <w:right w:val="none" w:sz="0" w:space="0" w:color="auto"/>
      </w:divBdr>
    </w:div>
    <w:div w:id="1547376892">
      <w:bodyDiv w:val="1"/>
      <w:marLeft w:val="0"/>
      <w:marRight w:val="0"/>
      <w:marTop w:val="0"/>
      <w:marBottom w:val="0"/>
      <w:divBdr>
        <w:top w:val="none" w:sz="0" w:space="0" w:color="auto"/>
        <w:left w:val="none" w:sz="0" w:space="0" w:color="auto"/>
        <w:bottom w:val="none" w:sz="0" w:space="0" w:color="auto"/>
        <w:right w:val="none" w:sz="0" w:space="0" w:color="auto"/>
      </w:divBdr>
    </w:div>
    <w:div w:id="20468327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1.bin"/><Relationship Id="rId5" Type="http://schemas.openxmlformats.org/officeDocument/2006/relationships/webSettings" Target="webSettings.xml"/><Relationship Id="rId10" Type="http://schemas.openxmlformats.org/officeDocument/2006/relationships/image" Target="media/image1.wmf"/><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19FD1DB-10E2-884F-B9E4-35E0A7E108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2</Pages>
  <Words>680</Words>
  <Characters>3775</Characters>
  <Application>Microsoft Office Word</Application>
  <DocSecurity>0</DocSecurity>
  <Lines>60</Lines>
  <Paragraphs>10</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Praveen C S</cp:lastModifiedBy>
  <cp:revision>2</cp:revision>
  <cp:lastPrinted>2017-02-16T08:50:00Z</cp:lastPrinted>
  <dcterms:created xsi:type="dcterms:W3CDTF">2020-01-23T05:28:00Z</dcterms:created>
  <dcterms:modified xsi:type="dcterms:W3CDTF">2020-01-23T05:28:00Z</dcterms:modified>
</cp:coreProperties>
</file>