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DropCeiling — TEI 2027 Pictorial: Plans &amp; Figure Specifications</w:t>
      </w:r>
    </w:p>
    <w:p>
      <w:pPr>
        <w:pStyle w:val="Author"/>
      </w:pPr>
      <w:r>
        <w:t xml:space="preserve">Planning document for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out-this-document"/>
    <w:p>
      <w:pPr>
        <w:pStyle w:val="Heading1"/>
      </w:pPr>
      <w:r>
        <w:t xml:space="preserve">About this document</w:t>
      </w:r>
    </w:p>
    <w:p>
      <w:pPr>
        <w:pStyle w:val="FirstParagraph"/>
      </w:pPr>
      <w:r>
        <w:t xml:space="preserve">This is a planning document for a</w:t>
      </w:r>
      <w:r>
        <w:t xml:space="preserve"> </w:t>
      </w:r>
      <w:r>
        <w:rPr>
          <w:b/>
          <w:bCs/>
        </w:rPr>
        <w:t xml:space="preserve">TEI 2027 Pictorial</w:t>
      </w:r>
      <w:r>
        <w:t xml:space="preserve"> </w:t>
      </w:r>
      <w:r>
        <w:t xml:space="preserve">submission of the DropCeiling project. It lays out three possible approaches, a recommended hybrid with a spread-by-spread storyboard, and detailed specifications for the new figures each would require. It is meant to be printed and marked up.</w:t>
      </w:r>
    </w:p>
    <w:p>
      <w:pPr>
        <w:pStyle w:val="BodyText"/>
      </w:pPr>
      <w:r>
        <w:rPr>
          <w:b/>
          <w:bCs/>
        </w:rPr>
        <w:t xml:space="preserve">Track facts.</w:t>
      </w:r>
      <w:r>
        <w:t xml:space="preserve"> </w:t>
      </w:r>
      <w:r>
        <w:t xml:space="preserve">Pictorials are archival, full-paper-weight publications where</w:t>
      </w:r>
      <w:r>
        <w:t xml:space="preserve"> </w:t>
      </w:r>
      <w:r>
        <w:rPr>
          <w:i/>
          <w:iCs/>
        </w:rPr>
        <w:t xml:space="preserve">images/diagrams are emphasized over text as the primary means of communicating the contribution</w:t>
      </w:r>
      <w:r>
        <w:t xml:space="preserve">. Limits:</w:t>
      </w:r>
      <w:r>
        <w:t xml:space="preserve"> </w:t>
      </w:r>
      <w:r>
        <w:rPr>
          <w:b/>
          <w:bCs/>
        </w:rPr>
        <w:t xml:space="preserve">≤12 pages</w:t>
      </w:r>
      <w:r>
        <w:t xml:space="preserve"> </w:t>
      </w:r>
      <w:r>
        <w:t xml:space="preserve">(excluding references),</w:t>
      </w:r>
      <w:r>
        <w:t xml:space="preserve"> </w:t>
      </w:r>
      <w:r>
        <w:rPr>
          <w:b/>
          <w:bCs/>
        </w:rPr>
        <w:t xml:space="preserve">abstract ≤150 words</w:t>
      </w:r>
      <w:r>
        <w:t xml:space="preserve">, double-blind, templates in InDesign / Word / PowerPoint, ≤150 MB. Reviewers explicitly judge whether images are</w:t>
      </w:r>
      <w:r>
        <w:t xml:space="preserve"> </w:t>
      </w:r>
      <w:r>
        <w:rPr>
          <w:b/>
          <w:bCs/>
        </w:rPr>
        <w:t xml:space="preserve">meaningful vs merely decorative</w:t>
      </w:r>
      <w:r>
        <w:t xml:space="preserve"> </w:t>
      </w:r>
      <w:r>
        <w:t xml:space="preserve">and whether</w:t>
      </w:r>
      <w:r>
        <w:t xml:space="preserve"> </w:t>
      </w:r>
      <w:r>
        <w:rPr>
          <w:b/>
          <w:bCs/>
        </w:rPr>
        <w:t xml:space="preserve">the placement of images and text composes a good narrative</w:t>
      </w:r>
      <w:r>
        <w:t xml:space="preserve">.</w:t>
      </w:r>
    </w:p>
    <w:p>
      <w:pPr>
        <w:pStyle w:val="BodyText"/>
      </w:pPr>
      <w:r>
        <w:rPr>
          <w:b/>
          <w:bCs/>
        </w:rPr>
        <w:t xml:space="preserve">Conference theme.</w:t>
      </w:r>
      <w:r>
        <w:t xml:space="preserve"> </w:t>
      </w:r>
      <w:r>
        <w:rPr>
          <w:i/>
          <w:iCs/>
        </w:rPr>
        <w:t xml:space="preserve">The Body in Space</w:t>
      </w:r>
      <w:r>
        <w:t xml:space="preserve"> </w:t>
      </w:r>
      <w:r>
        <w:t xml:space="preserve">— TEI 2027, Lisbon, 24–27 January 2027. Submission deadline</w:t>
      </w:r>
      <w:r>
        <w:t xml:space="preserve"> </w:t>
      </w:r>
      <w:r>
        <w:rPr>
          <w:b/>
          <w:bCs/>
        </w:rPr>
        <w:t xml:space="preserve">6 August 2026</w:t>
      </w:r>
      <w:r>
        <w:t xml:space="preserve">.</w:t>
      </w:r>
    </w:p>
    <w:p>
      <w:pPr>
        <w:pStyle w:val="BodyText"/>
      </w:pPr>
      <w:r>
        <w:rPr>
          <w:b/>
          <w:bCs/>
        </w:rPr>
        <w:t xml:space="preserve">Both prerequisites are met:</w:t>
      </w:r>
      <w:r>
        <w:t xml:space="preserve"> </w:t>
      </w:r>
      <w:r>
        <w:t xml:space="preserve">professional installation photography exists, and database access will be regained before the deadline for real longitudinal plots.</w:t>
      </w:r>
    </w:p>
    <w:p>
      <w:r>
        <w:pict>
          <v:rect style="width:0;height:1.5pt" o:hralign="center" o:hrstd="t" o:hr="t"/>
        </w:pict>
      </w:r>
    </w:p>
    <w:bookmarkEnd w:id="9"/>
    <w:bookmarkStart w:id="14" w:name="part-1-three-possible-approaches"/>
    <w:p>
      <w:pPr>
        <w:pStyle w:val="Heading1"/>
      </w:pPr>
      <w:r>
        <w:t xml:space="preserve">Part 1 — Three possible approaches</w:t>
      </w:r>
    </w:p>
    <w:bookmarkStart w:id="10" w:name="X8d5fafe1ae64ea22a63db7614b961af1eb80a66"/>
    <w:p>
      <w:pPr>
        <w:pStyle w:val="Heading2"/>
      </w:pPr>
      <w:r>
        <w:t xml:space="preserve">Approach 1 —</w:t>
      </w:r>
      <w:r>
        <w:t xml:space="preserve"> </w:t>
      </w:r>
      <w:r>
        <w:t xml:space="preserve">“Two Bodies in a Doorway”</w:t>
      </w:r>
      <w:r>
        <w:t xml:space="preserve"> </w:t>
      </w:r>
      <w:r>
        <w:t xml:space="preserve">(embodiment-led)</w:t>
      </w:r>
    </w:p>
    <w:p>
      <w:pPr>
        <w:pStyle w:val="FirstParagraph"/>
      </w:pPr>
      <w:r>
        <w:rPr>
          <w:b/>
          <w:bCs/>
        </w:rPr>
        <w:t xml:space="preserve">Spine.</w:t>
      </w:r>
      <w:r>
        <w:t xml:space="preserve"> </w:t>
      </w:r>
      <w:r>
        <w:t xml:space="preserve">The light has a body too. Human bodies on the sidewalk — position, speed, dwell, flow — are answered by a luminous body that nods, leans, sways, orbits, breathes, and settles. The pictorial is about two choreographies meeting in an alcove.</w:t>
      </w:r>
    </w:p>
    <w:p>
      <w:pPr>
        <w:pStyle w:val="BodyText"/>
      </w:pPr>
      <w:r>
        <w:rPr>
          <w:b/>
          <w:bCs/>
        </w:rPr>
        <w:t xml:space="preserve">Visual language.</w:t>
      </w:r>
      <w:r>
        <w:t xml:space="preserve"> </w:t>
      </w:r>
      <w:r>
        <w:t xml:space="preserve">Annotated photographs paired with movement notation. Photo strips of people in the active zone matched to the light’s gesture responses; dwell-phase timelines drawn like a score; the gesture library as a labelled plate.</w:t>
      </w:r>
    </w:p>
    <w:p>
      <w:pPr>
        <w:pStyle w:val="Compact"/>
        <w:numPr>
          <w:ilvl w:val="0"/>
          <w:numId w:val="1001"/>
        </w:numPr>
      </w:pPr>
      <w:r>
        <w:rPr>
          <w:b/>
          <w:bCs/>
        </w:rPr>
        <w:t xml:space="preserve">Theme fit:</w:t>
      </w:r>
      <w:r>
        <w:t xml:space="preserve"> </w:t>
      </w:r>
      <w:r>
        <w:t xml:space="preserve">★★★ (direct hit on body / movement / kinaesthetic)</w:t>
      </w:r>
    </w:p>
    <w:p>
      <w:pPr>
        <w:pStyle w:val="Compact"/>
        <w:numPr>
          <w:ilvl w:val="0"/>
          <w:numId w:val="1001"/>
        </w:numPr>
      </w:pPr>
      <w:r>
        <w:rPr>
          <w:b/>
          <w:bCs/>
        </w:rPr>
        <w:t xml:space="preserve">Asset readiness:</w:t>
      </w:r>
      <w:r>
        <w:t xml:space="preserve"> </w:t>
      </w:r>
      <w:r>
        <w:t xml:space="preserve">medium — leans on photography and two new diagrams</w:t>
      </w:r>
    </w:p>
    <w:p>
      <w:pPr>
        <w:pStyle w:val="Compact"/>
        <w:numPr>
          <w:ilvl w:val="0"/>
          <w:numId w:val="1001"/>
        </w:numPr>
      </w:pPr>
      <w:r>
        <w:rPr>
          <w:b/>
          <w:bCs/>
        </w:rPr>
        <w:t xml:space="preserve">Risk:</w:t>
      </w:r>
      <w:r>
        <w:t xml:space="preserve"> </w:t>
      </w:r>
      <w:r>
        <w:t xml:space="preserve">depends on strong photographs of people interacting</w:t>
      </w:r>
    </w:p>
    <w:bookmarkEnd w:id="10"/>
    <w:bookmarkStart w:id="11" w:name="X402cc74a7ff97ef077dc1dd87fe4e28116d1f8b"/>
    <w:p>
      <w:pPr>
        <w:pStyle w:val="Heading2"/>
      </w:pPr>
      <w:r>
        <w:t xml:space="preserve">Approach 2 —</w:t>
      </w:r>
      <w:r>
        <w:t xml:space="preserve"> </w:t>
      </w:r>
      <w:r>
        <w:t xml:space="preserve">“A Sidewalk Becomes Twelve Lights”</w:t>
      </w:r>
      <w:r>
        <w:t xml:space="preserve"> </w:t>
      </w:r>
      <w:r>
        <w:t xml:space="preserve">(systems-collapse)</w:t>
      </w:r>
    </w:p>
    <w:p>
      <w:pPr>
        <w:pStyle w:val="FirstParagraph"/>
      </w:pPr>
      <w:r>
        <w:rPr>
          <w:b/>
          <w:bCs/>
        </w:rPr>
        <w:t xml:space="preserve">Spine.</w:t>
      </w:r>
      <w:r>
        <w:t xml:space="preserve"> </w:t>
      </w:r>
      <w:r>
        <w:t xml:space="preserve">The visual drama of reduction — a city corner’s worth of embodied presence distilling, thirty times a second, into twelve brightness values. The funnel is the whole paper.</w:t>
      </w:r>
    </w:p>
    <w:p>
      <w:pPr>
        <w:pStyle w:val="BodyText"/>
      </w:pPr>
      <w:r>
        <w:rPr>
          <w:b/>
          <w:bCs/>
        </w:rPr>
        <w:t xml:space="preserve">Visual language.</w:t>
      </w:r>
      <w:r>
        <w:t xml:space="preserve"> </w:t>
      </w:r>
      <w:r>
        <w:t xml:space="preserve">Clean greyscale information design (the A0 / C-series style already built), reading as one continuous diagram unfolding across spreads, with photographic reality-checks at each end.</w:t>
      </w:r>
    </w:p>
    <w:p>
      <w:pPr>
        <w:pStyle w:val="Compact"/>
        <w:numPr>
          <w:ilvl w:val="0"/>
          <w:numId w:val="1002"/>
        </w:numPr>
      </w:pPr>
      <w:r>
        <w:rPr>
          <w:b/>
          <w:bCs/>
        </w:rPr>
        <w:t xml:space="preserve">Theme fit:</w:t>
      </w:r>
      <w:r>
        <w:t xml:space="preserve"> </w:t>
      </w:r>
      <w:r>
        <w:t xml:space="preserve">★★ (strong craft, but</w:t>
      </w:r>
      <w:r>
        <w:t xml:space="preserve"> </w:t>
      </w:r>
      <w:r>
        <w:t xml:space="preserve">“data collapse”</w:t>
      </w:r>
      <w:r>
        <w:t xml:space="preserve"> </w:t>
      </w:r>
      <w:r>
        <w:t xml:space="preserve">is more computational than embodied)</w:t>
      </w:r>
    </w:p>
    <w:p>
      <w:pPr>
        <w:pStyle w:val="Compact"/>
        <w:numPr>
          <w:ilvl w:val="0"/>
          <w:numId w:val="1002"/>
        </w:numPr>
      </w:pPr>
      <w:r>
        <w:rPr>
          <w:b/>
          <w:bCs/>
        </w:rPr>
        <w:t xml:space="preserve">Asset readiness:</w:t>
      </w:r>
      <w:r>
        <w:t xml:space="preserve"> </w:t>
      </w:r>
      <w:r>
        <w:t xml:space="preserve">high — ~70% already exists on-style</w:t>
      </w:r>
    </w:p>
    <w:p>
      <w:pPr>
        <w:pStyle w:val="Compact"/>
        <w:numPr>
          <w:ilvl w:val="0"/>
          <w:numId w:val="1002"/>
        </w:numPr>
      </w:pPr>
      <w:r>
        <w:rPr>
          <w:b/>
          <w:bCs/>
        </w:rPr>
        <w:t xml:space="preserve">Risk:</w:t>
      </w:r>
      <w:r>
        <w:t xml:space="preserve"> </w:t>
      </w:r>
      <w:r>
        <w:t xml:space="preserve">closest to the ACADIA paper; may read as a systems paper to TEI reviewers</w:t>
      </w:r>
    </w:p>
    <w:bookmarkEnd w:id="11"/>
    <w:bookmarkStart w:id="12" w:name="Xfa75dcdfdbb895d233e99ae185c3a148ceffcbb"/>
    <w:p>
      <w:pPr>
        <w:pStyle w:val="Heading2"/>
      </w:pPr>
      <w:r>
        <w:t xml:space="preserve">Approach 3 —</w:t>
      </w:r>
      <w:r>
        <w:t xml:space="preserve"> </w:t>
      </w:r>
      <w:r>
        <w:t xml:space="preserve">“The Light That Learned a Street”</w:t>
      </w:r>
      <w:r>
        <w:t xml:space="preserve"> </w:t>
      </w:r>
      <w:r>
        <w:t xml:space="preserve">(durational)</w:t>
      </w:r>
    </w:p>
    <w:p>
      <w:pPr>
        <w:pStyle w:val="FirstParagraph"/>
      </w:pPr>
      <w:r>
        <w:rPr>
          <w:b/>
          <w:bCs/>
        </w:rPr>
        <w:t xml:space="preserve">Spine.</w:t>
      </w:r>
      <w:r>
        <w:t xml:space="preserve"> </w:t>
      </w:r>
      <w:r>
        <w:t xml:space="preserve">What does an interactive system become after 54 days and a million bodies? A pictorial about time — how behaviour drifts, how the work designs for interactions it cannot anticipate, and how friction keeps it from going stale.</w:t>
      </w:r>
    </w:p>
    <w:p>
      <w:pPr>
        <w:pStyle w:val="BodyText"/>
      </w:pPr>
      <w:r>
        <w:rPr>
          <w:b/>
          <w:bCs/>
        </w:rPr>
        <w:t xml:space="preserve">Visual language.</w:t>
      </w:r>
      <w:r>
        <w:t xml:space="preserve"> </w:t>
      </w:r>
      <w:r>
        <w:t xml:space="preserve">Longitudinal data visualization plus before/after. Day/night rhythms, a personality shifting week 1 → week 7, scale and cadence charts, the self-tuning loop. Time runs along the page.</w:t>
      </w:r>
    </w:p>
    <w:p>
      <w:pPr>
        <w:pStyle w:val="Compact"/>
        <w:numPr>
          <w:ilvl w:val="0"/>
          <w:numId w:val="1003"/>
        </w:numPr>
      </w:pPr>
      <w:r>
        <w:rPr>
          <w:b/>
          <w:bCs/>
        </w:rPr>
        <w:t xml:space="preserve">Theme fit:</w:t>
      </w:r>
      <w:r>
        <w:t xml:space="preserve"> </w:t>
      </w:r>
      <w:r>
        <w:t xml:space="preserve">★★ (collective bodies shaping a space over time)</w:t>
      </w:r>
    </w:p>
    <w:p>
      <w:pPr>
        <w:pStyle w:val="Compact"/>
        <w:numPr>
          <w:ilvl w:val="0"/>
          <w:numId w:val="1003"/>
        </w:numPr>
      </w:pPr>
      <w:r>
        <w:rPr>
          <w:b/>
          <w:bCs/>
        </w:rPr>
        <w:t xml:space="preserve">Asset readiness:</w:t>
      </w:r>
      <w:r>
        <w:t xml:space="preserve"> </w:t>
      </w:r>
      <w:r>
        <w:t xml:space="preserve">medium — depends on real longitudinal data</w:t>
      </w:r>
    </w:p>
    <w:p>
      <w:pPr>
        <w:pStyle w:val="Compact"/>
        <w:numPr>
          <w:ilvl w:val="0"/>
          <w:numId w:val="1003"/>
        </w:numPr>
      </w:pPr>
      <w:r>
        <w:rPr>
          <w:b/>
          <w:bCs/>
        </w:rPr>
        <w:t xml:space="preserve">Risk:</w:t>
      </w:r>
      <w:r>
        <w:t xml:space="preserve"> </w:t>
      </w:r>
      <w:r>
        <w:t xml:space="preserve">strongest claims need real plotted data, not estimates</w:t>
      </w:r>
    </w:p>
    <w:bookmarkEnd w:id="12"/>
    <w:bookmarkStart w:id="13" w:name="recommendation-the-hybrid"/>
    <w:p>
      <w:pPr>
        <w:pStyle w:val="Heading2"/>
      </w:pPr>
      <w:r>
        <w:t xml:space="preserve">Recommendation — the hybrid</w:t>
      </w:r>
    </w:p>
    <w:p>
      <w:pPr>
        <w:pStyle w:val="FirstParagraph"/>
      </w:pPr>
      <w:r>
        <w:t xml:space="preserve">Lead with</w:t>
      </w:r>
      <w:r>
        <w:t xml:space="preserve"> </w:t>
      </w:r>
      <w:r>
        <w:rPr>
          <w:b/>
          <w:bCs/>
        </w:rPr>
        <w:t xml:space="preserve">Approach 1’s</w:t>
      </w:r>
      <w:r>
        <w:t xml:space="preserve"> </w:t>
      </w:r>
      <w:r>
        <w:t xml:space="preserve">embodiment framing as the spine, use</w:t>
      </w:r>
      <w:r>
        <w:t xml:space="preserve"> </w:t>
      </w:r>
      <w:r>
        <w:rPr>
          <w:b/>
          <w:bCs/>
        </w:rPr>
        <w:t xml:space="preserve">Approach 2’s</w:t>
      </w:r>
      <w:r>
        <w:t xml:space="preserve"> </w:t>
      </w:r>
      <w:r>
        <w:t xml:space="preserve">funnel as the central foldout, and close with</w:t>
      </w:r>
      <w:r>
        <w:t xml:space="preserve"> </w:t>
      </w:r>
      <w:r>
        <w:rPr>
          <w:b/>
          <w:bCs/>
        </w:rPr>
        <w:t xml:space="preserve">Approach 3’s</w:t>
      </w:r>
      <w:r>
        <w:t xml:space="preserve"> </w:t>
      </w:r>
      <w:r>
        <w:t xml:space="preserve">54-day drift. This uses every asset class, hits the theme head-on, and is deliberately</w:t>
      </w:r>
      <w:r>
        <w:t xml:space="preserve"> </w:t>
      </w:r>
      <w:r>
        <w:rPr>
          <w:i/>
          <w:iCs/>
        </w:rPr>
        <w:t xml:space="preserve">not</w:t>
      </w:r>
      <w:r>
        <w:t xml:space="preserve"> </w:t>
      </w:r>
      <w:r>
        <w:t xml:space="preserve">the ACADIA paper restructured. The rest of this document develops the hybrid.</w:t>
      </w:r>
    </w:p>
    <w:p>
      <w:r>
        <w:pict>
          <v:rect style="width:0;height:1.5pt" o:hralign="center" o:hrstd="t" o:hr="t"/>
        </w:pict>
      </w:r>
    </w:p>
    <w:bookmarkEnd w:id="13"/>
    <w:bookmarkEnd w:id="14"/>
    <w:bookmarkStart w:id="25" w:name="part-2-the-hybrid-abstract-storyboard"/>
    <w:p>
      <w:pPr>
        <w:pStyle w:val="Heading1"/>
      </w:pPr>
      <w:r>
        <w:t xml:space="preserve">Part 2 — The hybrid: abstract &amp; storyboard</w:t>
      </w:r>
    </w:p>
    <w:bookmarkStart w:id="15" w:name="abstract-139-words-under-the-150-limit"/>
    <w:p>
      <w:pPr>
        <w:pStyle w:val="Heading2"/>
      </w:pPr>
      <w:r>
        <w:t xml:space="preserve">Abstract (139 words — under the 150 limit)</w:t>
      </w:r>
    </w:p>
    <w:p>
      <w:pPr>
        <w:pStyle w:val="FirstParagraph"/>
      </w:pPr>
      <w:r>
        <w:t xml:space="preserve">DropCeiling turns a row of standard office light panels into a luminous body that shares a storefront with the bodies passing outside. Two cameras read pedestrians on the sidewalk, and an alcove in the architecture divides them into those who approach and those who pass. A single virtual point light moves through the panels in response, following, greeting, breathing, and settling, its position, brightness, and falloff the only output. This pictorial follows that exchange across three timescales: the instant of a gesture, the rhythm of an afternoon, and the slow drift of a personality over fifty-four days and a million encounters. Through annotated photographs and diagrams, we show how a system designed for interactions it could not anticipate composes its behaviour from presence alone, and how a whole street of movement is continually distilled into twelve values of light.</w:t>
      </w:r>
    </w:p>
    <w:bookmarkEnd w:id="15"/>
    <w:bookmarkStart w:id="16" w:name="X8243fff46edd84460442adf1a68fd57791395a3"/>
    <w:p>
      <w:pPr>
        <w:pStyle w:val="Heading2"/>
      </w:pPr>
      <w:r>
        <w:t xml:space="preserve">Visual language (the craft reviewers grade)</w:t>
      </w:r>
    </w:p>
    <w:p>
      <w:pPr>
        <w:pStyle w:val="Compact"/>
        <w:numPr>
          <w:ilvl w:val="0"/>
          <w:numId w:val="1004"/>
        </w:numPr>
      </w:pPr>
      <w:r>
        <w:rPr>
          <w:b/>
          <w:bCs/>
        </w:rPr>
        <w:t xml:space="preserve">Two registers, consistently paired</w:t>
      </w:r>
      <w:r>
        <w:t xml:space="preserve"> </w:t>
      </w:r>
      <w:r>
        <w:t xml:space="preserve">— every spread puts a</w:t>
      </w:r>
      <w:r>
        <w:t xml:space="preserve"> </w:t>
      </w:r>
      <w:r>
        <w:rPr>
          <w:i/>
          <w:iCs/>
        </w:rPr>
        <w:t xml:space="preserve">photograph</w:t>
      </w:r>
      <w:r>
        <w:t xml:space="preserve"> </w:t>
      </w:r>
      <w:r>
        <w:t xml:space="preserve">(real bodies, lit panels, street) beside its</w:t>
      </w:r>
      <w:r>
        <w:t xml:space="preserve"> </w:t>
      </w:r>
      <w:r>
        <w:rPr>
          <w:i/>
          <w:iCs/>
        </w:rPr>
        <w:t xml:space="preserve">diagram</w:t>
      </w:r>
      <w:r>
        <w:t xml:space="preserve"> </w:t>
      </w:r>
      <w:r>
        <w:t xml:space="preserve">(greyscale system language), so the reader sees the lived moment and its mechanism at once.</w:t>
      </w:r>
    </w:p>
    <w:p>
      <w:pPr>
        <w:pStyle w:val="Compact"/>
        <w:numPr>
          <w:ilvl w:val="0"/>
          <w:numId w:val="1004"/>
        </w:numPr>
      </w:pPr>
      <w:r>
        <w:rPr>
          <w:b/>
          <w:bCs/>
        </w:rPr>
        <w:t xml:space="preserve">Greyscale + one warm accent</w:t>
      </w:r>
      <w:r>
        <w:t xml:space="preserve"> </w:t>
      </w:r>
      <w:r>
        <w:t xml:space="preserve">reserved exclusively for the light itself (point light + lit panels), so the eye always finds the luminous body on the page.</w:t>
      </w:r>
    </w:p>
    <w:p>
      <w:pPr>
        <w:pStyle w:val="Compact"/>
        <w:numPr>
          <w:ilvl w:val="0"/>
          <w:numId w:val="1004"/>
        </w:numPr>
      </w:pPr>
      <w:r>
        <w:rPr>
          <w:b/>
          <w:bCs/>
        </w:rPr>
        <w:t xml:space="preserve">Time runs left-to-right / top-to-bottom</w:t>
      </w:r>
      <w:r>
        <w:t xml:space="preserve"> </w:t>
      </w:r>
      <w:r>
        <w:t xml:space="preserve">— gestures, afternoons, and the 54-day arc all read as timelines, so</w:t>
      </w:r>
      <w:r>
        <w:t xml:space="preserve"> </w:t>
      </w:r>
      <w:r>
        <w:t xml:space="preserve">“the body in time”</w:t>
      </w:r>
      <w:r>
        <w:t xml:space="preserve"> </w:t>
      </w:r>
      <w:r>
        <w:t xml:space="preserve">is legible as layout.</w:t>
      </w:r>
    </w:p>
    <w:p>
      <w:pPr>
        <w:pStyle w:val="Compact"/>
        <w:numPr>
          <w:ilvl w:val="0"/>
          <w:numId w:val="1004"/>
        </w:numPr>
      </w:pPr>
      <w:r>
        <w:rPr>
          <w:b/>
          <w:bCs/>
        </w:rPr>
        <w:t xml:space="preserve">Annotation as voice</w:t>
      </w:r>
      <w:r>
        <w:t xml:space="preserve"> </w:t>
      </w:r>
      <w:r>
        <w:t xml:space="preserve">— text lives as captions and callouts, not body paragraphs. Optional Introduction/Conclusion kept minimal.</w:t>
      </w:r>
    </w:p>
    <w:bookmarkEnd w:id="16"/>
    <w:bookmarkStart w:id="24" w:name="storyboard-12-pages-title-6-spreads"/>
    <w:p>
      <w:pPr>
        <w:pStyle w:val="Heading2"/>
      </w:pPr>
      <w:r>
        <w:t xml:space="preserve">Storyboard (12 pages = title + ~6 spreads)</w:t>
      </w:r>
    </w:p>
    <w:bookmarkStart w:id="17" w:name="p1-title-opening-image-1-p"/>
    <w:p>
      <w:pPr>
        <w:pStyle w:val="Heading3"/>
      </w:pPr>
      <w:r>
        <w:t xml:space="preserve">P1 — Title + opening image (1 p)</w:t>
      </w:r>
    </w:p>
    <w:p>
      <w:pPr>
        <w:pStyle w:val="FirstParagraph"/>
      </w:pPr>
      <w:r>
        <w:t xml:space="preserve">Arrival: the luminous body in its doorway at night. Full-bleed hero photo. Title, abstract, keywords.</w:t>
      </w:r>
    </w:p>
    <w:bookmarkEnd w:id="17"/>
    <w:bookmarkStart w:id="18" w:name="spread-a-pp-23-the-stage"/>
    <w:p>
      <w:pPr>
        <w:pStyle w:val="Heading3"/>
      </w:pPr>
      <w:r>
        <w:t xml:space="preserve">Spread A (pp 2–3) —</w:t>
      </w:r>
      <w:r>
        <w:t xml:space="preserve"> </w:t>
      </w:r>
      <w:r>
        <w:t xml:space="preserve">“The Stage”</w:t>
      </w:r>
    </w:p>
    <w:p>
      <w:pPr>
        <w:pStyle w:val="FirstParagraph"/>
      </w:pPr>
      <w:r>
        <w:t xml:space="preserve">The architecture sets the rules; the alcove divides approachers from passers. Wide street photo + the to-scale spatial plan (panels, two cameras, active/passive zones). Annotations: zones labelled,</w:t>
      </w:r>
      <w:r>
        <w:t xml:space="preserve"> </w:t>
      </w:r>
      <w:r>
        <w:t xml:space="preserve">“presence alone is the input,”</w:t>
      </w:r>
      <w:r>
        <w:t xml:space="preserve"> </w:t>
      </w:r>
      <w:r>
        <w:t xml:space="preserve">cameras</w:t>
      </w:r>
      <w:r>
        <w:t xml:space="preserve"> </w:t>
      </w:r>
      <w:r>
        <w:t xml:space="preserve">“mounted inside, looking out.”</w:t>
      </w:r>
    </w:p>
    <w:bookmarkEnd w:id="18"/>
    <w:bookmarkStart w:id="19" w:name="spread-b-pp-45-the-duet-embodiment-core"/>
    <w:p>
      <w:pPr>
        <w:pStyle w:val="Heading3"/>
      </w:pPr>
      <w:r>
        <w:t xml:space="preserve">Spread B (pp 4–5) —</w:t>
      </w:r>
      <w:r>
        <w:t xml:space="preserve"> </w:t>
      </w:r>
      <w:r>
        <w:t xml:space="preserve">“The Duet”</w:t>
      </w:r>
      <w:r>
        <w:t xml:space="preserve"> </w:t>
      </w:r>
      <w:r>
        <w:rPr>
          <w:i/>
          <w:iCs/>
        </w:rPr>
        <w:t xml:space="preserve">(embodiment core)</w:t>
      </w:r>
    </w:p>
    <w:p>
      <w:pPr>
        <w:pStyle w:val="FirstParagraph"/>
      </w:pPr>
      <w:r>
        <w:t xml:space="preserve">Two bodies meet; dwell deepens the exchange (notice → greet → engage → bond). A photo sequence of one person dwelling, matched frame-for-frame to the light’s response, plus the gesture-notation plate and the dwell-phase score.</w:t>
      </w:r>
    </w:p>
    <w:bookmarkEnd w:id="19"/>
    <w:bookmarkStart w:id="20" w:name="spread-c-pp-67-the-collapse-the-foldout"/>
    <w:p>
      <w:pPr>
        <w:pStyle w:val="Heading3"/>
      </w:pPr>
      <w:r>
        <w:t xml:space="preserve">Spread C (pp 6–7) —</w:t>
      </w:r>
      <w:r>
        <w:t xml:space="preserve"> </w:t>
      </w:r>
      <w:r>
        <w:t xml:space="preserve">“The Collapse”</w:t>
      </w:r>
      <w:r>
        <w:t xml:space="preserve"> </w:t>
      </w:r>
      <w:r>
        <w:rPr>
          <w:i/>
          <w:iCs/>
        </w:rPr>
        <w:t xml:space="preserve">(the foldout)</w:t>
      </w:r>
    </w:p>
    <w:p>
      <w:pPr>
        <w:pStyle w:val="FirstParagraph"/>
      </w:pPr>
      <w:r>
        <w:t xml:space="preserve">A street of movement distilled, 30×/second, to twelve values. The 12 panels lit (photo) at one edge, real pedestrians at the other; the master overview / funnel diagram as the spine; per-panel falloff as an inset.</w:t>
      </w:r>
    </w:p>
    <w:bookmarkEnd w:id="20"/>
    <w:bookmarkStart w:id="21" w:name="spread-d-pp-89-three-timescales"/>
    <w:p>
      <w:pPr>
        <w:pStyle w:val="Heading3"/>
      </w:pPr>
      <w:r>
        <w:t xml:space="preserve">Spread D (pp 8–9) —</w:t>
      </w:r>
      <w:r>
        <w:t xml:space="preserve"> </w:t>
      </w:r>
      <w:r>
        <w:t xml:space="preserve">“Three Timescales”</w:t>
      </w:r>
    </w:p>
    <w:p>
      <w:pPr>
        <w:pStyle w:val="FirstParagraph"/>
      </w:pPr>
      <w:r>
        <w:t xml:space="preserve">The body in time: reaction (instant) within anticipation (afternoon) within self-tuning (days). A 24-hour rhythm strip from real data; the nested-loops diagram; trend windows; fast-vs-slow cadence.</w:t>
      </w:r>
    </w:p>
    <w:bookmarkEnd w:id="21"/>
    <w:bookmarkStart w:id="22" w:name="spread-e-pp-1011-the-light-that-learned"/>
    <w:p>
      <w:pPr>
        <w:pStyle w:val="Heading3"/>
      </w:pPr>
      <w:r>
        <w:t xml:space="preserve">Spread E (pp 10–11) —</w:t>
      </w:r>
      <w:r>
        <w:t xml:space="preserve"> </w:t>
      </w:r>
      <w:r>
        <w:t xml:space="preserve">“The Light That Learned”</w:t>
      </w:r>
    </w:p>
    <w:p>
      <w:pPr>
        <w:pStyle w:val="FirstParagraph"/>
      </w:pPr>
      <w:r>
        <w:t xml:space="preserve">Designing for the unanticipated; how it stayed alive without going stale. Before/after week-1 vs week-7; the personality radar; the self-tuning loop; run totals; the interaction-budget sketch.</w:t>
      </w:r>
    </w:p>
    <w:bookmarkEnd w:id="22"/>
    <w:bookmarkStart w:id="23" w:name="p12-back-made-by-a-model-of-itself"/>
    <w:p>
      <w:pPr>
        <w:pStyle w:val="Heading3"/>
      </w:pPr>
      <w:r>
        <w:t xml:space="preserve">P12 / back —</w:t>
      </w:r>
      <w:r>
        <w:t xml:space="preserve"> </w:t>
      </w:r>
      <w:r>
        <w:t xml:space="preserve">“Made by a model of itself”</w:t>
      </w:r>
    </w:p>
    <w:p>
      <w:pPr>
        <w:pStyle w:val="FirstParagraph"/>
      </w:pPr>
      <w:r>
        <w:t xml:space="preserve">Brief method note: the spatial 3D model as the shared brain for human + AI authoring; the pygame twin beside the real install. Then references (excluded from the page count).</w:t>
      </w:r>
    </w:p>
    <w:p>
      <w:r>
        <w:pict>
          <v:rect style="width:0;height:1.5pt" o:hralign="center" o:hrstd="t" o:hr="t"/>
        </w:pict>
      </w:r>
    </w:p>
    <w:bookmarkEnd w:id="23"/>
    <w:bookmarkEnd w:id="24"/>
    <w:bookmarkEnd w:id="25"/>
    <w:bookmarkStart w:id="32" w:name="X22d9c06791111150eac383b989a43e80deaad1b"/>
    <w:p>
      <w:pPr>
        <w:pStyle w:val="Heading1"/>
      </w:pPr>
      <w:r>
        <w:t xml:space="preserve">Part 3 — Figure specifications (the new pieces)</w:t>
      </w:r>
    </w:p>
    <w:p>
      <w:pPr>
        <w:pStyle w:val="FirstParagraph"/>
      </w:pPr>
      <w:r>
        <w:t xml:space="preserve">Six pieces need to be built or refreshed. Each entry: what it shows, the data source, the visual form, and the argument it must carry.</w:t>
      </w:r>
    </w:p>
    <w:bookmarkStart w:id="26" w:name="X90062529f0a8dbdfc112b644c09514d8a0b2d86"/>
    <w:p>
      <w:pPr>
        <w:pStyle w:val="Heading2"/>
      </w:pPr>
      <w:r>
        <w:t xml:space="preserve">Figure 1 — Gesture-notation plate</w:t>
      </w:r>
      <w:r>
        <w:t xml:space="preserve"> </w:t>
      </w:r>
      <w:r>
        <w:rPr>
          <w:i/>
          <w:iCs/>
        </w:rPr>
        <w:t xml:space="preserve">(Spread B; highest priority; does not exist)</w:t>
      </w:r>
    </w:p>
    <w:p>
      <w:pPr>
        <w:pStyle w:val="FirstParagraph"/>
      </w:pPr>
      <w:r>
        <w:rPr>
          <w:b/>
          <w:bCs/>
        </w:rPr>
        <w:t xml:space="preserve">Shows.</w:t>
      </w:r>
      <w:r>
        <w:t xml:space="preserve"> </w:t>
      </w:r>
      <w:r>
        <w:t xml:space="preserve">The light’s complete movement vocabulary as a grid of small</w:t>
      </w:r>
      <w:r>
        <w:t xml:space="preserve"> </w:t>
      </w:r>
      <w:r>
        <w:t xml:space="preserve">“motion glyphs,”</w:t>
      </w:r>
      <w:r>
        <w:t xml:space="preserve"> </w:t>
      </w:r>
      <w:r>
        <w:t xml:space="preserve">one cell per gesture, each a tiny diagram of how the luminous body displaces in space. The piece that makes the project legible as</w:t>
      </w:r>
      <w:r>
        <w:t xml:space="preserve"> </w:t>
      </w:r>
      <w:r>
        <w:rPr>
          <w:i/>
          <w:iCs/>
        </w:rPr>
        <w:t xml:space="preserve">movement</w:t>
      </w:r>
      <w:r>
        <w:t xml:space="preserve"> </w:t>
      </w:r>
      <w:r>
        <w:t xml:space="preserve">rather than</w:t>
      </w:r>
      <w:r>
        <w:t xml:space="preserve"> </w:t>
      </w:r>
      <w:r>
        <w:rPr>
          <w:i/>
          <w:iCs/>
        </w:rPr>
        <w:t xml:space="preserve">lighting control</w:t>
      </w:r>
      <w:r>
        <w:t xml:space="preserve">.</w:t>
      </w:r>
    </w:p>
    <w:p>
      <w:pPr>
        <w:pStyle w:val="BodyText"/>
      </w:pPr>
      <w:r>
        <w:rPr>
          <w:b/>
          <w:bCs/>
        </w:rPr>
        <w:t xml:space="preserve">Content (real amplitudes from the source).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Gesture</w:t>
            </w:r>
          </w:p>
        </w:tc>
        <w:tc>
          <w:tcPr/>
          <w:p>
            <w:pPr>
              <w:pStyle w:val="Compact"/>
            </w:pPr>
            <w:r>
              <w:t xml:space="preserve">Motion</w:t>
            </w:r>
          </w:p>
        </w:tc>
        <w:tc>
          <w:tcPr/>
          <w:p>
            <w:pPr>
              <w:pStyle w:val="Compact"/>
            </w:pPr>
            <w:r>
              <w:t xml:space="preserve">Glyph depicts</w:t>
            </w:r>
          </w:p>
        </w:tc>
      </w:tr>
      <w:tr>
        <w:tc>
          <w:tcPr/>
          <w:p>
            <w:pPr>
              <w:pStyle w:val="Compact"/>
            </w:pPr>
            <w:r>
              <w:t xml:space="preserve">Nod</w:t>
            </w:r>
          </w:p>
        </w:tc>
        <w:tc>
          <w:tcPr/>
          <w:p>
            <w:pPr>
              <w:pStyle w:val="Compact"/>
            </w:pPr>
            <w:r>
              <w:t xml:space="preserve">12 cm vertical bob (Y)</w:t>
            </w:r>
          </w:p>
        </w:tc>
        <w:tc>
          <w:tcPr/>
          <w:p>
            <w:pPr>
              <w:pStyle w:val="Compact"/>
            </w:pPr>
            <w:r>
              <w:t xml:space="preserve">short up-down arrow</w:t>
            </w:r>
          </w:p>
        </w:tc>
      </w:tr>
      <w:tr>
        <w:tc>
          <w:tcPr/>
          <w:p>
            <w:pPr>
              <w:pStyle w:val="Compact"/>
            </w:pPr>
            <w:r>
              <w:t xml:space="preserve">Lean</w:t>
            </w:r>
          </w:p>
        </w:tc>
        <w:tc>
          <w:tcPr/>
          <w:p>
            <w:pPr>
              <w:pStyle w:val="Compact"/>
            </w:pPr>
            <w:r>
              <w:t xml:space="preserve">15 cm forward (Z) + depth stretch ×1.5</w:t>
            </w:r>
          </w:p>
        </w:tc>
        <w:tc>
          <w:tcPr/>
          <w:p>
            <w:pPr>
              <w:pStyle w:val="Compact"/>
            </w:pPr>
            <w:r>
              <w:t xml:space="preserve">arrow toward viewer + beam elongating</w:t>
            </w:r>
          </w:p>
        </w:tc>
      </w:tr>
      <w:tr>
        <w:tc>
          <w:tcPr/>
          <w:p>
            <w:pPr>
              <w:pStyle w:val="Compact"/>
            </w:pPr>
            <w:r>
              <w:t xml:space="preserve">Sway</w:t>
            </w:r>
          </w:p>
        </w:tc>
        <w:tc>
          <w:tcPr/>
          <w:p>
            <w:pPr>
              <w:pStyle w:val="Compact"/>
            </w:pPr>
            <w:r>
              <w:t xml:space="preserve">18 cm lateral (X) + horizontal stretch ×1.8</w:t>
            </w:r>
          </w:p>
        </w:tc>
        <w:tc>
          <w:tcPr/>
          <w:p>
            <w:pPr>
              <w:pStyle w:val="Compact"/>
            </w:pPr>
            <w:r>
              <w:t xml:space="preserve">side-to-side arc + widening</w:t>
            </w:r>
          </w:p>
        </w:tc>
      </w:tr>
      <w:tr>
        <w:tc>
          <w:tcPr/>
          <w:p>
            <w:pPr>
              <w:pStyle w:val="Compact"/>
            </w:pPr>
            <w:r>
              <w:t xml:space="preserve">Orbit</w:t>
            </w:r>
          </w:p>
        </w:tc>
        <w:tc>
          <w:tcPr/>
          <w:p>
            <w:pPr>
              <w:pStyle w:val="Compact"/>
            </w:pPr>
            <w:r>
              <w:t xml:space="preserve">15 cm X / 8 cm Y circle + rotation</w:t>
            </w:r>
          </w:p>
        </w:tc>
        <w:tc>
          <w:tcPr/>
          <w:p>
            <w:pPr>
              <w:pStyle w:val="Compact"/>
            </w:pPr>
            <w:r>
              <w:t xml:space="preserve">small ellipse with rotation tick</w:t>
            </w:r>
          </w:p>
        </w:tc>
      </w:tr>
      <w:tr>
        <w:tc>
          <w:tcPr/>
          <w:p>
            <w:pPr>
              <w:pStyle w:val="Compact"/>
            </w:pPr>
            <w:r>
              <w:t xml:space="preserve">Settle</w:t>
            </w:r>
          </w:p>
        </w:tc>
        <w:tc>
          <w:tcPr/>
          <w:p>
            <w:pPr>
              <w:pStyle w:val="Compact"/>
            </w:pPr>
            <w:r>
              <w:t xml:space="preserve">−8 cm Z, −10 cm radius, scale 0.7</w:t>
            </w:r>
          </w:p>
        </w:tc>
        <w:tc>
          <w:tcPr/>
          <w:p>
            <w:pPr>
              <w:pStyle w:val="Compact"/>
            </w:pPr>
            <w:r>
              <w:t xml:space="preserve">inward-contracting rings</w:t>
            </w:r>
          </w:p>
        </w:tc>
      </w:tr>
      <w:tr>
        <w:tc>
          <w:tcPr/>
          <w:p>
            <w:pPr>
              <w:pStyle w:val="Compact"/>
            </w:pPr>
            <w:r>
              <w:t xml:space="preserve">Breathe</w:t>
            </w:r>
          </w:p>
        </w:tc>
        <w:tc>
          <w:tcPr/>
          <w:p>
            <w:pPr>
              <w:pStyle w:val="Compact"/>
            </w:pPr>
            <w:r>
              <w:t xml:space="preserve">brightness ±12%, radius ±6% sinusoid</w:t>
            </w:r>
          </w:p>
        </w:tc>
        <w:tc>
          <w:tcPr/>
          <w:p>
            <w:pPr>
              <w:pStyle w:val="Compact"/>
            </w:pPr>
            <w:r>
              <w:t xml:space="preserve">waveform / pulsing ring</w:t>
            </w:r>
          </w:p>
        </w:tc>
      </w:tr>
      <w:tr>
        <w:tc>
          <w:tcPr/>
          <w:p>
            <w:pPr>
              <w:pStyle w:val="Compact"/>
            </w:pPr>
            <w:r>
              <w:t xml:space="preserve">Sweep</w:t>
            </w:r>
          </w:p>
        </w:tc>
        <w:tc>
          <w:tcPr/>
          <w:p>
            <w:pPr>
              <w:pStyle w:val="Compact"/>
            </w:pPr>
            <w:r>
              <w:t xml:space="preserve">25 cm X scan + stretch ×2.5</w:t>
            </w:r>
          </w:p>
        </w:tc>
        <w:tc>
          <w:tcPr/>
          <w:p>
            <w:pPr>
              <w:pStyle w:val="Compact"/>
            </w:pPr>
            <w:r>
              <w:t xml:space="preserve">wide horizontal swoosh</w:t>
            </w:r>
          </w:p>
        </w:tc>
      </w:tr>
      <w:tr>
        <w:tc>
          <w:tcPr/>
          <w:p>
            <w:pPr>
              <w:pStyle w:val="Compact"/>
            </w:pPr>
            <w:r>
              <w:t xml:space="preserve">Focus</w:t>
            </w:r>
          </w:p>
        </w:tc>
        <w:tc>
          <w:tcPr/>
          <w:p>
            <w:pPr>
              <w:pStyle w:val="Compact"/>
            </w:pPr>
            <w:r>
              <w:t xml:space="preserve">scale 0.5, +20 brightness</w:t>
            </w:r>
          </w:p>
        </w:tc>
        <w:tc>
          <w:tcPr/>
          <w:p>
            <w:pPr>
              <w:pStyle w:val="Compact"/>
            </w:pPr>
            <w:r>
              <w:t xml:space="preserve">tightening crosshair, brighter core</w:t>
            </w:r>
          </w:p>
        </w:tc>
      </w:tr>
    </w:tbl>
    <w:p>
      <w:pPr>
        <w:pStyle w:val="BodyText"/>
      </w:pPr>
      <w:r>
        <w:t xml:space="preserve">Plus the event gestures: acknowledge, curious, welcome, bored, farewell, surprised, thinking, hesitant, playful, bloom.</w:t>
      </w:r>
    </w:p>
    <w:p>
      <w:pPr>
        <w:pStyle w:val="BodyText"/>
      </w:pPr>
      <w:r>
        <w:rPr>
          <w:b/>
          <w:bCs/>
        </w:rPr>
        <w:t xml:space="preserve">Form.</w:t>
      </w:r>
      <w:r>
        <w:t xml:space="preserve"> </w:t>
      </w:r>
      <w:r>
        <w:t xml:space="preserve">Small-multiples grid, greyscale, warm accent on the moving element. Each glyph captioned with its trigger (e.g. </w:t>
      </w:r>
      <w:r>
        <w:t xml:space="preserve">“Bloom — full-panel illumination, ≤15%/min”</w:t>
      </w:r>
      <w:r>
        <w:t xml:space="preserve">). Dance-notation meets a typeface specimen sheet.</w:t>
      </w:r>
    </w:p>
    <w:p>
      <w:pPr>
        <w:pStyle w:val="BodyText"/>
      </w:pPr>
      <w:r>
        <w:rPr>
          <w:b/>
          <w:bCs/>
        </w:rPr>
        <w:t xml:space="preserve">Argument.</w:t>
      </w:r>
      <w:r>
        <w:t xml:space="preserve"> </w:t>
      </w:r>
      <w:r>
        <w:t xml:space="preserve">The light has a body with a vocabulary of movement — the most direct answer to</w:t>
      </w:r>
      <w:r>
        <w:t xml:space="preserve"> </w:t>
      </w:r>
      <w:r>
        <w:t xml:space="preserve">“The Body in Space.”</w:t>
      </w:r>
    </w:p>
    <w:bookmarkEnd w:id="26"/>
    <w:bookmarkStart w:id="27" w:name="Xa7402e644d10273614a300e1868c58d72f9bd8e"/>
    <w:p>
      <w:pPr>
        <w:pStyle w:val="Heading2"/>
      </w:pPr>
      <w:r>
        <w:t xml:space="preserve">Figure 2 — Dwell photo/response strip</w:t>
      </w:r>
      <w:r>
        <w:t xml:space="preserve"> </w:t>
      </w:r>
      <w:r>
        <w:rPr>
          <w:i/>
          <w:iCs/>
        </w:rPr>
        <w:t xml:space="preserve">(Spread B; needs photography)</w:t>
      </w:r>
    </w:p>
    <w:p>
      <w:pPr>
        <w:pStyle w:val="FirstParagraph"/>
      </w:pPr>
      <w:r>
        <w:rPr>
          <w:b/>
          <w:bCs/>
        </w:rPr>
        <w:t xml:space="preserve">Shows.</w:t>
      </w:r>
      <w:r>
        <w:t xml:space="preserve"> </w:t>
      </w:r>
      <w:r>
        <w:t xml:space="preserve">A single person’s encounter unfolding over time. Top row: the human body (professional photo frames). Bottom row: the light’s response at the same moments — the two choreographies in register.</w:t>
      </w:r>
    </w:p>
    <w:p>
      <w:pPr>
        <w:pStyle w:val="BodyText"/>
      </w:pPr>
      <w:r>
        <w:rPr>
          <w:b/>
          <w:bCs/>
        </w:rPr>
        <w:t xml:space="preserve">Structure (the real dwell phases).</w:t>
      </w:r>
      <w:r>
        <w:t xml:space="preserve"> </w:t>
      </w:r>
      <w:r>
        <w:t xml:space="preserve">Notice (0–3 s): turns toward, entry pulse. Greet (3–10 s): settles, brightens, first nods/leans. Engage (10–30 s): sway, orbit, deeper breathing. Bond (30 s+): very settled, warm infrequent gestures.</w:t>
      </w:r>
    </w:p>
    <w:p>
      <w:pPr>
        <w:pStyle w:val="BodyText"/>
      </w:pPr>
      <w:r>
        <w:rPr>
          <w:b/>
          <w:bCs/>
        </w:rPr>
        <w:t xml:space="preserve">Form.</w:t>
      </w:r>
      <w:r>
        <w:t xml:space="preserve"> </w:t>
      </w:r>
      <w:r>
        <w:t xml:space="preserve">Horizontal time-strip with a sweeping</w:t>
      </w:r>
      <w:r>
        <w:t xml:space="preserve"> </w:t>
      </w:r>
      <w:r>
        <w:t xml:space="preserve">“now”</w:t>
      </w:r>
      <w:r>
        <w:t xml:space="preserve"> </w:t>
      </w:r>
      <w:r>
        <w:t xml:space="preserve">line; phase boundaries marked along the bottom as a score; photo above, light-state below, frame-aligned.</w:t>
      </w:r>
    </w:p>
    <w:p>
      <w:pPr>
        <w:pStyle w:val="BodyText"/>
      </w:pPr>
      <w:r>
        <w:rPr>
          <w:b/>
          <w:bCs/>
        </w:rPr>
        <w:t xml:space="preserve">Argument.</w:t>
      </w:r>
      <w:r>
        <w:t xml:space="preserve"> </w:t>
      </w:r>
      <w:r>
        <w:t xml:space="preserve">Engagement is durational and reciprocal — it deepens the longer a body stays.</w:t>
      </w:r>
    </w:p>
    <w:p>
      <w:pPr>
        <w:pStyle w:val="BodyText"/>
      </w:pPr>
      <w:r>
        <w:rPr>
          <w:b/>
          <w:bCs/>
        </w:rPr>
        <w:t xml:space="preserve">Dependency.</w:t>
      </w:r>
      <w:r>
        <w:t xml:space="preserve"> </w:t>
      </w:r>
      <w:r>
        <w:t xml:space="preserve">Requires professional dwell-sequence stills aligned to matching light-state captures.</w:t>
      </w:r>
      <w:r>
        <w:t xml:space="preserve"> </w:t>
      </w:r>
      <w:r>
        <w:rPr>
          <w:i/>
          <w:iCs/>
        </w:rPr>
        <w:t xml:space="preserve">Open question: do the photos include a true sequence, or will the duet be composed from single shots?</w:t>
      </w:r>
    </w:p>
    <w:bookmarkEnd w:id="27"/>
    <w:bookmarkStart w:id="28" w:name="X86df5c9f3a181e48727b0c5fdb7eaea21878a30"/>
    <w:p>
      <w:pPr>
        <w:pStyle w:val="Heading2"/>
      </w:pPr>
      <w:r>
        <w:t xml:space="preserve">Figure 3 — Personality radar</w:t>
      </w:r>
      <w:r>
        <w:t xml:space="preserve"> </w:t>
      </w:r>
      <w:r>
        <w:rPr>
          <w:i/>
          <w:iCs/>
        </w:rPr>
        <w:t xml:space="preserve">(Spread E; data in hand, no DB pull needed)</w:t>
      </w:r>
    </w:p>
    <w:p>
      <w:pPr>
        <w:pStyle w:val="FirstParagraph"/>
      </w:pPr>
      <w:r>
        <w:rPr>
          <w:b/>
          <w:bCs/>
        </w:rPr>
        <w:t xml:space="preserve">Shows.</w:t>
      </w:r>
      <w:r>
        <w:t xml:space="preserve"> </w:t>
      </w:r>
      <w:r>
        <w:t xml:space="preserve">A 6-spoke radar of the personality meta-parameters with two overlaid rings: the neutral home values the system started from vs the as-deployed values it drifted to over 54 days. The gap between the rings is the learning, in one image.</w:t>
      </w:r>
    </w:p>
    <w:p>
      <w:pPr>
        <w:pStyle w:val="BodyText"/>
      </w:pPr>
      <w:r>
        <w:rPr>
          <w:b/>
          <w:bCs/>
        </w:rPr>
        <w:t xml:space="preserve">Content (real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Home (start)</w:t>
            </w:r>
          </w:p>
        </w:tc>
        <w:tc>
          <w:tcPr/>
          <w:p>
            <w:pPr>
              <w:pStyle w:val="Compact"/>
            </w:pPr>
            <w:r>
              <w:t xml:space="preserve">As-deployed (end)</w:t>
            </w:r>
          </w:p>
        </w:tc>
        <w:tc>
          <w:tcPr/>
          <w:p>
            <w:pPr>
              <w:pStyle w:val="Compact"/>
            </w:pPr>
            <w:r>
              <w:t xml:space="preserve">Drift</w:t>
            </w:r>
          </w:p>
        </w:tc>
      </w:tr>
      <w:tr>
        <w:tc>
          <w:tcPr/>
          <w:p>
            <w:pPr>
              <w:pStyle w:val="Compact"/>
            </w:pPr>
            <w:r>
              <w:t xml:space="preserve">responsiveness</w:t>
            </w:r>
          </w:p>
        </w:tc>
        <w:tc>
          <w:tcPr/>
          <w:p>
            <w:pPr>
              <w:pStyle w:val="Compact"/>
            </w:pPr>
            <w:r>
              <w:t xml:space="preserve">0.53</w:t>
            </w:r>
          </w:p>
        </w:tc>
        <w:tc>
          <w:tcPr/>
          <w:p>
            <w:pPr>
              <w:pStyle w:val="Compact"/>
            </w:pPr>
            <w:r>
              <w:t xml:space="preserve">0.83</w:t>
            </w:r>
          </w:p>
        </w:tc>
        <w:tc>
          <w:tcPr/>
          <w:p>
            <w:pPr>
              <w:pStyle w:val="Compact"/>
            </w:pPr>
            <w:r>
              <w:t xml:space="preserve">up, large</w:t>
            </w:r>
          </w:p>
        </w:tc>
      </w:tr>
      <w:tr>
        <w:tc>
          <w:tcPr/>
          <w:p>
            <w:pPr>
              <w:pStyle w:val="Compact"/>
            </w:pPr>
            <w:r>
              <w:t xml:space="preserve">energy</w:t>
            </w:r>
          </w:p>
        </w:tc>
        <w:tc>
          <w:tcPr/>
          <w:p>
            <w:pPr>
              <w:pStyle w:val="Compact"/>
            </w:pPr>
            <w:r>
              <w:t xml:space="preserve">0.48</w:t>
            </w:r>
          </w:p>
        </w:tc>
        <w:tc>
          <w:tcPr/>
          <w:p>
            <w:pPr>
              <w:pStyle w:val="Compact"/>
            </w:pPr>
            <w:r>
              <w:t xml:space="preserve">0.77</w:t>
            </w:r>
          </w:p>
        </w:tc>
        <w:tc>
          <w:tcPr/>
          <w:p>
            <w:pPr>
              <w:pStyle w:val="Compact"/>
            </w:pPr>
            <w:r>
              <w:t xml:space="preserve">up, large</w:t>
            </w:r>
          </w:p>
        </w:tc>
      </w:tr>
      <w:tr>
        <w:tc>
          <w:tcPr/>
          <w:p>
            <w:pPr>
              <w:pStyle w:val="Compact"/>
            </w:pPr>
            <w:r>
              <w:t xml:space="preserve">exploration</w:t>
            </w:r>
          </w:p>
        </w:tc>
        <w:tc>
          <w:tcPr/>
          <w:p>
            <w:pPr>
              <w:pStyle w:val="Compact"/>
            </w:pPr>
            <w:r>
              <w:t xml:space="preserve">0.40</w:t>
            </w:r>
          </w:p>
        </w:tc>
        <w:tc>
          <w:tcPr/>
          <w:p>
            <w:pPr>
              <w:pStyle w:val="Compact"/>
            </w:pPr>
            <w:r>
              <w:t xml:space="preserve">0.71</w:t>
            </w:r>
          </w:p>
        </w:tc>
        <w:tc>
          <w:tcPr/>
          <w:p>
            <w:pPr>
              <w:pStyle w:val="Compact"/>
            </w:pPr>
            <w:r>
              <w:t xml:space="preserve">up, large</w:t>
            </w:r>
          </w:p>
        </w:tc>
      </w:tr>
      <w:tr>
        <w:tc>
          <w:tcPr/>
          <w:p>
            <w:pPr>
              <w:pStyle w:val="Compact"/>
            </w:pPr>
            <w:r>
              <w:t xml:space="preserve">attention span</w:t>
            </w:r>
          </w:p>
        </w:tc>
        <w:tc>
          <w:tcPr/>
          <w:p>
            <w:pPr>
              <w:pStyle w:val="Compact"/>
            </w:pPr>
            <w:r>
              <w:t xml:space="preserve">0.50</w:t>
            </w:r>
          </w:p>
        </w:tc>
        <w:tc>
          <w:tcPr/>
          <w:p>
            <w:pPr>
              <w:pStyle w:val="Compact"/>
            </w:pPr>
            <w:r>
              <w:t xml:space="preserve">0.51</w:t>
            </w:r>
          </w:p>
        </w:tc>
        <w:tc>
          <w:tcPr/>
          <w:p>
            <w:pPr>
              <w:pStyle w:val="Compact"/>
            </w:pPr>
            <w:r>
              <w:t xml:space="preserve">flat</w:t>
            </w:r>
          </w:p>
        </w:tc>
      </w:tr>
      <w:tr>
        <w:tc>
          <w:tcPr/>
          <w:p>
            <w:pPr>
              <w:pStyle w:val="Compact"/>
            </w:pPr>
            <w:r>
              <w:t xml:space="preserve">sociability</w:t>
            </w:r>
          </w:p>
        </w:tc>
        <w:tc>
          <w:tcPr/>
          <w:p>
            <w:pPr>
              <w:pStyle w:val="Compact"/>
            </w:pPr>
            <w:r>
              <w:t xml:space="preserve">0.49</w:t>
            </w:r>
          </w:p>
        </w:tc>
        <w:tc>
          <w:tcPr/>
          <w:p>
            <w:pPr>
              <w:pStyle w:val="Compact"/>
            </w:pPr>
            <w:r>
              <w:t xml:space="preserve">0.44</w:t>
            </w:r>
          </w:p>
        </w:tc>
        <w:tc>
          <w:tcPr/>
          <w:p>
            <w:pPr>
              <w:pStyle w:val="Compact"/>
            </w:pPr>
            <w:r>
              <w:t xml:space="preserve">down, slight</w:t>
            </w:r>
          </w:p>
        </w:tc>
      </w:tr>
      <w:tr>
        <w:tc>
          <w:tcPr/>
          <w:p>
            <w:pPr>
              <w:pStyle w:val="Compact"/>
            </w:pPr>
            <w:r>
              <w:t xml:space="preserve">memory</w:t>
            </w:r>
          </w:p>
        </w:tc>
        <w:tc>
          <w:tcPr/>
          <w:p>
            <w:pPr>
              <w:pStyle w:val="Compact"/>
            </w:pPr>
            <w:r>
              <w:t xml:space="preserve">0.35</w:t>
            </w:r>
          </w:p>
        </w:tc>
        <w:tc>
          <w:tcPr/>
          <w:p>
            <w:pPr>
              <w:pStyle w:val="Compact"/>
            </w:pPr>
            <w:r>
              <w:t xml:space="preserve">0.49</w:t>
            </w:r>
          </w:p>
        </w:tc>
        <w:tc>
          <w:tcPr/>
          <w:p>
            <w:pPr>
              <w:pStyle w:val="Compact"/>
            </w:pPr>
            <w:r>
              <w:t xml:space="preserve">up, moderate</w:t>
            </w:r>
          </w:p>
        </w:tc>
      </w:tr>
    </w:tbl>
    <w:p>
      <w:pPr>
        <w:pStyle w:val="BodyText"/>
      </w:pPr>
      <w:r>
        <w:t xml:space="preserve">The light evolved into a markedly more responsive, energetic, exploratory character. A small companion bar set can show the output multipliers (brightness ended at 2.43×, speed 1.46×).</w:t>
      </w:r>
    </w:p>
    <w:p>
      <w:pPr>
        <w:pStyle w:val="BodyText"/>
      </w:pPr>
      <w:r>
        <w:rPr>
          <w:b/>
          <w:bCs/>
        </w:rPr>
        <w:t xml:space="preserve">Form.</w:t>
      </w:r>
      <w:r>
        <w:t xml:space="preserve"> </w:t>
      </w:r>
      <w:r>
        <w:t xml:space="preserve">Two concentric polygons — neutral as a thin grey outline, as-deployed as the filled warm-accent shape, the difference shaded.</w:t>
      </w:r>
    </w:p>
    <w:p>
      <w:pPr>
        <w:pStyle w:val="BodyText"/>
      </w:pPr>
      <w:r>
        <w:rPr>
          <w:b/>
          <w:bCs/>
        </w:rPr>
        <w:t xml:space="preserve">Argument.</w:t>
      </w:r>
      <w:r>
        <w:t xml:space="preserve"> </w:t>
      </w:r>
      <w:r>
        <w:t xml:space="preserve">The personality is not a fixed authored setting; it formed from the street.</w:t>
      </w:r>
    </w:p>
    <w:bookmarkEnd w:id="28"/>
    <w:bookmarkStart w:id="29" w:name="X521ed4fe69173f1a6d1a23b31f7f1c400aabd3c"/>
    <w:p>
      <w:pPr>
        <w:pStyle w:val="Heading2"/>
      </w:pPr>
      <w:r>
        <w:t xml:space="preserve">Figure 4 — 24-hour rhythm strip</w:t>
      </w:r>
      <w:r>
        <w:t xml:space="preserve"> </w:t>
      </w:r>
      <w:r>
        <w:rPr>
          <w:i/>
          <w:iCs/>
        </w:rPr>
        <w:t xml:space="preserve">(Spread D; needs DB pull)</w:t>
      </w:r>
    </w:p>
    <w:p>
      <w:pPr>
        <w:pStyle w:val="FirstParagraph"/>
      </w:pPr>
      <w:r>
        <w:rPr>
          <w:b/>
          <w:bCs/>
        </w:rPr>
        <w:t xml:space="preserve">Shows.</w:t>
      </w:r>
      <w:r>
        <w:t xml:space="preserve"> </w:t>
      </w:r>
      <w:r>
        <w:t xml:space="preserve">One representative day as a horizontal band, midnight to midnight, with pedestrian activity (and the light’s resulting mode/energy) plotted along it — the dead-of-night lull, morning commute, lunch peak, evening rush, quiet night.</w:t>
      </w:r>
    </w:p>
    <w:p>
      <w:pPr>
        <w:pStyle w:val="BodyText"/>
      </w:pPr>
      <w:r>
        <w:rPr>
          <w:b/>
          <w:bCs/>
        </w:rPr>
        <w:t xml:space="preserve">Form.</w:t>
      </w:r>
      <w:r>
        <w:t xml:space="preserve"> </w:t>
      </w:r>
      <w:r>
        <w:t xml:space="preserve">A ridgeline/area strip; a parallel lane beneath showing the dominant behaviour mode per hour (idle / flow / aware) and the time-of-day aggression cap. Reads as a daily score.</w:t>
      </w:r>
    </w:p>
    <w:p>
      <w:pPr>
        <w:pStyle w:val="BodyText"/>
      </w:pPr>
      <w:r>
        <w:rPr>
          <w:b/>
          <w:bCs/>
        </w:rPr>
        <w:t xml:space="preserve">Argument.</w:t>
      </w:r>
      <w:r>
        <w:t xml:space="preserve"> </w:t>
      </w:r>
      <w:r>
        <w:t xml:space="preserve">The body in space is also a body in time — the work breathes with the rhythm of the street rather than reacting blindly.</w:t>
      </w:r>
    </w:p>
    <w:p>
      <w:pPr>
        <w:pStyle w:val="BodyText"/>
      </w:pPr>
      <w:r>
        <w:rPr>
          <w:b/>
          <w:bCs/>
        </w:rPr>
        <w:t xml:space="preserve">Dependency.</w:t>
      </w:r>
      <w:r>
        <w:t xml:space="preserve"> </w:t>
      </w:r>
      <w:r>
        <w:t xml:space="preserve">Per-hour data exists in the database; the daily-report JSONs already on disk could prototype it before full access.</w:t>
      </w:r>
    </w:p>
    <w:bookmarkEnd w:id="29"/>
    <w:bookmarkStart w:id="30" w:name="X3cfe986f381fa05ccea7d44dc667a88cf4453ab"/>
    <w:p>
      <w:pPr>
        <w:pStyle w:val="Heading2"/>
      </w:pPr>
      <w:r>
        <w:t xml:space="preserve">Figure 5 — Week-1 vs week-7 comparison</w:t>
      </w:r>
      <w:r>
        <w:t xml:space="preserve"> </w:t>
      </w:r>
      <w:r>
        <w:rPr>
          <w:i/>
          <w:iCs/>
        </w:rPr>
        <w:t xml:space="preserve">(Spread E; most data-dependent; validate first)</w:t>
      </w:r>
    </w:p>
    <w:p>
      <w:pPr>
        <w:pStyle w:val="FirstParagraph"/>
      </w:pPr>
      <w:r>
        <w:rPr>
          <w:b/>
          <w:bCs/>
        </w:rPr>
        <w:t xml:space="preserve">Shows.</w:t>
      </w:r>
      <w:r>
        <w:t xml:space="preserve"> </w:t>
      </w:r>
      <w:r>
        <w:t xml:space="preserve">The same view of the system early vs late in the run, proving the</w:t>
      </w:r>
      <w:r>
        <w:t xml:space="preserve"> </w:t>
      </w:r>
      <w:r>
        <w:t xml:space="preserve">“measurable evolution”</w:t>
      </w:r>
      <w:r>
        <w:t xml:space="preserve"> </w:t>
      </w:r>
      <w:r>
        <w:t xml:space="preserve">claim is empirical. Candidate metrics (all recorded): engagement/conversion rate, gesture variety, position entropy (spatial coverage), mode distribution.</w:t>
      </w:r>
    </w:p>
    <w:p>
      <w:pPr>
        <w:pStyle w:val="BodyText"/>
      </w:pPr>
      <w:r>
        <w:rPr>
          <w:b/>
          <w:bCs/>
        </w:rPr>
        <w:t xml:space="preserve">Form.</w:t>
      </w:r>
      <w:r>
        <w:t xml:space="preserve"> </w:t>
      </w:r>
      <w:r>
        <w:t xml:space="preserve">Paired small-multiples — e.g. two gesture-frequency bars (week 1 sparse → week 7 varied), two spatial-coverage heatmaps of where the light spent time, with a one-line delta callout.</w:t>
      </w:r>
    </w:p>
    <w:p>
      <w:pPr>
        <w:pStyle w:val="BodyText"/>
      </w:pPr>
      <w:r>
        <w:rPr>
          <w:b/>
          <w:bCs/>
        </w:rPr>
        <w:t xml:space="preserve">Argument.</w:t>
      </w:r>
      <w:r>
        <w:t xml:space="preserve"> </w:t>
      </w:r>
      <w:r>
        <w:t xml:space="preserve">The headline empirical result —</w:t>
      </w:r>
      <w:r>
        <w:t xml:space="preserve"> </w:t>
      </w:r>
      <w:r>
        <w:t xml:space="preserve">“more confident at engagement, less repetitive in gesture”</w:t>
      </w:r>
      <w:r>
        <w:t xml:space="preserve"> </w:t>
      </w:r>
      <w:r>
        <w:t xml:space="preserve">shown, not asserted.</w:t>
      </w:r>
    </w:p>
    <w:p>
      <w:pPr>
        <w:pStyle w:val="BodyText"/>
      </w:pPr>
      <w:r>
        <w:rPr>
          <w:b/>
          <w:bCs/>
        </w:rPr>
        <w:t xml:space="preserve">Dependency.</w:t>
      </w:r>
      <w:r>
        <w:t xml:space="preserve"> </w:t>
      </w:r>
      <w:r>
        <w:t xml:space="preserve">Requires the full longitudinal DB pull. Validate this first once access returns: if the data does not cleanly show the drift, Spread E’s argument needs rethinking.</w:t>
      </w:r>
    </w:p>
    <w:bookmarkEnd w:id="30"/>
    <w:bookmarkStart w:id="31" w:name="X1d6b9aa33ac3b4f4ec2f3a1b06f8adc95cb3e78"/>
    <w:p>
      <w:pPr>
        <w:pStyle w:val="Heading2"/>
      </w:pPr>
      <w:r>
        <w:t xml:space="preserve">Figure 6 — Greyscale + warm-accent recolour pass</w:t>
      </w:r>
      <w:r>
        <w:t xml:space="preserve"> </w:t>
      </w:r>
      <w:r>
        <w:rPr>
          <w:i/>
          <w:iCs/>
        </w:rPr>
        <w:t xml:space="preserve">(whole-document coherence)</w:t>
      </w:r>
    </w:p>
    <w:p>
      <w:pPr>
        <w:pStyle w:val="FirstParagraph"/>
      </w:pPr>
      <w:r>
        <w:rPr>
          <w:b/>
          <w:bCs/>
        </w:rPr>
        <w:t xml:space="preserve">Shows.</w:t>
      </w:r>
      <w:r>
        <w:t xml:space="preserve"> </w:t>
      </w:r>
      <w:r>
        <w:t xml:space="preserve">Not a new figure — a unifying treatment so every diagram shares one visual system: greyscale structure, black strokes, and a single warm accent reserved exclusively for the light (point light + lit panels). Currently the A7 sub-diagrams, B-series, and C-series detail figures still carry the old multi-colour scheme.</w:t>
      </w:r>
    </w:p>
    <w:p>
      <w:pPr>
        <w:pStyle w:val="BodyText"/>
      </w:pPr>
      <w:r>
        <w:rPr>
          <w:b/>
          <w:bCs/>
        </w:rPr>
        <w:t xml:space="preserve">Form.</w:t>
      </w:r>
      <w:r>
        <w:t xml:space="preserve"> </w:t>
      </w:r>
      <w:r>
        <w:t xml:space="preserve">Apply the established greyscale palette across the existing diagrams; ensure the warm accent appears only on light elements so the reader’s eye tracks the luminous body across every page.</w:t>
      </w:r>
    </w:p>
    <w:p>
      <w:pPr>
        <w:pStyle w:val="BodyText"/>
      </w:pPr>
      <w:r>
        <w:rPr>
          <w:b/>
          <w:bCs/>
        </w:rPr>
        <w:t xml:space="preserve">Argument.</w:t>
      </w:r>
      <w:r>
        <w:t xml:space="preserve"> </w:t>
      </w:r>
      <w:r>
        <w:t xml:space="preserve">Craft and coherence, which reviewers grade directly. A pictorial that looks like one designed artifact reads as more rigorous than a folder of mixed diagrams.</w:t>
      </w:r>
    </w:p>
    <w:p>
      <w:r>
        <w:pict>
          <v:rect style="width:0;height:1.5pt" o:hralign="center" o:hrstd="t" o:hr="t"/>
        </w:pict>
      </w:r>
    </w:p>
    <w:bookmarkEnd w:id="31"/>
    <w:bookmarkEnd w:id="32"/>
    <w:bookmarkStart w:id="33" w:name="part-4-build-order-open-questions"/>
    <w:p>
      <w:pPr>
        <w:pStyle w:val="Heading1"/>
      </w:pPr>
      <w:r>
        <w:t xml:space="preserve">Part 4 — Build order &amp; open questions</w:t>
      </w:r>
    </w:p>
    <w:p>
      <w:pPr>
        <w:pStyle w:val="FirstParagraph"/>
      </w:pPr>
      <w:r>
        <w:rPr>
          <w:b/>
          <w:bCs/>
        </w:rPr>
        <w:t xml:space="preserve">Recommended build order.</w:t>
      </w:r>
    </w:p>
    <w:p>
      <w:pPr>
        <w:pStyle w:val="Compact"/>
        <w:numPr>
          <w:ilvl w:val="0"/>
          <w:numId w:val="1005"/>
        </w:numPr>
      </w:pPr>
      <w:r>
        <w:t xml:space="preserve">Personality radar (Figure 3) — high impact, on-theme, no data needed.</w:t>
      </w:r>
    </w:p>
    <w:p>
      <w:pPr>
        <w:pStyle w:val="Compact"/>
        <w:numPr>
          <w:ilvl w:val="0"/>
          <w:numId w:val="1005"/>
        </w:numPr>
      </w:pPr>
      <w:r>
        <w:t xml:space="preserve">Gesture-notation plate (Figure 1) — the embodiment centrepiece, no data needed.</w:t>
      </w:r>
    </w:p>
    <w:p>
      <w:pPr>
        <w:pStyle w:val="Compact"/>
        <w:numPr>
          <w:ilvl w:val="0"/>
          <w:numId w:val="1005"/>
        </w:numPr>
      </w:pPr>
      <w:r>
        <w:t xml:space="preserve">Greyscale recolour pass (Figure 6) — coherence across existing diagrams.</w:t>
      </w:r>
    </w:p>
    <w:p>
      <w:pPr>
        <w:pStyle w:val="Compact"/>
        <w:numPr>
          <w:ilvl w:val="0"/>
          <w:numId w:val="1005"/>
        </w:numPr>
      </w:pPr>
      <w:r>
        <w:t xml:space="preserve">After DB access: 24-hour rhythm (Figure 4), then week-1-vs-7 (Figure 5), then refresh the scale/cadence charts with real totals.</w:t>
      </w:r>
    </w:p>
    <w:p>
      <w:pPr>
        <w:pStyle w:val="Compact"/>
        <w:numPr>
          <w:ilvl w:val="0"/>
          <w:numId w:val="1005"/>
        </w:numPr>
      </w:pPr>
      <w:r>
        <w:t xml:space="preserve">Dwell photo/response strip (Figure 2) — once the photo set is reviewed.</w:t>
      </w:r>
    </w:p>
    <w:p>
      <w:pPr>
        <w:pStyle w:val="FirstParagraph"/>
      </w:pPr>
      <w:r>
        <w:rPr>
          <w:b/>
          <w:bCs/>
        </w:rPr>
        <w:t xml:space="preserve">Open questions to resolve.</w:t>
      </w:r>
    </w:p>
    <w:p>
      <w:pPr>
        <w:pStyle w:val="Compact"/>
        <w:numPr>
          <w:ilvl w:val="0"/>
          <w:numId w:val="1006"/>
        </w:numPr>
      </w:pPr>
      <w:r>
        <w:rPr>
          <w:b/>
          <w:bCs/>
        </w:rPr>
        <w:t xml:space="preserve">InDesign or Word/PowerPoint</w:t>
      </w:r>
      <w:r>
        <w:t xml:space="preserve"> </w:t>
      </w:r>
      <w:r>
        <w:t xml:space="preserve">for the build? (Determines diagram export format: SVG vs sized PNG.)</w:t>
      </w:r>
    </w:p>
    <w:p>
      <w:pPr>
        <w:pStyle w:val="Compact"/>
        <w:numPr>
          <w:ilvl w:val="0"/>
          <w:numId w:val="1006"/>
        </w:numPr>
      </w:pPr>
      <w:r>
        <w:t xml:space="preserve">Do the professional photos include a</w:t>
      </w:r>
      <w:r>
        <w:t xml:space="preserve"> </w:t>
      </w:r>
      <w:r>
        <w:rPr>
          <w:b/>
          <w:bCs/>
        </w:rPr>
        <w:t xml:space="preserve">dwell sequence</w:t>
      </w:r>
      <w:r>
        <w:t xml:space="preserve"> </w:t>
      </w:r>
      <w:r>
        <w:t xml:space="preserve">(one person over time), or mostly single hero shots? (Determines whether Spread B is a true time-strip or a composed pairing.)</w:t>
      </w:r>
    </w:p>
    <w:p>
      <w:pPr>
        <w:pStyle w:val="Compact"/>
        <w:numPr>
          <w:ilvl w:val="0"/>
          <w:numId w:val="1006"/>
        </w:numPr>
      </w:pPr>
      <w:r>
        <w:t xml:space="preserve">How much of the</w:t>
      </w:r>
      <w:r>
        <w:t xml:space="preserve"> </w:t>
      </w:r>
      <w:r>
        <w:rPr>
          <w:b/>
          <w:bCs/>
        </w:rPr>
        <w:t xml:space="preserve">AI-authoring method</w:t>
      </w:r>
      <w:r>
        <w:t xml:space="preserve"> </w:t>
      </w:r>
      <w:r>
        <w:t xml:space="preserve">to keep? (At TEI it is a minor back-page note; the body/space story is the contribution.)</w:t>
      </w:r>
    </w:p>
    <w:p>
      <w:pPr>
        <w:pStyle w:val="FirstParagraph"/>
      </w:pPr>
      <w:r>
        <w:rPr>
          <w:b/>
          <w:bCs/>
        </w:rPr>
        <w:t xml:space="preserve">Asset readiness summary.</w:t>
      </w:r>
    </w:p>
    <w:p>
      <w:pPr>
        <w:pStyle w:val="Compact"/>
        <w:numPr>
          <w:ilvl w:val="0"/>
          <w:numId w:val="1007"/>
        </w:numPr>
      </w:pPr>
      <w:r>
        <w:rPr>
          <w:i/>
          <w:iCs/>
        </w:rPr>
        <w:t xml:space="preserve">Ready, on-style:</w:t>
      </w:r>
      <w:r>
        <w:t xml:space="preserve"> </w:t>
      </w:r>
      <w:r>
        <w:t xml:space="preserve">master overview, funnel, per-panel math, nested loops, trend windows, self-tuning loop, run totals, cadence chart, spatial plan, install photo, pygame twin, unit geometry.</w:t>
      </w:r>
    </w:p>
    <w:p>
      <w:pPr>
        <w:pStyle w:val="Compact"/>
        <w:numPr>
          <w:ilvl w:val="0"/>
          <w:numId w:val="1007"/>
        </w:numPr>
      </w:pPr>
      <w:r>
        <w:rPr>
          <w:i/>
          <w:iCs/>
        </w:rPr>
        <w:t xml:space="preserve">To build:</w:t>
      </w:r>
      <w:r>
        <w:t xml:space="preserve"> </w:t>
      </w:r>
      <w:r>
        <w:t xml:space="preserve">the six figures above.</w:t>
      </w:r>
    </w:p>
    <w:p>
      <w:pPr>
        <w:pStyle w:val="Compact"/>
        <w:numPr>
          <w:ilvl w:val="0"/>
          <w:numId w:val="1007"/>
        </w:numPr>
      </w:pPr>
      <w:r>
        <w:rPr>
          <w:i/>
          <w:iCs/>
        </w:rPr>
        <w:t xml:space="preserve">Photography to select:</w:t>
      </w:r>
      <w:r>
        <w:t xml:space="preserve"> </w:t>
      </w:r>
      <w:r>
        <w:t xml:space="preserve">night hero, alcove + street, person in active zone, 12 panels lit close, dwell sequence.</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DropCeiling — TEI 2027 Pictorial: Plans &amp; Figure Specifications</dc:title>
  <dc:creator>Planning document for review</dc:creator>
  <cp:keywords/>
  <dcterms:created xsi:type="dcterms:W3CDTF">2026-06-06T22:56:15Z</dcterms:created>
  <dcterms:modified xsi:type="dcterms:W3CDTF">2026-06-06T22:56:15Z</dcterms:modified>
</cp:coreProperties>
</file>

<file path=docProps/custom.xml><?xml version="1.0" encoding="utf-8"?>
<Properties xmlns="http://schemas.openxmlformats.org/officeDocument/2006/custom-properties" xmlns:vt="http://schemas.openxmlformats.org/officeDocument/2006/docPropsVTypes"/>
</file>