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1F3864"/>
          <w:sz w:val="56"/>
          <w:szCs w:val="56"/>
        </w:rPr>
        <w:t xml:space="preserve">ValOracle 2.0</w:t>
      </w:r>
    </w:p>
    <w:p>
      <w:pPr>
        <w:pBdr>
          <w:bottom w:val="single" w:color="0D7680" w:sz="8" w:space="6"/>
        </w:pBdr>
        <w:spacing w:before="0" w:after="80"/>
      </w:pPr>
      <w:r>
        <w:rPr>
          <w:rFonts w:ascii="Arial" w:cs="Arial" w:eastAsia="Arial" w:hAnsi="Arial"/>
          <w:i/>
          <w:iCs/>
          <w:color w:val="0D7680"/>
          <w:sz w:val="28"/>
          <w:szCs w:val="28"/>
        </w:rPr>
        <w:t xml:space="preserve">Architecture, Infrastructure &amp; Model Strategy — Session Decisions</w:t>
      </w:r>
    </w:p>
    <w:p>
      <w:pPr>
        <w:spacing w:before="80" w:after="0"/>
      </w:pPr>
      <w:r>
        <w:t xml:space="preserve"/>
      </w:r>
    </w:p>
    <w:p>
      <w:pPr>
        <w:spacing w:before="60" w:after="200"/>
      </w:pPr>
      <w:r>
        <w:rPr>
          <w:rFonts w:ascii="Arial" w:cs="Arial" w:eastAsia="Arial" w:hAnsi="Arial"/>
          <w:color w:val="888888"/>
          <w:sz w:val="20"/>
          <w:szCs w:val="20"/>
        </w:rPr>
        <w:t xml:space="preserve">Session Date: February 20, 2026  |  Prepared by: Claude (Anthropic)  |  For: Nathan, Lumanity</w:t>
      </w:r>
    </w:p>
    <w:p>
      <w:pPr>
        <w:pStyle w:val="Heading1"/>
        <w:spacing w:before="400" w:after="160"/>
      </w:pPr>
      <w:r>
        <w:rPr>
          <w:rFonts w:ascii="Arial" w:cs="Arial" w:eastAsia="Arial" w:hAnsi="Arial"/>
          <w:b/>
          <w:bCs/>
          <w:color w:val="1F3864"/>
          <w:sz w:val="32"/>
          <w:szCs w:val="32"/>
        </w:rPr>
        <w:t xml:space="preserve">Session Overview</w:t>
      </w:r>
    </w:p>
    <w:p>
      <w:pPr>
        <w:spacing w:before="80" w:after="100"/>
      </w:pPr>
      <w:r>
        <w:rPr>
          <w:rFonts w:ascii="Arial" w:cs="Arial" w:eastAsia="Arial" w:hAnsi="Arial"/>
          <w:color w:val="404040"/>
          <w:sz w:val="22"/>
          <w:szCs w:val="22"/>
        </w:rPr>
        <w:t xml:space="preserve">This document captures the key architectural decisions, strategic conclusions, and open questions from a planning session focused on ValOracle 2.0's technical infrastructure, AI model strategy, and deployment approach. Topics covered: local vs. cloud compute, multi-machine AI scaling, realistic concurrency modeling, open-source vs. frontier model selection, user profile implications, cloud provider selection, and model update policy.</w:t>
      </w:r>
    </w:p>
    <w:p>
      <w:pPr>
        <w:spacing w:before="200" w:after="0"/>
      </w:pPr>
      <w:r>
        <w:t xml:space="preserve"/>
      </w:r>
    </w:p>
    <w:p>
      <w:pPr>
        <w:pStyle w:val="Heading1"/>
        <w:spacing w:before="400" w:after="160"/>
      </w:pPr>
      <w:r>
        <w:rPr>
          <w:rFonts w:ascii="Arial" w:cs="Arial" w:eastAsia="Arial" w:hAnsi="Arial"/>
          <w:b/>
          <w:bCs/>
          <w:color w:val="1F3864"/>
          <w:sz w:val="32"/>
          <w:szCs w:val="32"/>
        </w:rPr>
        <w:t xml:space="preserve">1. Compute Architecture — Multi-Mac Setup</w:t>
      </w:r>
    </w:p>
    <w:p>
      <w:pPr>
        <w:pStyle w:val="Heading2"/>
        <w:pBdr>
          <w:bottom w:val="single" w:color="0D7680" w:sz="4" w:space="4"/>
        </w:pBdr>
        <w:spacing w:before="280" w:after="140"/>
      </w:pPr>
      <w:r>
        <w:rPr>
          <w:rFonts w:ascii="Arial" w:cs="Arial" w:eastAsia="Arial" w:hAnsi="Arial"/>
          <w:b/>
          <w:bCs/>
          <w:color w:val="0D7680"/>
          <w:sz w:val="26"/>
          <w:szCs w:val="26"/>
        </w:rPr>
        <w:t xml:space="preserve">Question Asked</w:t>
      </w:r>
    </w:p>
    <w:p>
      <w:pPr>
        <w:spacing w:before="80" w:after="100"/>
      </w:pPr>
      <w:r>
        <w:rPr>
          <w:rFonts w:ascii="Arial" w:cs="Arial" w:eastAsia="Arial" w:hAnsi="Arial"/>
          <w:color w:val="404040"/>
          <w:sz w:val="22"/>
          <w:szCs w:val="22"/>
        </w:rPr>
        <w:t xml:space="preserve">Is it possible to connect two or more Mac Studios to combine computing power for a locally run AI model?</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Key Findings</w:t>
      </w:r>
    </w:p>
    <w:p>
      <w:pPr>
        <w:pStyle w:val="ListParagraph"/>
        <w:numPr>
          <w:ilvl w:val="0"/>
          <w:numId w:val="2"/>
        </w:numPr>
        <w:spacing w:before="60" w:after="60"/>
      </w:pPr>
      <w:r>
        <w:rPr>
          <w:rFonts w:ascii="Arial" w:cs="Arial" w:eastAsia="Arial" w:hAnsi="Arial"/>
          <w:b w:val="false"/>
          <w:bCs w:val="false"/>
          <w:color w:val="404040"/>
          <w:sz w:val="22"/>
          <w:szCs w:val="22"/>
        </w:rPr>
        <w:t xml:space="preserve">Apple hardware does not support merging unified memory across machines at the hardware level. No NVLink equivalent exists — two Mac Studios cannot act as a single larger chip.</w:t>
      </w:r>
    </w:p>
    <w:p>
      <w:pPr>
        <w:pStyle w:val="ListParagraph"/>
        <w:numPr>
          <w:ilvl w:val="0"/>
          <w:numId w:val="2"/>
        </w:numPr>
        <w:spacing w:before="60" w:after="60"/>
      </w:pPr>
      <w:r>
        <w:rPr>
          <w:rFonts w:ascii="Arial" w:cs="Arial" w:eastAsia="Arial" w:hAnsi="Arial"/>
          <w:b w:val="false"/>
          <w:bCs w:val="false"/>
          <w:color w:val="404040"/>
          <w:sz w:val="22"/>
          <w:szCs w:val="22"/>
        </w:rPr>
        <w:t xml:space="preserve">Distributed inference IS possible via llama.cpp's RPC backend. One Mac acts as coordinator, others as workers. Model layers are split across machines communicating over the network.</w:t>
      </w:r>
    </w:p>
    <w:p>
      <w:pPr>
        <w:pStyle w:val="ListParagraph"/>
        <w:numPr>
          <w:ilvl w:val="0"/>
          <w:numId w:val="2"/>
        </w:numPr>
        <w:spacing w:before="60" w:after="60"/>
      </w:pPr>
      <w:r>
        <w:rPr>
          <w:rFonts w:ascii="Arial" w:cs="Arial" w:eastAsia="Arial" w:hAnsi="Arial"/>
          <w:b w:val="false"/>
          <w:bCs w:val="false"/>
          <w:color w:val="404040"/>
          <w:sz w:val="22"/>
          <w:szCs w:val="22"/>
        </w:rPr>
        <w:t xml:space="preserve">Thunderbolt connection between machines (functioning as 10Gb+ ethernet) is significantly better than Wi-Fi for inter-machine activation passing.</w:t>
      </w:r>
    </w:p>
    <w:p>
      <w:pPr>
        <w:pStyle w:val="ListParagraph"/>
        <w:numPr>
          <w:ilvl w:val="0"/>
          <w:numId w:val="2"/>
        </w:numPr>
        <w:spacing w:before="60" w:after="60"/>
      </w:pPr>
      <w:r>
        <w:rPr>
          <w:rFonts w:ascii="Arial" w:cs="Arial" w:eastAsia="Arial" w:hAnsi="Arial"/>
          <w:b w:val="false"/>
          <w:bCs w:val="false"/>
          <w:color w:val="404040"/>
          <w:sz w:val="22"/>
          <w:szCs w:val="22"/>
        </w:rPr>
        <w:t xml:space="preserve">The benefit is model SIZE capacity, not speed. Latency penalty from passing activations between machines means distributed inference is slower than a single machine for models that already fit in one machine's memory.</w:t>
      </w:r>
    </w:p>
    <w:p>
      <w:pPr>
        <w:pStyle w:val="ListParagraph"/>
        <w:numPr>
          <w:ilvl w:val="0"/>
          <w:numId w:val="2"/>
        </w:numPr>
        <w:spacing w:before="60" w:after="60"/>
      </w:pPr>
      <w:r>
        <w:rPr>
          <w:rFonts w:ascii="Arial" w:cs="Arial" w:eastAsia="Arial" w:hAnsi="Arial"/>
          <w:b w:val="false"/>
          <w:bCs w:val="false"/>
          <w:color w:val="404040"/>
          <w:sz w:val="22"/>
          <w:szCs w:val="22"/>
        </w:rPr>
        <w:t xml:space="preserve">MLX (Apple's framework) does not currently support multi-machine distribution.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Multi-Mac distributed inference is not the right architecture for ValOracle.</w:t>
            </w:r>
          </w:p>
          <w:p>
            <w:pPr>
              <w:spacing w:before="60"/>
            </w:pPr>
            <w:r>
              <w:rPr>
                <w:rFonts w:ascii="Arial" w:cs="Arial" w:eastAsia="Arial" w:hAnsi="Arial"/>
                <w:i/>
                <w:iCs/>
                <w:color w:val="555555"/>
                <w:sz w:val="20"/>
                <w:szCs w:val="20"/>
              </w:rPr>
              <w:t xml:space="preserve">The use case (running models too large for one machine) doesn't apply. Cloud infrastructure handles ValOracle's actual needs more cleanly.</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2. Concurrency Modeling &amp; Compute Requirements</w:t>
      </w:r>
    </w:p>
    <w:p>
      <w:pPr>
        <w:pStyle w:val="Heading2"/>
        <w:pBdr>
          <w:bottom w:val="single" w:color="0D7680" w:sz="4" w:space="4"/>
        </w:pBdr>
        <w:spacing w:before="280" w:after="140"/>
      </w:pPr>
      <w:r>
        <w:rPr>
          <w:rFonts w:ascii="Arial" w:cs="Arial" w:eastAsia="Arial" w:hAnsi="Arial"/>
          <w:b/>
          <w:bCs/>
          <w:color w:val="0D7680"/>
          <w:sz w:val="26"/>
          <w:szCs w:val="26"/>
        </w:rPr>
        <w:t xml:space="preserve">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Value / Assumption</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Maximum clients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15</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Users per client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100 subscribed</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Peak concurrent users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20% = 300 theoretical maximum</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Realistic concurrent users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5–10% = 50–150</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Active model queries at any moment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10–15% of online users</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Realistic simultaneous model calls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15–45 queries at true peak</w:t>
            </w:r>
          </w:p>
        </w:tc>
      </w:tr>
    </w:tbl>
    <w:p>
      <w:pPr>
        <w:spacing w:before="12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Key Findings</w:t>
      </w:r>
    </w:p>
    <w:p>
      <w:pPr>
        <w:pStyle w:val="ListParagraph"/>
        <w:numPr>
          <w:ilvl w:val="0"/>
          <w:numId w:val="2"/>
        </w:numPr>
        <w:spacing w:before="60" w:after="60"/>
      </w:pPr>
      <w:r>
        <w:rPr>
          <w:rFonts w:ascii="Arial" w:cs="Arial" w:eastAsia="Arial" w:hAnsi="Arial"/>
          <w:b w:val="false"/>
          <w:bCs w:val="false"/>
          <w:color w:val="404040"/>
          <w:sz w:val="22"/>
          <w:szCs w:val="22"/>
        </w:rPr>
        <w:t xml:space="preserve">A single M3 Ultra Mac Studio (192GB) running a well-quantized 70B model can comfortably handle 10-20 concurrent inference requests — sufficient for ValOracle's entire addressable market at full penetration.</w:t>
      </w:r>
    </w:p>
    <w:p>
      <w:pPr>
        <w:pStyle w:val="ListParagraph"/>
        <w:numPr>
          <w:ilvl w:val="0"/>
          <w:numId w:val="2"/>
        </w:numPr>
        <w:spacing w:before="60" w:after="60"/>
      </w:pPr>
      <w:r>
        <w:rPr>
          <w:rFonts w:ascii="Arial" w:cs="Arial" w:eastAsia="Arial" w:hAnsi="Arial"/>
          <w:b w:val="false"/>
          <w:bCs w:val="false"/>
          <w:color w:val="404040"/>
          <w:sz w:val="22"/>
          <w:szCs w:val="22"/>
        </w:rPr>
        <w:t xml:space="preserve">The architecture question reframes entirely: not 'how to scale compute' but 'where to run inference and why.'</w:t>
      </w:r>
    </w:p>
    <w:p>
      <w:pPr>
        <w:pStyle w:val="ListParagraph"/>
        <w:numPr>
          <w:ilvl w:val="0"/>
          <w:numId w:val="2"/>
        </w:numPr>
        <w:spacing w:before="60" w:after="60"/>
      </w:pPr>
      <w:r>
        <w:rPr>
          <w:rFonts w:ascii="Arial" w:cs="Arial" w:eastAsia="Arial" w:hAnsi="Arial"/>
          <w:b w:val="false"/>
          <w:bCs w:val="false"/>
          <w:color w:val="404040"/>
          <w:sz w:val="22"/>
          <w:szCs w:val="22"/>
        </w:rPr>
        <w:t xml:space="preserve">Running two Mac Studios in parallel independently (each handling separate requests) doubles throughput more practically than chaining them for distributed inference.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Local compute scaling (multi-Mac) is solving a problem ValOracle doesn't have.</w:t>
            </w:r>
          </w:p>
          <w:p>
            <w:pPr>
              <w:spacing w:before="60"/>
            </w:pPr>
            <w:r>
              <w:rPr>
                <w:rFonts w:ascii="Arial" w:cs="Arial" w:eastAsia="Arial" w:hAnsi="Arial"/>
                <w:i/>
                <w:iCs/>
                <w:color w:val="555555"/>
                <w:sz w:val="20"/>
                <w:szCs w:val="20"/>
              </w:rPr>
              <w:t xml:space="preserve">Concurrency math shows a single powerful machine handles the entire user base. Cloud infrastructure is the right path for other reasons — security architecture, client isolation, and operational simplicity.</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3. Deployment Architecture Options</w:t>
      </w:r>
    </w:p>
    <w:p>
      <w:pPr>
        <w:pStyle w:val="Heading2"/>
        <w:pBdr>
          <w:bottom w:val="single" w:color="0D7680" w:sz="4" w:space="4"/>
        </w:pBdr>
        <w:spacing w:before="280" w:after="140"/>
      </w:pPr>
      <w:r>
        <w:rPr>
          <w:rFonts w:ascii="Arial" w:cs="Arial" w:eastAsia="Arial" w:hAnsi="Arial"/>
          <w:b/>
          <w:bCs/>
          <w:color w:val="0D7680"/>
          <w:sz w:val="26"/>
          <w:szCs w:val="26"/>
        </w:rPr>
        <w:t xml:space="preserve">Options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Option</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Pros</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Cons</w:t>
            </w:r>
          </w:p>
        </w:tc>
      </w:tr>
      <w:tr>
        <w:tc>
          <w:tcPr>
            <w:tcW w:type="dxa" w:w="24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color w:val="404040"/>
                <w:sz w:val="20"/>
                <w:szCs w:val="20"/>
              </w:rPr>
              <w:t xml:space="preserve">A — Cloud API (Bedrock / Azure / Vertex)</w:t>
            </w:r>
          </w:p>
        </w:tc>
        <w:tc>
          <w:tcPr>
            <w:tcW w:type="dxa" w:w="348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color w:val="404040"/>
                <w:sz w:val="20"/>
                <w:szCs w:val="20"/>
              </w:rPr>
              <w:t xml:space="preserve">Zero infrastructure, pay-per-token, instant scalability, clean compliance story, enterprise contracts with ZDR</w:t>
            </w:r>
          </w:p>
        </w:tc>
        <w:tc>
          <w:tcPr>
            <w:tcW w:type="dxa" w:w="348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color w:val="404040"/>
                <w:sz w:val="20"/>
                <w:szCs w:val="20"/>
              </w:rPr>
              <w:t xml:space="preserve">Ongoing API costs, perception of data leaving client environment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B — Dedicated Cloud GPU VM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Control model weights, no per-token fees, strong middle ground, fine-tuning possible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More ops complexity, need to manage scaling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C — On-Premises Mac Studio / Server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Maximum data control, air-gapped option, no cloud dependency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Hardware/uptime responsibility, per-client deployment complexity, multiplies ops burden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Primary: Cloud inference via enterprise API (Option A). Premium tier: on-prem dedicated server per client for data sovereignty mandates (Option C).</w:t>
            </w:r>
          </w:p>
          <w:p>
            <w:pPr>
              <w:spacing w:before="60"/>
            </w:pPr>
            <w:r>
              <w:rPr>
                <w:rFonts w:ascii="Arial" w:cs="Arial" w:eastAsia="Arial" w:hAnsi="Arial"/>
                <w:i/>
                <w:iCs/>
                <w:color w:val="555555"/>
                <w:sz w:val="20"/>
                <w:szCs w:val="20"/>
              </w:rPr>
              <w:t xml:space="preserve">The security architecture (VPC isolation per client, enterprise agreements) effectively requires cloud infrastructure for the standard offering. On-prem becomes a premium upsell, not the baseline.</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4. Open-Source vs. Frontier Model Selection</w:t>
      </w:r>
    </w:p>
    <w:p>
      <w:pPr>
        <w:pStyle w:val="Heading2"/>
        <w:pBdr>
          <w:bottom w:val="single" w:color="0D7680" w:sz="4" w:space="4"/>
        </w:pBdr>
        <w:spacing w:before="280" w:after="140"/>
      </w:pPr>
      <w:r>
        <w:rPr>
          <w:rFonts w:ascii="Arial" w:cs="Arial" w:eastAsia="Arial" w:hAnsi="Arial"/>
          <w:b/>
          <w:bCs/>
          <w:color w:val="0D7680"/>
          <w:sz w:val="26"/>
          <w:szCs w:val="26"/>
        </w:rPr>
        <w:t xml:space="preserve">The Capability Question</w:t>
      </w:r>
    </w:p>
    <w:p>
      <w:pPr>
        <w:spacing w:before="80" w:after="100"/>
      </w:pPr>
      <w:r>
        <w:rPr>
          <w:rFonts w:ascii="Arial" w:cs="Arial" w:eastAsia="Arial" w:hAnsi="Arial"/>
          <w:color w:val="404040"/>
          <w:sz w:val="22"/>
          <w:szCs w:val="22"/>
        </w:rPr>
        <w:t xml:space="preserve">ValOracle's core use cases — multi-year pricing strategy, IRA negotiation modeling, payer landscape synthesis, HEOR interpretation, competitive positioning — require sustained multi-step reasoning over novel business problems with domain nuance. This is exactly where the open-source/frontier gap is most pronounced.</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Model Landscape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Model / Tier</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Assessment</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ValOracle Suitability</w:t>
            </w:r>
          </w:p>
        </w:tc>
      </w:tr>
      <w:tr>
        <w:tc>
          <w:tcPr>
            <w:tcW w:type="dxa" w:w="24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Claude Opus 4.6 (Anthropic)</w:t>
            </w:r>
          </w:p>
        </w:tc>
        <w:tc>
          <w:tcPr>
            <w:tcW w:type="dxa" w:w="348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val="false"/>
                <w:bCs w:val="false"/>
                <w:color w:val="404040"/>
                <w:sz w:val="20"/>
                <w:szCs w:val="20"/>
              </w:rPr>
              <w:t xml:space="preserve">Preferred model. Strong sustained reasoning, good calibration, consistent output character. Nathan's primary tool.</w:t>
            </w:r>
          </w:p>
        </w:tc>
        <w:tc>
          <w:tcPr>
            <w:tcW w:type="dxa" w:w="348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404040"/>
                <w:sz w:val="20"/>
                <w:szCs w:val="20"/>
              </w:rPr>
              <w:t xml:space="preserve">✓ Core intelligence 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Gemini 2.5 Pro (Google)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Strong competitor. Still experiencing occasional hallucinations and errors. Nathan prefers Opus post-Gemini 2.5.</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Viable fallback — evaluate per use case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MiniMax 2.5</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Strong context window. Reasoning quality not yet at Opus level per Nathan's testing.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Not for core reasoning tasks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Qwen 3 235B / Llama 3.3 70B</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Best open-source options. Competitive on many tasks but gap remains on high-ambiguity multi-step business reasoning.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Routine tasks only (summarization, extraction, formatting)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DeepSeek R1</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Strong reasoning but data provenance concerns. Pharmaceutical clients will ask about this.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20"/>
                <w:szCs w:val="20"/>
              </w:rPr>
              <w:t xml:space="preserve">Avoid for client-facing use</w:t>
            </w:r>
          </w:p>
        </w:tc>
      </w:tr>
    </w:tbl>
    <w:p>
      <w:pPr>
        <w:spacing w:before="12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The Specific Risk for Pharma Pricing Work</w:t>
      </w:r>
    </w:p>
    <w:p>
      <w:pPr>
        <w:spacing w:before="80" w:after="100"/>
      </w:pPr>
      <w:r>
        <w:rPr>
          <w:rFonts w:ascii="Arial" w:cs="Arial" w:eastAsia="Arial" w:hAnsi="Arial"/>
          <w:color w:val="404040"/>
          <w:sz w:val="22"/>
          <w:szCs w:val="22"/>
        </w:rPr>
        <w:t xml:space="preserve">The failure mode with weaker models is confident-sounding wrong answers that look right to non-experts. In a consulting context, a model that is 85% as good as Opus but confidently wrong on the remaining 15% is potentially worse than useless — it erodes trust in the entire platform.</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Recommended Tiered Model Strategy</w:t>
      </w:r>
    </w:p>
    <w:p>
      <w:pPr>
        <w:pStyle w:val="ListParagraph"/>
        <w:numPr>
          <w:ilvl w:val="0"/>
          <w:numId w:val="2"/>
        </w:numPr>
        <w:spacing w:before="60" w:after="60"/>
      </w:pPr>
      <w:r>
        <w:rPr>
          <w:rFonts w:ascii="Arial" w:cs="Arial" w:eastAsia="Arial" w:hAnsi="Arial"/>
          <w:b w:val="false"/>
          <w:bCs w:val="false"/>
          <w:color w:val="404040"/>
          <w:sz w:val="22"/>
          <w:szCs w:val="22"/>
        </w:rPr>
        <w:t xml:space="preserve">Routine tasks (document parsing, extraction, summarization, formatting): smaller capable model — Llama 3.3 70B or Qwen 3 32B. Cheap, fast, sufficient.</w:t>
      </w:r>
    </w:p>
    <w:p>
      <w:pPr>
        <w:pStyle w:val="ListParagraph"/>
        <w:numPr>
          <w:ilvl w:val="0"/>
          <w:numId w:val="2"/>
        </w:numPr>
        <w:spacing w:before="60" w:after="60"/>
      </w:pPr>
      <w:r>
        <w:rPr>
          <w:rFonts w:ascii="Arial" w:cs="Arial" w:eastAsia="Arial" w:hAnsi="Arial"/>
          <w:b w:val="false"/>
          <w:bCs w:val="false"/>
          <w:color w:val="404040"/>
          <w:sz w:val="22"/>
          <w:szCs w:val="22"/>
        </w:rPr>
        <w:t xml:space="preserve">Core consulting intelligence (strategic synthesis, pricing recommendations, payer strategy, HEOR interpretation): Claude Opus 4.6 via enterprise API. Non-negotiable for quality.</w:t>
      </w:r>
    </w:p>
    <w:p>
      <w:pPr>
        <w:pStyle w:val="ListParagraph"/>
        <w:numPr>
          <w:ilvl w:val="0"/>
          <w:numId w:val="2"/>
        </w:numPr>
        <w:spacing w:before="60" w:after="60"/>
      </w:pPr>
      <w:r>
        <w:rPr>
          <w:rFonts w:ascii="Arial" w:cs="Arial" w:eastAsia="Arial" w:hAnsi="Arial"/>
          <w:b w:val="false"/>
          <w:bCs w:val="false"/>
          <w:color w:val="404040"/>
          <w:sz w:val="22"/>
          <w:szCs w:val="22"/>
        </w:rPr>
        <w:t xml:space="preserve">Economics at ValOracle's scale: even routing all complex queries to Opus 4.6 API is approximately $2,000–$5,000/month — a rounding error relative to subscription revenue.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Claude Opus 4.6 (current frontier preference) for all strategic reasoning. Open-source models for pre-processing and routine tasks only.</w:t>
            </w:r>
          </w:p>
          <w:p>
            <w:pPr>
              <w:spacing w:before="60"/>
            </w:pPr>
            <w:r>
              <w:rPr>
                <w:rFonts w:ascii="Arial" w:cs="Arial" w:eastAsia="Arial" w:hAnsi="Arial"/>
                <w:i/>
                <w:iCs/>
                <w:color w:val="555555"/>
                <w:sz w:val="20"/>
                <w:szCs w:val="20"/>
              </w:rPr>
              <w:t xml:space="preserve">The cost argument for running an inferior local model doesn't hold at ValOracle's concurrency volume. Quality is the product — especially given the expert user base.</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5. User Profile Implications</w:t>
      </w:r>
    </w:p>
    <w:p>
      <w:pPr>
        <w:pStyle w:val="Heading2"/>
        <w:pBdr>
          <w:bottom w:val="single" w:color="0D7680" w:sz="4" w:space="4"/>
        </w:pBdr>
        <w:spacing w:before="280" w:after="140"/>
      </w:pPr>
      <w:r>
        <w:rPr>
          <w:rFonts w:ascii="Arial" w:cs="Arial" w:eastAsia="Arial" w:hAnsi="Arial"/>
          <w:b/>
          <w:bCs/>
          <w:color w:val="0D7680"/>
          <w:sz w:val="26"/>
          <w:szCs w:val="26"/>
        </w:rPr>
        <w:t xml:space="preserve">Target User: Upper Mid-Level to Executive</w:t>
      </w:r>
    </w:p>
    <w:p>
      <w:pPr>
        <w:spacing w:before="80" w:after="100"/>
      </w:pPr>
      <w:r>
        <w:rPr>
          <w:rFonts w:ascii="Arial" w:cs="Arial" w:eastAsia="Arial" w:hAnsi="Arial"/>
          <w:color w:val="404040"/>
          <w:sz w:val="22"/>
          <w:szCs w:val="22"/>
        </w:rPr>
        <w:t xml:space="preserve">ValOracle's primary users are VP-level to C-suite pharmaceutical and biotech professionals with deep domain expertise in market access, pricing, HEOR, and payer strategy.</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How This Changes the Architecture &amp;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Design Response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Error detection is stronger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Experts catch quality issues — but they also lose trust faster. No tolerance for confidently wrong strategic advice.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Questions are genuinely harder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Validates frontier model requirement. Expert users ask multi-variable, high-ambiguity questions — exactly where weaker models fail.</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Domain basics don't need explanation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Model's job is pure reasoning and synthesis, not education. A reasoning-strong model matters more than domain encyclopedic coverage.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Thinking partner &gt; expert oracle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Position ValOracle as stress-testing and synthesis tool for expert judgment, not authoritative source of strategic truth. More forgiving of model imperfection.</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Interface matters as much as model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Easy pushback, drill-down, and reasoning transparency mechanisms matter more for this audience than marginal hallucination rate improvement.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Product positioning: ValOracle as expert thinking partner, not expert system.</w:t>
            </w:r>
          </w:p>
          <w:p>
            <w:pPr>
              <w:spacing w:before="60"/>
            </w:pPr>
            <w:r>
              <w:rPr>
                <w:rFonts w:ascii="Arial" w:cs="Arial" w:eastAsia="Arial" w:hAnsi="Arial"/>
                <w:i/>
                <w:iCs/>
                <w:color w:val="555555"/>
                <w:sz w:val="20"/>
                <w:szCs w:val="20"/>
              </w:rPr>
              <w:t xml:space="preserve">Experts use it to stress-test their own thinking and synthesize information faster — not to receive authoritative answers. This framing is more honest, more durable, and more appropriate for the user base.</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6. Cloud Provider Selection</w:t>
      </w:r>
    </w:p>
    <w:p>
      <w:pPr>
        <w:pStyle w:val="Heading2"/>
        <w:pBdr>
          <w:bottom w:val="single" w:color="0D7680" w:sz="4" w:space="4"/>
        </w:pBdr>
        <w:spacing w:before="280" w:after="140"/>
      </w:pPr>
      <w:r>
        <w:rPr>
          <w:rFonts w:ascii="Arial" w:cs="Arial" w:eastAsia="Arial" w:hAnsi="Arial"/>
          <w:b/>
          <w:bCs/>
          <w:color w:val="0D7680"/>
          <w:sz w:val="26"/>
          <w:szCs w:val="26"/>
        </w:rPr>
        <w:t xml:space="preserve">Decision Context</w:t>
      </w:r>
    </w:p>
    <w:p>
      <w:pPr>
        <w:spacing w:before="80" w:after="100"/>
      </w:pPr>
      <w:r>
        <w:rPr>
          <w:rFonts w:ascii="Arial" w:cs="Arial" w:eastAsia="Arial" w:hAnsi="Arial"/>
          <w:color w:val="404040"/>
          <w:sz w:val="22"/>
          <w:szCs w:val="22"/>
        </w:rPr>
        <w:t xml:space="preserve">Nathan has existing familiarity with Google Cloud and Vertex AI via console. No prior experience with AWS or Azure. Vertex AI hosts Claude models including Opus 4.6 via Anthropic's partnership with Google.</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GCP / Vertex AI Strengths for ValOracle</w:t>
      </w:r>
    </w:p>
    <w:p>
      <w:pPr>
        <w:pStyle w:val="ListParagraph"/>
        <w:numPr>
          <w:ilvl w:val="0"/>
          <w:numId w:val="2"/>
        </w:numPr>
        <w:spacing w:before="60" w:after="60"/>
      </w:pPr>
      <w:r>
        <w:rPr>
          <w:rFonts w:ascii="Arial" w:cs="Arial" w:eastAsia="Arial" w:hAnsi="Arial"/>
          <w:b w:val="false"/>
          <w:bCs w:val="false"/>
          <w:color w:val="404040"/>
          <w:sz w:val="22"/>
          <w:szCs w:val="22"/>
        </w:rPr>
        <w:t xml:space="preserve">Familiarity reduces misconfiguration risk — a real security benefit, not just convenience.</w:t>
      </w:r>
    </w:p>
    <w:p>
      <w:pPr>
        <w:pStyle w:val="ListParagraph"/>
        <w:numPr>
          <w:ilvl w:val="0"/>
          <w:numId w:val="2"/>
        </w:numPr>
        <w:spacing w:before="60" w:after="60"/>
      </w:pPr>
      <w:r>
        <w:rPr>
          <w:rFonts w:ascii="Arial" w:cs="Arial" w:eastAsia="Arial" w:hAnsi="Arial"/>
          <w:b w:val="false"/>
          <w:bCs w:val="false"/>
          <w:color w:val="404040"/>
          <w:sz w:val="22"/>
          <w:szCs w:val="22"/>
        </w:rPr>
        <w:t xml:space="preserve">Vertex AI is well-integrated: model serving, Vector Search (RAG), Document AI, and IAM all in one ecosystem.</w:t>
      </w:r>
    </w:p>
    <w:p>
      <w:pPr>
        <w:pStyle w:val="ListParagraph"/>
        <w:numPr>
          <w:ilvl w:val="0"/>
          <w:numId w:val="2"/>
        </w:numPr>
        <w:spacing w:before="60" w:after="60"/>
      </w:pPr>
      <w:r>
        <w:rPr>
          <w:rFonts w:ascii="Arial" w:cs="Arial" w:eastAsia="Arial" w:hAnsi="Arial"/>
          <w:b w:val="false"/>
          <w:bCs w:val="false"/>
          <w:color w:val="404040"/>
          <w:sz w:val="22"/>
          <w:szCs w:val="22"/>
        </w:rPr>
        <w:t xml:space="preserve">BigQuery integration is world-class for any structured data ingestion (claims data, pricing benchmarks, formulary databases).</w:t>
      </w:r>
    </w:p>
    <w:p>
      <w:pPr>
        <w:pStyle w:val="ListParagraph"/>
        <w:numPr>
          <w:ilvl w:val="0"/>
          <w:numId w:val="2"/>
        </w:numPr>
        <w:spacing w:before="60" w:after="60"/>
      </w:pPr>
      <w:r>
        <w:rPr>
          <w:rFonts w:ascii="Arial" w:cs="Arial" w:eastAsia="Arial" w:hAnsi="Arial"/>
          <w:b w:val="false"/>
          <w:bCs w:val="false"/>
          <w:color w:val="404040"/>
          <w:sz w:val="22"/>
          <w:szCs w:val="22"/>
        </w:rPr>
        <w:t xml:space="preserve">All required security architecture is achievable: VPC isolation, Private Service Connect, CMEK, Cloud Logging for audit trails.</w:t>
      </w:r>
    </w:p>
    <w:p>
      <w:pPr>
        <w:pStyle w:val="ListParagraph"/>
        <w:numPr>
          <w:ilvl w:val="0"/>
          <w:numId w:val="2"/>
        </w:numPr>
        <w:spacing w:before="60" w:after="60"/>
      </w:pPr>
      <w:r>
        <w:rPr>
          <w:rFonts w:ascii="Arial" w:cs="Arial" w:eastAsia="Arial" w:hAnsi="Arial"/>
          <w:b w:val="false"/>
          <w:bCs w:val="false"/>
          <w:color w:val="404040"/>
          <w:sz w:val="22"/>
          <w:szCs w:val="22"/>
        </w:rPr>
        <w:t xml:space="preserve">Google Cloud DPA covers Vertex — data not used for training, BAA executable.</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Honest Limitations</w:t>
      </w:r>
    </w:p>
    <w:p>
      <w:pPr>
        <w:pStyle w:val="ListParagraph"/>
        <w:numPr>
          <w:ilvl w:val="0"/>
          <w:numId w:val="2"/>
        </w:numPr>
        <w:spacing w:before="60" w:after="60"/>
      </w:pPr>
      <w:r>
        <w:rPr>
          <w:rFonts w:ascii="Arial" w:cs="Arial" w:eastAsia="Arial" w:hAnsi="Arial"/>
          <w:b w:val="false"/>
          <w:bCs w:val="false"/>
          <w:color w:val="404040"/>
          <w:sz w:val="22"/>
          <w:szCs w:val="22"/>
        </w:rPr>
        <w:t xml:space="preserve">Claude model availability on Vertex sometimes lags direct Anthropic API by weeks/months after a new model launch.</w:t>
      </w:r>
    </w:p>
    <w:p>
      <w:pPr>
        <w:pStyle w:val="ListParagraph"/>
        <w:numPr>
          <w:ilvl w:val="0"/>
          <w:numId w:val="2"/>
        </w:numPr>
        <w:spacing w:before="60" w:after="60"/>
      </w:pPr>
      <w:r>
        <w:rPr>
          <w:rFonts w:ascii="Arial" w:cs="Arial" w:eastAsia="Arial" w:hAnsi="Arial"/>
          <w:b w:val="false"/>
          <w:bCs w:val="false"/>
          <w:color w:val="404040"/>
          <w:sz w:val="22"/>
          <w:szCs w:val="22"/>
        </w:rPr>
        <w:t xml:space="preserve">Vertex AI Search (managed RAG) is good but opinionated — less flexible than a custom RAG pipeline for ValOracle's specific needs.</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Recommended GCP Stack for ValOracle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GCP Service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Client tenant isolation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Separate GCP project per client, VPC isolation between projects</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Application hosting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Cloud Run (managed containers, auto-scaling — approachable without deep infra expertise)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Document 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Cloud Storage</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Vector embeddings / RAG retrieval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Vertex Vector Search</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AI inference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Vertex AI (Claude Opus 4.6 via Anthropic partnership)</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Audit logging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Cloud Logging — stored in client's own GCP project</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Secrets / API keys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Secret Manager</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User authentication / SSO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Firebase Auth or Identity Platform</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Encryption key management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Cloud KMS (client-managed keys / CMEK)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Google Cloud Platform (GCP) with Vertex AI as primary cloud provider.</w:t>
            </w:r>
          </w:p>
          <w:p>
            <w:pPr>
              <w:spacing w:before="60"/>
            </w:pPr>
            <w:r>
              <w:rPr>
                <w:rFonts w:ascii="Arial" w:cs="Arial" w:eastAsia="Arial" w:hAnsi="Arial"/>
                <w:i/>
                <w:iCs/>
                <w:color w:val="555555"/>
                <w:sz w:val="20"/>
                <w:szCs w:val="20"/>
              </w:rPr>
              <w:t xml:space="preserve">Familiarity is a legitimate and underrated reason to choose a cloud provider. All security requirements are achievable on GCP. Vertex hosts required Claude models.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7B5E00"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828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color w:val="404040"/>
                <w:sz w:val="20"/>
                <w:szCs w:val="20"/>
              </w:rPr>
              <w:t xml:space="preserve">Build a thin model abstraction layer from day one that can route to either Vertex AI or direct Anthropic API. This costs approximately one day of development and insulates ValOracle from Vertex's model availability timeline. When a new Claude version launches, the option to route direct exists without rebuilding.</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7. Model Update &amp; Evaluation Policy</w:t>
      </w:r>
    </w:p>
    <w:p>
      <w:pPr>
        <w:pStyle w:val="Heading2"/>
        <w:pBdr>
          <w:bottom w:val="single" w:color="0D7680" w:sz="4" w:space="4"/>
        </w:pBdr>
        <w:spacing w:before="280" w:after="140"/>
      </w:pPr>
      <w:r>
        <w:rPr>
          <w:rFonts w:ascii="Arial" w:cs="Arial" w:eastAsia="Arial" w:hAnsi="Arial"/>
          <w:b/>
          <w:bCs/>
          <w:color w:val="0D7680"/>
          <w:sz w:val="26"/>
          <w:szCs w:val="26"/>
        </w:rPr>
        <w:t xml:space="preserve">The Decision</w:t>
      </w:r>
    </w:p>
    <w:p>
      <w:pPr>
        <w:spacing w:before="80" w:after="100"/>
      </w:pPr>
      <w:r>
        <w:rPr>
          <w:rFonts w:ascii="Arial" w:cs="Arial" w:eastAsia="Arial" w:hAnsi="Arial"/>
          <w:color w:val="404040"/>
          <w:sz w:val="22"/>
          <w:szCs w:val="22"/>
        </w:rPr>
        <w:t xml:space="preserve">New AI models will be evaluated for several weeks before deployment to production — not auto-upgraded. Nathan will personally evaluate whether a new model represents a genuine improvement or a step backward for ValOracle's specific use cases before any client exposure.</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Rationale</w:t>
      </w:r>
    </w:p>
    <w:p>
      <w:pPr>
        <w:pStyle w:val="ListParagraph"/>
        <w:numPr>
          <w:ilvl w:val="0"/>
          <w:numId w:val="2"/>
        </w:numPr>
        <w:spacing w:before="60" w:after="60"/>
      </w:pPr>
      <w:r>
        <w:rPr>
          <w:rFonts w:ascii="Arial" w:cs="Arial" w:eastAsia="Arial" w:hAnsi="Arial"/>
          <w:b w:val="false"/>
          <w:bCs w:val="false"/>
          <w:color w:val="404040"/>
          <w:sz w:val="22"/>
          <w:szCs w:val="22"/>
        </w:rPr>
        <w:t xml:space="preserve">Clients build mental models of how ValOracle reasons. Shifts in output character between model versions are disorienting even when the new model is objectively better on benchmarks.</w:t>
      </w:r>
    </w:p>
    <w:p>
      <w:pPr>
        <w:pStyle w:val="ListParagraph"/>
        <w:numPr>
          <w:ilvl w:val="0"/>
          <w:numId w:val="2"/>
        </w:numPr>
        <w:spacing w:before="60" w:after="60"/>
      </w:pPr>
      <w:r>
        <w:rPr>
          <w:rFonts w:ascii="Arial" w:cs="Arial" w:eastAsia="Arial" w:hAnsi="Arial"/>
          <w:b w:val="false"/>
          <w:bCs w:val="false"/>
          <w:color w:val="404040"/>
          <w:sz w:val="22"/>
          <w:szCs w:val="22"/>
        </w:rPr>
        <w:t xml:space="preserve">Consistency of reasoning style and confidence calibration is part of what makes a consulting tool trustworthy — especially for senior users.</w:t>
      </w:r>
    </w:p>
    <w:p>
      <w:pPr>
        <w:pStyle w:val="ListParagraph"/>
        <w:numPr>
          <w:ilvl w:val="0"/>
          <w:numId w:val="2"/>
        </w:numPr>
        <w:spacing w:before="60" w:after="60"/>
      </w:pPr>
      <w:r>
        <w:rPr>
          <w:rFonts w:ascii="Arial" w:cs="Arial" w:eastAsia="Arial" w:hAnsi="Arial"/>
          <w:b w:val="false"/>
          <w:bCs w:val="false"/>
          <w:color w:val="404040"/>
          <w:sz w:val="22"/>
          <w:szCs w:val="22"/>
        </w:rPr>
        <w:t xml:space="preserve">Auto-upgrading to the latest model is standard practice in the AI industry and has caused quality regressions that clients noticed before vendors did.</w:t>
      </w:r>
    </w:p>
    <w:p>
      <w:pPr>
        <w:pStyle w:val="ListParagraph"/>
        <w:numPr>
          <w:ilvl w:val="0"/>
          <w:numId w:val="2"/>
        </w:numPr>
        <w:spacing w:before="60" w:after="60"/>
      </w:pPr>
      <w:r>
        <w:rPr>
          <w:rFonts w:ascii="Arial" w:cs="Arial" w:eastAsia="Arial" w:hAnsi="Arial"/>
          <w:b w:val="false"/>
          <w:bCs w:val="false"/>
          <w:color w:val="404040"/>
          <w:sz w:val="22"/>
          <w:szCs w:val="22"/>
        </w:rPr>
        <w:t xml:space="preserve">The Vertex model availability lag (~weeks after launch) aligns almost perfectly with a responsible evaluation cadence — by the time a new Claude appears on Vertex, evaluation would be wrapping up anyway.</w:t>
      </w:r>
    </w:p>
    <w:p>
      <w:pPr>
        <w:spacing w:before="8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Implementation Notes</w:t>
      </w:r>
    </w:p>
    <w:p>
      <w:pPr>
        <w:pStyle w:val="ListParagraph"/>
        <w:numPr>
          <w:ilvl w:val="0"/>
          <w:numId w:val="2"/>
        </w:numPr>
        <w:spacing w:before="60" w:after="60"/>
      </w:pPr>
      <w:r>
        <w:rPr>
          <w:rFonts w:ascii="Arial" w:cs="Arial" w:eastAsia="Arial" w:hAnsi="Arial"/>
          <w:b w:val="false"/>
          <w:bCs w:val="false"/>
          <w:color w:val="404040"/>
          <w:sz w:val="22"/>
          <w:szCs w:val="22"/>
        </w:rPr>
        <w:t xml:space="preserve">Build a model versioning flag in the architecture from the start — enables staged rollout to a test client or subset of users before platform-wide deployment. Easy to implement early, painful to retrofit.</w:t>
      </w:r>
    </w:p>
    <w:p>
      <w:pPr>
        <w:pStyle w:val="ListParagraph"/>
        <w:numPr>
          <w:ilvl w:val="0"/>
          <w:numId w:val="2"/>
        </w:numPr>
        <w:spacing w:before="60" w:after="60"/>
      </w:pPr>
      <w:r>
        <w:rPr>
          <w:rFonts w:ascii="Arial" w:cs="Arial" w:eastAsia="Arial" w:hAnsi="Arial"/>
          <w:b w:val="false"/>
          <w:bCs w:val="false"/>
          <w:color w:val="404040"/>
          <w:sz w:val="22"/>
          <w:szCs w:val="22"/>
        </w:rPr>
        <w:t xml:space="preserve">This evaluation discipline is a legitimate client-facing feature: 'We validate every model update before deployment' is exactly what a VP of Market Access wants to hear from a vendor whose output informs pricing decisions.</w:t>
      </w:r>
    </w:p>
    <w:p>
      <w:pPr>
        <w:pStyle w:val="ListParagraph"/>
        <w:numPr>
          <w:ilvl w:val="0"/>
          <w:numId w:val="2"/>
        </w:numPr>
        <w:spacing w:before="60" w:after="60"/>
      </w:pPr>
      <w:r>
        <w:rPr>
          <w:rFonts w:ascii="Arial" w:cs="Arial" w:eastAsia="Arial" w:hAnsi="Arial"/>
          <w:b w:val="false"/>
          <w:bCs w:val="false"/>
          <w:color w:val="404040"/>
          <w:sz w:val="22"/>
          <w:szCs w:val="22"/>
        </w:rPr>
        <w:t xml:space="preserve">Differentiates ValOracle from the move-fast AI tool culture that makes enterprise pharma buyers nervous.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680" w:val="clear"/>
            <w:tcMar>
              <w:top w:type="dxa" w:w="140"/>
              <w:left w:type="dxa" w:w="160"/>
              <w:bottom w:type="dxa" w:w="140"/>
              <w:right w:type="dxa" w:w="160"/>
            </w:tcMar>
            <w:vAlign w:val="center"/>
          </w:tcPr>
          <w:p>
            <w:pPr>
              <w:jc w:val="center"/>
            </w:pPr>
            <w:r>
              <w:rPr>
                <w:rFonts w:ascii="Arial" w:cs="Arial" w:eastAsia="Arial" w:hAnsi="Arial"/>
                <w:b/>
                <w:bCs/>
                <w:color w:val="FFFFFF"/>
                <w:sz w:val="18"/>
                <w:szCs w:val="18"/>
              </w:rPr>
              <w:t xml:space="preserve">DECISION</w:t>
            </w:r>
          </w:p>
        </w:tc>
        <w:tc>
          <w:tcPr>
            <w:tcW w:type="dxa" w:w="7920"/>
            <w:tcBorders>
              <w:top w:val="none" w:color="FFFFFF" w:sz="0"/>
              <w:left w:val="none" w:color="FFFFFF" w:sz="0"/>
              <w:bottom w:val="none" w:color="FFFFFF" w:sz="0"/>
              <w:right w:val="none" w:color="FFFFFF" w:sz="0"/>
            </w:tcBorders>
            <w:shd w:fill="E6F3F4" w:val="clear"/>
            <w:tcMar>
              <w:top w:type="dxa" w:w="120"/>
              <w:left w:type="dxa" w:w="200"/>
              <w:bottom w:type="dxa" w:w="120"/>
              <w:right w:type="dxa" w:w="200"/>
            </w:tcMar>
          </w:tcPr>
          <w:p>
            <w:r>
              <w:rPr>
                <w:rFonts w:ascii="Arial" w:cs="Arial" w:eastAsia="Arial" w:hAnsi="Arial"/>
                <w:b/>
                <w:bCs/>
                <w:color w:val="404040"/>
                <w:sz w:val="22"/>
                <w:szCs w:val="22"/>
              </w:rPr>
              <w:t xml:space="preserve">Manual model evaluation gate before any production deployment. No auto-upgrades.</w:t>
            </w:r>
          </w:p>
          <w:p>
            <w:pPr>
              <w:spacing w:before="60"/>
            </w:pPr>
            <w:r>
              <w:rPr>
                <w:rFonts w:ascii="Arial" w:cs="Arial" w:eastAsia="Arial" w:hAnsi="Arial"/>
                <w:i/>
                <w:iCs/>
                <w:color w:val="555555"/>
                <w:sz w:val="20"/>
                <w:szCs w:val="20"/>
              </w:rPr>
              <w:t xml:space="preserve">Positions ValOracle as a trusted, stable consulting tool rather than a bleeding-edge AI product. Matches enterprise pharma procurement expectations and protects client trust.</w:t>
            </w:r>
          </w:p>
        </w:tc>
      </w:tr>
    </w:tbl>
    <w:p>
      <w:pPr>
        <w:spacing w:before="200" w:after="0"/>
      </w:pPr>
      <w:r>
        <w:t xml:space="preserve"/>
      </w:r>
    </w:p>
    <w:p>
      <w:pPr>
        <w:pStyle w:val="Heading1"/>
        <w:spacing w:before="400" w:after="160"/>
      </w:pPr>
      <w:r>
        <w:rPr>
          <w:rFonts w:ascii="Arial" w:cs="Arial" w:eastAsia="Arial" w:hAnsi="Arial"/>
          <w:b/>
          <w:bCs/>
          <w:color w:val="1F3864"/>
          <w:sz w:val="32"/>
          <w:szCs w:val="32"/>
        </w:rPr>
        <w:t xml:space="preserve">8. Open Questions &amp; Next Steps</w:t>
      </w:r>
    </w:p>
    <w:p>
      <w:pPr>
        <w:pStyle w:val="Heading2"/>
        <w:pBdr>
          <w:bottom w:val="single" w:color="0D7680" w:sz="4" w:space="4"/>
        </w:pBdr>
        <w:spacing w:before="280" w:after="140"/>
      </w:pPr>
      <w:r>
        <w:rPr>
          <w:rFonts w:ascii="Arial" w:cs="Arial" w:eastAsia="Arial" w:hAnsi="Arial"/>
          <w:b/>
          <w:bCs/>
          <w:color w:val="0D7680"/>
          <w:sz w:val="26"/>
          <w:szCs w:val="26"/>
        </w:rPr>
        <w:t xml:space="preserve">Not Yet Decided</w:t>
      </w:r>
    </w:p>
    <w:p>
      <w:pPr>
        <w:pStyle w:val="ListParagraph"/>
        <w:numPr>
          <w:ilvl w:val="0"/>
          <w:numId w:val="2"/>
        </w:numPr>
        <w:spacing w:before="60" w:after="60"/>
      </w:pPr>
      <w:r>
        <w:rPr>
          <w:rFonts w:ascii="Arial" w:cs="Arial" w:eastAsia="Arial" w:hAnsi="Arial"/>
          <w:b w:val="false"/>
          <w:bCs w:val="false"/>
          <w:color w:val="404040"/>
          <w:sz w:val="22"/>
          <w:szCs w:val="22"/>
        </w:rPr>
        <w:t xml:space="preserve">Fine-tuning strategy: Should ValOracle fine-tune a model on pharmaceutical market access domain content? When, and on what data?</w:t>
      </w:r>
    </w:p>
    <w:p>
      <w:pPr>
        <w:pStyle w:val="ListParagraph"/>
        <w:numPr>
          <w:ilvl w:val="0"/>
          <w:numId w:val="2"/>
        </w:numPr>
        <w:spacing w:before="60" w:after="60"/>
      </w:pPr>
      <w:r>
        <w:rPr>
          <w:rFonts w:ascii="Arial" w:cs="Arial" w:eastAsia="Arial" w:hAnsi="Arial"/>
          <w:b w:val="false"/>
          <w:bCs w:val="false"/>
          <w:color w:val="404040"/>
          <w:sz w:val="22"/>
          <w:szCs w:val="22"/>
        </w:rPr>
        <w:t xml:space="preserve">Pricing model: Per-seat subscription vs. usage-based vs. tiered by client size? How does API cost factor into margin at different usage levels?</w:t>
      </w:r>
    </w:p>
    <w:p>
      <w:pPr>
        <w:pStyle w:val="ListParagraph"/>
        <w:numPr>
          <w:ilvl w:val="0"/>
          <w:numId w:val="2"/>
        </w:numPr>
        <w:spacing w:before="60" w:after="60"/>
      </w:pPr>
      <w:r>
        <w:rPr>
          <w:rFonts w:ascii="Arial" w:cs="Arial" w:eastAsia="Arial" w:hAnsi="Arial"/>
          <w:b w:val="false"/>
          <w:bCs w:val="false"/>
          <w:color w:val="404040"/>
          <w:sz w:val="22"/>
          <w:szCs w:val="22"/>
        </w:rPr>
        <w:t xml:space="preserve">RAG pipeline design: Custom build (LlamaIndex / LangChain + Vertex Vector Search) vs. managed Vertex AI Search? Tradeoffs not yet fully evaluated.</w:t>
      </w:r>
    </w:p>
    <w:p>
      <w:pPr>
        <w:pStyle w:val="ListParagraph"/>
        <w:numPr>
          <w:ilvl w:val="0"/>
          <w:numId w:val="2"/>
        </w:numPr>
        <w:spacing w:before="60" w:after="60"/>
      </w:pPr>
      <w:r>
        <w:rPr>
          <w:rFonts w:ascii="Arial" w:cs="Arial" w:eastAsia="Arial" w:hAnsi="Arial"/>
          <w:b w:val="false"/>
          <w:bCs w:val="false"/>
          <w:color w:val="404040"/>
          <w:sz w:val="22"/>
          <w:szCs w:val="22"/>
        </w:rPr>
        <w:t xml:space="preserve">On-prem premium tier: What triggers the on-prem offering? Which clients are likely to require it? What does the deployment and support model look like?</w:t>
      </w:r>
    </w:p>
    <w:p>
      <w:pPr>
        <w:pStyle w:val="ListParagraph"/>
        <w:numPr>
          <w:ilvl w:val="0"/>
          <w:numId w:val="2"/>
        </w:numPr>
        <w:spacing w:before="60" w:after="60"/>
      </w:pPr>
      <w:r>
        <w:rPr>
          <w:rFonts w:ascii="Arial" w:cs="Arial" w:eastAsia="Arial" w:hAnsi="Arial"/>
          <w:b w:val="false"/>
          <w:bCs w:val="false"/>
          <w:color w:val="404040"/>
          <w:sz w:val="22"/>
          <w:szCs w:val="22"/>
        </w:rPr>
        <w:t xml:space="preserve">Model abstraction layer: Confirm direct Anthropic API as fallback — requires separate enterprise agreement alongside Vertex partnership.</w:t>
      </w:r>
    </w:p>
    <w:p>
      <w:pPr>
        <w:pStyle w:val="ListParagraph"/>
        <w:numPr>
          <w:ilvl w:val="0"/>
          <w:numId w:val="2"/>
        </w:numPr>
        <w:spacing w:before="60" w:after="60"/>
      </w:pPr>
      <w:r>
        <w:rPr>
          <w:rFonts w:ascii="Arial" w:cs="Arial" w:eastAsia="Arial" w:hAnsi="Arial"/>
          <w:b w:val="false"/>
          <w:bCs w:val="false"/>
          <w:color w:val="404040"/>
          <w:sz w:val="22"/>
          <w:szCs w:val="22"/>
        </w:rPr>
        <w:t xml:space="preserve">Initial client pilot: Who is the first client, and what is the MVP use case scope? Payer landscape? Pricing scenario modeling? Competitive intelligence?</w:t>
      </w:r>
    </w:p>
    <w:p>
      <w:pPr>
        <w:spacing w:before="120" w:after="0"/>
      </w:pPr>
      <w:r>
        <w:t xml:space="preserve"/>
      </w:r>
    </w:p>
    <w:p>
      <w:pPr>
        <w:pStyle w:val="Heading2"/>
        <w:pBdr>
          <w:bottom w:val="single" w:color="0D7680" w:sz="4" w:space="4"/>
        </w:pBdr>
        <w:spacing w:before="280" w:after="140"/>
      </w:pPr>
      <w:r>
        <w:rPr>
          <w:rFonts w:ascii="Arial" w:cs="Arial" w:eastAsia="Arial" w:hAnsi="Arial"/>
          <w:b/>
          <w:bCs/>
          <w:color w:val="0D7680"/>
          <w:sz w:val="26"/>
          <w:szCs w:val="26"/>
        </w:rPr>
        <w:t xml:space="preserve">Immediate Priority Actions</w:t>
      </w:r>
    </w:p>
    <w:p>
      <w:pPr>
        <w:pStyle w:val="ListParagraph"/>
        <w:numPr>
          <w:ilvl w:val="0"/>
          <w:numId w:val="3"/>
        </w:numPr>
        <w:spacing w:before="60" w:after="60"/>
      </w:pPr>
      <w:r>
        <w:rPr>
          <w:rFonts w:ascii="Arial" w:cs="Arial" w:eastAsia="Arial" w:hAnsi="Arial"/>
          <w:color w:val="404040"/>
          <w:sz w:val="22"/>
          <w:szCs w:val="22"/>
        </w:rPr>
        <w:t xml:space="preserve">Set up GCP organization and project structure — establish the per-client project isolation pattern before any client data exists.</w:t>
      </w:r>
    </w:p>
    <w:p>
      <w:pPr>
        <w:pStyle w:val="ListParagraph"/>
        <w:numPr>
          <w:ilvl w:val="0"/>
          <w:numId w:val="3"/>
        </w:numPr>
        <w:spacing w:before="60" w:after="60"/>
      </w:pPr>
      <w:r>
        <w:rPr>
          <w:rFonts w:ascii="Arial" w:cs="Arial" w:eastAsia="Arial" w:hAnsi="Arial"/>
          <w:color w:val="404040"/>
          <w:sz w:val="22"/>
          <w:szCs w:val="22"/>
        </w:rPr>
        <w:t xml:space="preserve">Execute Anthropic enterprise API agreement — needed for both Vertex partnership and direct API fallback. Begin ZDR addendum negotiation.</w:t>
      </w:r>
    </w:p>
    <w:p>
      <w:pPr>
        <w:pStyle w:val="ListParagraph"/>
        <w:numPr>
          <w:ilvl w:val="0"/>
          <w:numId w:val="3"/>
        </w:numPr>
        <w:spacing w:before="60" w:after="60"/>
      </w:pPr>
      <w:r>
        <w:rPr>
          <w:rFonts w:ascii="Arial" w:cs="Arial" w:eastAsia="Arial" w:hAnsi="Arial"/>
          <w:color w:val="404040"/>
          <w:sz w:val="22"/>
          <w:szCs w:val="22"/>
        </w:rPr>
        <w:t xml:space="preserve">Draft DPA template with standalone model training prohibition clause — this is the document that unlocks enterprise procurement conversations.</w:t>
      </w:r>
    </w:p>
    <w:p>
      <w:pPr>
        <w:pStyle w:val="ListParagraph"/>
        <w:numPr>
          <w:ilvl w:val="0"/>
          <w:numId w:val="3"/>
        </w:numPr>
        <w:spacing w:before="60" w:after="60"/>
      </w:pPr>
      <w:r>
        <w:rPr>
          <w:rFonts w:ascii="Arial" w:cs="Arial" w:eastAsia="Arial" w:hAnsi="Arial"/>
          <w:color w:val="404040"/>
          <w:sz w:val="22"/>
          <w:szCs w:val="22"/>
        </w:rPr>
        <w:t xml:space="preserve">Begin SOC 2 Type II audit window — 6-12 month timeline makes this the longest lead item. Start immediately.</w:t>
      </w:r>
    </w:p>
    <w:p>
      <w:pPr>
        <w:pStyle w:val="ListParagraph"/>
        <w:numPr>
          <w:ilvl w:val="0"/>
          <w:numId w:val="3"/>
        </w:numPr>
        <w:spacing w:before="60" w:after="60"/>
      </w:pPr>
      <w:r>
        <w:rPr>
          <w:rFonts w:ascii="Arial" w:cs="Arial" w:eastAsia="Arial" w:hAnsi="Arial"/>
          <w:color w:val="404040"/>
          <w:sz w:val="22"/>
          <w:szCs w:val="22"/>
        </w:rPr>
        <w:t xml:space="preserve">Prototype model abstraction layer — one day of architecture work that future-proofs model routing.</w:t>
      </w:r>
    </w:p>
    <w:p>
      <w:pPr>
        <w:spacing w:before="200" w:after="0"/>
      </w:pPr>
      <w:r>
        <w:t xml:space="preserve"/>
      </w:r>
    </w:p>
    <w:p>
      <w:pPr>
        <w:pStyle w:val="Heading1"/>
        <w:spacing w:before="400" w:after="160"/>
      </w:pPr>
      <w:r>
        <w:rPr>
          <w:rFonts w:ascii="Arial" w:cs="Arial" w:eastAsia="Arial" w:hAnsi="Arial"/>
          <w:b/>
          <w:bCs/>
          <w:color w:val="1F3864"/>
          <w:sz w:val="32"/>
          <w:szCs w:val="32"/>
        </w:rPr>
        <w:t xml:space="preserve">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Multi-Mac compute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Not applicable — cloud infrastructure addresses ValOracle's actual needs</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Deployment architecture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Cloud API (standard) + on-prem dedicated server (premium / data sovereignty tier)</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Cloud provider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Google Cloud Platform / Vertex AI</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Primary AI model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Claude Opus 4.6 via Vertex AI</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Open-source models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Routine pre-processing tasks only — not core reasoning layer</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Model update policy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Manual evaluation gate — no auto-upgrades to production</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Model fallback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Direct Anthropic API via thin abstraction layer</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Product positioning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Expert thinking partner — not authoritative expert system</w:t>
            </w:r>
          </w:p>
        </w:tc>
      </w:tr>
      <w:tr>
        <w:tc>
          <w:tcPr>
            <w:tcW w:type="dxa" w:w="3200"/>
            <w:tcBorders>
              <w:top w:val="single" w:color="CCCCCC" w:sz="1"/>
              <w:left w:val="single" w:color="CCCCCC" w:sz="1"/>
              <w:bottom w:val="single" w:color="CCCCCC" w:sz="1"/>
              <w:right w:val="single" w:color="CCCCCC" w:sz="1"/>
            </w:tcBorders>
            <w:shd w:fill="E6F3F4" w:val="clear"/>
            <w:tcMar>
              <w:top w:type="dxa" w:w="100"/>
              <w:left w:type="dxa" w:w="160"/>
              <w:bottom w:type="dxa" w:w="100"/>
              <w:right w:type="dxa" w:w="160"/>
            </w:tcMar>
          </w:tcPr>
          <w:p>
            <w:r>
              <w:rPr>
                <w:rFonts w:ascii="Arial" w:cs="Arial" w:eastAsia="Arial" w:hAnsi="Arial"/>
                <w:b/>
                <w:bCs/>
                <w:color w:val="0D7680"/>
                <w:sz w:val="20"/>
                <w:szCs w:val="20"/>
              </w:rPr>
              <w:t xml:space="preserve">Client data isolation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04040"/>
                <w:sz w:val="20"/>
                <w:szCs w:val="20"/>
              </w:rPr>
              <w:t xml:space="preserve">Separate GCP project per client, CMEK, Private Service Connect</w:t>
            </w:r>
          </w:p>
        </w:tc>
      </w:tr>
    </w:tbl>
    <w:p>
      <w:pPr>
        <w:spacing w:before="160" w:after="0"/>
      </w:pPr>
      <w:r>
        <w:t xml:space="preserve"/>
      </w:r>
    </w:p>
    <w:p>
      <w:pPr>
        <w:pBdr>
          <w:top w:val="single" w:color="D9D9D9" w:sz="4" w:space="6"/>
        </w:pBdr>
        <w:spacing w:before="200" w:after="0"/>
      </w:pPr>
      <w:r>
        <w:rPr>
          <w:rFonts w:ascii="Arial" w:cs="Arial" w:eastAsia="Arial" w:hAnsi="Arial"/>
          <w:i/>
          <w:iCs/>
          <w:color w:val="888888"/>
          <w:sz w:val="18"/>
          <w:szCs w:val="18"/>
        </w:rPr>
        <w:t xml:space="preserve">ValOracle 2.0  |  Architecture Session Notes  |  February 20, 2026  |  Confidential — Nathan / Lumanity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pPr>
    <w:r>
      <w:rPr>
        <w:rFonts w:ascii="Arial" w:cs="Arial" w:eastAsia="Arial" w:hAnsi="Arial"/>
        <w:i/>
        <w:iCs/>
        <w:color w:val="888888"/>
        <w:sz w:val="18"/>
        <w:szCs w:val="18"/>
      </w:rPr>
      <w:t xml:space="preserve">Confidential — Nathan / Lumanity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680" w:sz="6" w:space="4"/>
      </w:pBdr>
      <w:tabs>
        <w:tab w:val="right" w:pos="9026"/>
      </w:tabs>
    </w:pPr>
    <w:r>
      <w:rPr>
        <w:rFonts w:ascii="Arial" w:cs="Arial" w:eastAsia="Arial" w:hAnsi="Arial"/>
        <w:color w:val="888888"/>
        <w:sz w:val="18"/>
        <w:szCs w:val="18"/>
      </w:rPr>
      <w:t xml:space="preserve">ValOracle 2.0 — Architecture &amp; Strategy Decisions</w:t>
    </w:r>
    <w:r>
      <w:rPr>
        <w:rFonts w:ascii="Arial" w:cs="Arial" w:eastAsia="Arial" w:hAnsi="Arial"/>
        <w:i/>
        <w:iCs/>
        <w:color w:val="888888"/>
        <w:sz w:val="18"/>
        <w:szCs w:val="18"/>
      </w:rPr>
      <w:t xml:space="preserve">	Session Notes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680"/>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2026-02-21T01:17:15.139Z</dcterms:created>
  <dcterms:modified xsi:type="dcterms:W3CDTF">2026-02-21T01:17:15.140Z</dcterms:modified>
</cp:coreProperties>
</file>

<file path=docProps/custom.xml><?xml version="1.0" encoding="utf-8"?>
<Properties xmlns="http://schemas.openxmlformats.org/officeDocument/2006/custom-properties" xmlns:vt="http://schemas.openxmlformats.org/officeDocument/2006/docPropsVTypes"/>
</file>