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Phan Khánh Vũ - 20235880</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bl>
    <w:bookmarkEnd w:id="24"/>
    <w:bookmarkEnd w:id="25"/>
    <w:bookmarkStart w:id="30" w:name="đặc-tả-use-case"/>
    <w:p>
      <w:pPr>
        <w:pStyle w:val="Heading1"/>
      </w:pPr>
      <w:r>
        <w:t xml:space="preserve">Đặc tả use case</w:t>
      </w:r>
    </w:p>
    <w:bookmarkStart w:id="29" w:name="uc-004---planimportallocation"/>
    <w:p>
      <w:pPr>
        <w:pStyle w:val="Heading2"/>
      </w:pPr>
      <w:r>
        <w:t xml:space="preserve">UC-004 - PlanImportAllocation</w:t>
      </w:r>
    </w:p>
    <w:p>
      <w:pPr>
        <w:pStyle w:val="FirstParagraph"/>
      </w:pPr>
      <w:r>
        <w:t xml:space="preserve">Tính phương án phân bổ nhập hàng theo tồn kho, ngày nhận và ưu tiên vận chuyển.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w:t>
            </w:r>
          </w:p>
        </w:tc>
      </w:tr>
      <w:tr>
        <w:tc>
          <w:tcPr/>
          <w:p>
            <w:pPr>
              <w:pStyle w:val="Compact"/>
              <w:jc w:val="left"/>
            </w:pPr>
            <w:r>
              <w:t xml:space="preserve">Tiền điều kiện</w:t>
            </w:r>
          </w:p>
        </w:tc>
        <w:tc>
          <w:tcPr/>
          <w:p>
            <w:pPr>
              <w:pStyle w:val="Compact"/>
              <w:jc w:val="left"/>
            </w:pPr>
            <w:r>
              <w:t xml:space="preserve">Có import request hợp lệ, InventoryRecord và shipping time đủ để tính toán.</w:t>
            </w:r>
          </w:p>
        </w:tc>
      </w:tr>
      <w:tr>
        <w:tc>
          <w:tcPr/>
          <w:p>
            <w:pPr>
              <w:pStyle w:val="Compact"/>
              <w:jc w:val="left"/>
            </w:pPr>
            <w:r>
              <w:t xml:space="preserve">Hậu điều kiện</w:t>
            </w:r>
          </w:p>
        </w:tc>
        <w:tc>
          <w:tcPr/>
          <w:p>
            <w:pPr>
              <w:pStyle w:val="Compact"/>
              <w:jc w:val="left"/>
            </w:pPr>
            <w:r>
              <w:t xml:space="preserve">AllocationPlan được tạo với các AllocationLine đủ thông tin siteCode, merchandiseCode, quantity và deliveryMeans.</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request cần lập phương án phân bổ.</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Đọc tồn kho và thời gian vận chuyển của từng Site.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Loại Site không đáp ứng desiredDeliveryDate.</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Xếp hạng Site theo deliveryMeans, inStockQuantity và số Site cần dùng.</w:t>
            </w:r>
          </w:p>
        </w:tc>
      </w:tr>
      <w:tr>
        <w:tc>
          <w:tcPr/>
          <w:p>
            <w:pPr>
              <w:pStyle w:val="Compact"/>
              <w:jc w:val="left"/>
            </w:pPr>
            <w:r>
              <w:t xml:space="preserve">5</w:t>
            </w:r>
          </w:p>
        </w:tc>
        <w:tc>
          <w:tcPr/>
          <w:p>
            <w:pPr>
              <w:pStyle w:val="Compact"/>
              <w:jc w:val="left"/>
            </w:pPr>
            <w:r>
              <w:t xml:space="preserve">InternationalOrderingDepartment</w:t>
            </w:r>
          </w:p>
        </w:tc>
        <w:tc>
          <w:tcPr/>
          <w:p>
            <w:pPr>
              <w:pStyle w:val="Compact"/>
              <w:jc w:val="left"/>
            </w:pPr>
            <w:r>
              <w:t xml:space="preserve">Xem preview và xác nhận AllocationPlan.</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3a</w:t>
            </w:r>
          </w:p>
        </w:tc>
        <w:tc>
          <w:tcPr/>
          <w:p>
            <w:pPr>
              <w:pStyle w:val="Compact"/>
              <w:jc w:val="left"/>
            </w:pPr>
            <w:r>
              <w:t xml:space="preserve">System</w:t>
            </w:r>
          </w:p>
        </w:tc>
        <w:tc>
          <w:tcPr/>
          <w:p>
            <w:pPr>
              <w:pStyle w:val="Compact"/>
              <w:jc w:val="left"/>
            </w:pPr>
            <w:r>
              <w:t xml:space="preserve">Không đủ nguồn cung đúng hạn, hệ thống tạo cảnh báo thiếu hàng.</w:t>
            </w:r>
          </w:p>
        </w:tc>
      </w:tr>
      <w:tr>
        <w:tc>
          <w:tcPr/>
          <w:p>
            <w:pPr>
              <w:pStyle w:val="Compact"/>
              <w:jc w:val="left"/>
            </w:pPr>
            <w:r>
              <w:t xml:space="preserve">5a</w:t>
            </w:r>
          </w:p>
        </w:tc>
        <w:tc>
          <w:tcPr/>
          <w:p>
            <w:pPr>
              <w:pStyle w:val="Compact"/>
              <w:jc w:val="left"/>
            </w:pPr>
            <w:r>
              <w:t xml:space="preserve">InternationalOrderingDepartment</w:t>
            </w:r>
          </w:p>
        </w:tc>
        <w:tc>
          <w:tcPr/>
          <w:p>
            <w:pPr>
              <w:pStyle w:val="Compact"/>
              <w:jc w:val="left"/>
            </w:pPr>
            <w:r>
              <w:t xml:space="preserve">Điều chỉnh thủ công trước khi xác nhận phương án.</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requestId</w:t>
            </w:r>
          </w:p>
        </w:tc>
        <w:tc>
          <w:tcPr/>
          <w:p>
            <w:pPr>
              <w:pStyle w:val="Compact"/>
              <w:jc w:val="left"/>
            </w:pPr>
            <w:r>
              <w:t xml:space="preserve">Mã yêu cầu nhập</w:t>
            </w:r>
          </w:p>
        </w:tc>
        <w:tc>
          <w:tcPr/>
          <w:p>
            <w:pPr>
              <w:pStyle w:val="Compact"/>
              <w:jc w:val="left"/>
            </w:pPr>
            <w:r>
              <w:t xml:space="preserve">Có</w:t>
            </w:r>
          </w:p>
        </w:tc>
        <w:tc>
          <w:tcPr/>
          <w:p>
            <w:pPr>
              <w:pStyle w:val="Compact"/>
              <w:jc w:val="left"/>
            </w:pPr>
            <w:r>
              <w:t xml:space="preserve">Tồn tại và có item cần phân bổ</w:t>
            </w:r>
          </w:p>
        </w:tc>
        <w:tc>
          <w:tcPr/>
          <w:p>
            <w:pPr>
              <w:pStyle w:val="Compact"/>
              <w:jc w:val="left"/>
            </w:pPr>
            <w:r>
              <w:t xml:space="preserve">REQ-2026-001</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ứng viên</w:t>
            </w:r>
          </w:p>
        </w:tc>
        <w:tc>
          <w:tcPr/>
          <w:p>
            <w:pPr>
              <w:pStyle w:val="Compact"/>
              <w:jc w:val="left"/>
            </w:pPr>
            <w:r>
              <w:t xml:space="preserve">Có</w:t>
            </w:r>
          </w:p>
        </w:tc>
        <w:tc>
          <w:tcPr/>
          <w:p>
            <w:pPr>
              <w:pStyle w:val="Compact"/>
              <w:jc w:val="left"/>
            </w:pPr>
            <w:r>
              <w:t xml:space="preserve">Có tồn kho hoặc shipping time liên quan</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quantity</w:t>
            </w:r>
          </w:p>
        </w:tc>
        <w:tc>
          <w:tcPr/>
          <w:p>
            <w:pPr>
              <w:pStyle w:val="Compact"/>
              <w:jc w:val="left"/>
            </w:pPr>
            <w:r>
              <w:t xml:space="preserve">Số lượng phân bổ</w:t>
            </w:r>
          </w:p>
        </w:tc>
        <w:tc>
          <w:tcPr/>
          <w:p>
            <w:pPr>
              <w:pStyle w:val="Compact"/>
              <w:jc w:val="left"/>
            </w:pPr>
            <w:r>
              <w:t xml:space="preserve">Có</w:t>
            </w:r>
          </w:p>
        </w:tc>
        <w:tc>
          <w:tcPr/>
          <w:p>
            <w:pPr>
              <w:pStyle w:val="Compact"/>
              <w:jc w:val="left"/>
            </w:pPr>
            <w:r>
              <w:t xml:space="preserve">Số nguyên dương, không vượt tồn kho</w:t>
            </w:r>
          </w:p>
        </w:tc>
        <w:tc>
          <w:tcPr/>
          <w:p>
            <w:pPr>
              <w:pStyle w:val="Compact"/>
              <w:jc w:val="left"/>
            </w:pPr>
            <w:r>
              <w:t xml:space="preserve">80</w:t>
            </w:r>
          </w:p>
        </w:tc>
      </w:tr>
      <w:tr>
        <w:tc>
          <w:tcPr/>
          <w:p>
            <w:pPr>
              <w:pStyle w:val="Compact"/>
              <w:jc w:val="left"/>
            </w:pPr>
            <w:r>
              <w:t xml:space="preserve">4</w:t>
            </w:r>
          </w:p>
        </w:tc>
        <w:tc>
          <w:tcPr/>
          <w:p>
            <w:pPr>
              <w:pStyle w:val="Compact"/>
              <w:jc w:val="left"/>
            </w:pPr>
            <w:r>
              <w:t xml:space="preserve">deliveryMeans</w:t>
            </w:r>
          </w:p>
        </w:tc>
        <w:tc>
          <w:tcPr/>
          <w:p>
            <w:pPr>
              <w:pStyle w:val="Compact"/>
              <w:jc w:val="left"/>
            </w:pPr>
            <w:r>
              <w:t xml:space="preserve">Phương thức vận chuyển</w:t>
            </w:r>
          </w:p>
        </w:tc>
        <w:tc>
          <w:tcPr/>
          <w:p>
            <w:pPr>
              <w:pStyle w:val="Compact"/>
              <w:jc w:val="left"/>
            </w:pPr>
            <w:r>
              <w:t xml:space="preserve">Có</w:t>
            </w:r>
          </w:p>
        </w:tc>
        <w:tc>
          <w:tcPr/>
          <w:p>
            <w:pPr>
              <w:pStyle w:val="Compact"/>
              <w:jc w:val="left"/>
            </w:pPr>
            <w:r>
              <w:t xml:space="preserve">ship delivery hoặc air delivery</w:t>
            </w:r>
          </w:p>
        </w:tc>
        <w:tc>
          <w:tcPr/>
          <w:p>
            <w:pPr>
              <w:pStyle w:val="Compact"/>
              <w:jc w:val="left"/>
            </w:pPr>
            <w:r>
              <w:t xml:space="preserve">ship delivery</w:t>
            </w:r>
          </w:p>
        </w:tc>
      </w:tr>
      <w:tr>
        <w:tc>
          <w:tcPr/>
          <w:p>
            <w:pPr>
              <w:pStyle w:val="Compact"/>
              <w:jc w:val="left"/>
            </w:pPr>
            <w:r>
              <w:t xml:space="preserve">5</w:t>
            </w:r>
          </w:p>
        </w:tc>
        <w:tc>
          <w:tcPr/>
          <w:p>
            <w:pPr>
              <w:pStyle w:val="Compact"/>
              <w:jc w:val="left"/>
            </w:pPr>
            <w:r>
              <w:t xml:space="preserve">desiredDeliveryDate</w:t>
            </w:r>
          </w:p>
        </w:tc>
        <w:tc>
          <w:tcPr/>
          <w:p>
            <w:pPr>
              <w:pStyle w:val="Compact"/>
              <w:jc w:val="left"/>
            </w:pPr>
            <w:r>
              <w:t xml:space="preserve">Ngày nhận mong muốn</w:t>
            </w:r>
          </w:p>
        </w:tc>
        <w:tc>
          <w:tcPr/>
          <w:p>
            <w:pPr>
              <w:pStyle w:val="Compact"/>
              <w:jc w:val="left"/>
            </w:pPr>
            <w:r>
              <w:t xml:space="preserve">Có</w:t>
            </w:r>
          </w:p>
        </w:tc>
        <w:tc>
          <w:tcPr/>
          <w:p>
            <w:pPr>
              <w:pStyle w:val="Compact"/>
              <w:jc w:val="left"/>
            </w:pPr>
            <w:r>
              <w:t xml:space="preserve">Dùng để kiểm tra khả năng đáp ứng</w:t>
            </w:r>
          </w:p>
        </w:tc>
        <w:tc>
          <w:tcPr/>
          <w:p>
            <w:pPr>
              <w:pStyle w:val="Compact"/>
              <w:jc w:val="left"/>
            </w:pPr>
            <w:r>
              <w:t xml:space="preserve">2026-05-20</w:t>
            </w:r>
          </w:p>
        </w:tc>
      </w:tr>
    </w:tbl>
    <w:bookmarkEnd w:id="28"/>
    <w:bookmarkEnd w:id="29"/>
    <w:bookmarkEnd w:id="30"/>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1302817"/>
            <wp:effectExtent b="0" l="0" r="0" t="0"/>
            <wp:docPr descr="Use case phân rã UC004 - PlanImportAllocation" title="" id="32" name="Picture"/>
            <a:graphic>
              <a:graphicData uri="http://schemas.openxmlformats.org/drawingml/2006/picture">
                <pic:pic>
                  <pic:nvPicPr>
                    <pic:cNvPr descr="/home/nqd2/code/ITSSVN/2025.2-166155-15/Homework02/20235880-PhanKhanhVu/diagram/UC004_PlanImportAllocation/UseCaseDiagram_10_000.png" id="33" name="Picture"/>
                    <pic:cNvPicPr>
                      <a:picLocks noChangeArrowheads="1" noChangeAspect="1"/>
                    </pic:cNvPicPr>
                  </pic:nvPicPr>
                  <pic:blipFill>
                    <a:blip r:embed="rId31"/>
                    <a:stretch>
                      <a:fillRect/>
                    </a:stretch>
                  </pic:blipFill>
                  <pic:spPr bwMode="auto">
                    <a:xfrm>
                      <a:off x="0" y="0"/>
                      <a:ext cx="5334000" cy="1302817"/>
                    </a:xfrm>
                    <a:prstGeom prst="rect">
                      <a:avLst/>
                    </a:prstGeom>
                    <a:noFill/>
                    <a:ln w="9525">
                      <a:noFill/>
                      <a:headEnd/>
                      <a:tailEnd/>
                    </a:ln>
                  </pic:spPr>
                </pic:pic>
              </a:graphicData>
            </a:graphic>
          </wp:inline>
        </w:drawing>
      </w:r>
    </w:p>
    <w:p>
      <w:pPr>
        <w:pStyle w:val="ImageCaption"/>
      </w:pPr>
      <w:r>
        <w:t xml:space="preserve">Use case phân rã UC004 - PlanImportAllocation</w:t>
      </w:r>
    </w:p>
    <w:p>
      <w:pPr>
        <w:pStyle w:val="CaptionedFigure"/>
      </w:pPr>
      <w:r>
        <w:drawing>
          <wp:inline>
            <wp:extent cx="5334000" cy="5503932"/>
            <wp:effectExtent b="0" l="0" r="0" t="0"/>
            <wp:docPr descr="Activity diagram UC004 - PlanImportAllocation" title="" id="35" name="Picture"/>
            <a:graphic>
              <a:graphicData uri="http://schemas.openxmlformats.org/drawingml/2006/picture">
                <pic:pic>
                  <pic:nvPicPr>
                    <pic:cNvPr descr="/home/nqd2/code/ITSSVN/2025.2-166155-15/Homework02/20235880-PhanKhanhVu/diagram/UC004_PlanImportAllocation/ActivityDiagram_0_000.png" id="36" name="Picture"/>
                    <pic:cNvPicPr>
                      <a:picLocks noChangeArrowheads="1" noChangeAspect="1"/>
                    </pic:cNvPicPr>
                  </pic:nvPicPr>
                  <pic:blipFill>
                    <a:blip r:embed="rId34"/>
                    <a:stretch>
                      <a:fillRect/>
                    </a:stretch>
                  </pic:blipFill>
                  <pic:spPr bwMode="auto">
                    <a:xfrm>
                      <a:off x="0" y="0"/>
                      <a:ext cx="5334000" cy="5503932"/>
                    </a:xfrm>
                    <a:prstGeom prst="rect">
                      <a:avLst/>
                    </a:prstGeom>
                    <a:noFill/>
                    <a:ln w="9525">
                      <a:noFill/>
                      <a:headEnd/>
                      <a:tailEnd/>
                    </a:ln>
                  </pic:spPr>
                </pic:pic>
              </a:graphicData>
            </a:graphic>
          </wp:inline>
        </w:drawing>
      </w:r>
    </w:p>
    <w:p>
      <w:pPr>
        <w:pStyle w:val="ImageCaption"/>
      </w:pPr>
      <w:r>
        <w:t xml:space="preserve">Activity diagram UC004 - PlanImportAllocation</w:t>
      </w:r>
    </w:p>
    <w:bookmarkEnd w:id="37"/>
    <w:bookmarkStart w:id="38" w:name="file-astah"/>
    <w:p>
      <w:pPr>
        <w:pStyle w:val="Heading2"/>
      </w:pPr>
      <w:r>
        <w:t xml:space="preserve">File Astah</w:t>
      </w:r>
    </w:p>
    <w:p>
      <w:pPr>
        <w:numPr>
          <w:ilvl w:val="0"/>
          <w:numId w:val="1001"/>
        </w:numPr>
        <w:pStyle w:val="Compact"/>
      </w:pPr>
      <w:r>
        <w:t xml:space="preserve">astah/UC004_PlanImportAllocation_all.asta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